
<file path=[Content_Types].xml><?xml version="1.0" encoding="utf-8"?>
<Types xmlns="http://schemas.openxmlformats.org/package/2006/content-types">
  <Default Extension="rels" ContentType="application/vnd.openxmlformats-package.relationships+xml"/>
  <Default Extension="jpeg" ContentType="image/jpeg"/>
  <Default Extension="png" ContentType="image/png"/>
  <Default Extension="svg" ContentType="image/svg+xml"/>
  <Default Extension="xml" ContentType="application/xml"/>
  <Default Extension="jpg" ContentType="application/octet-stream"/>
  <Override PartName="/_rels/.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docProps/core.xml" ContentType="application/vnd.openxmlformats-package.core-properties+xml"/>
  <Override PartName="/word/settings.xml" ContentType="application/vnd.openxmlformats-officedocument.wordprocessingml.settings+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a="http://schemas.openxmlformats.org/drawingml/2006/main" xmlns:cdr="http://schemas.openxmlformats.org/drawingml/2006/chartDrawing" xmlns:o="urn:schemas-microsoft-com:office:office" xmlns:pic="http://schemas.openxmlformats.org/drawingml/2006/picture" xmlns:r="http://schemas.openxmlformats.org/officeDocument/2006/relationships" xmlns:m="http://schemas.openxmlformats.org/officeDocument/2006/math" xmlns:v="urn:schemas-microsoft-com:vml" xmlns:ve="http://schemas.openxmlformats.org/markup-compatibility/2006" xmlns:vt="http://schemas.openxmlformats.org/officeDocument/2006/docPropsVTypes" xmlns:w="http://schemas.openxmlformats.org/wordprocessingml/2006/main" xmlns:w10="urn:schemas-microsoft-com:office:word" xmlns:wp="http://schemas.openxmlformats.org/drawingml/2006/wordprocessingDrawing" xmlns:wne="http://schemas.microsoft.com/office/word/2006/wordml" xmlns:a14="http://schemas.microsoft.com/office/drawing/2010/main" xmlns:asvg="http://schemas.microsoft.com/office/drawing/2016/SVG/main">
  <w:body>
    <w:p>
      <w:pPr>
        <w:spacing w:line="270" w:before="157.5" w:after="157.5" w:lineRule="auto"/>
        <w:jc w:val="left"/>
      </w:pPr>
      <w:bookmarkStart w:id="0" w:name="semester_campus_portal_ddl_review_notes"/>
      <w:r>
        <w:rPr>
          <w:rFonts w:eastAsia="source serif 4" w:cs="source serif 4" w:ascii="source serif 4" w:hAnsi="source serif 4"/>
          <w:b/>
          <w:color w:val="000000"/>
          <w:sz w:val="39"/>
        </w:rPr>
        <w:t xml:space="preserve">Semester campus portal DDL review notes</w:t>
      </w:r>
      <w:bookmarkEnd w:id="0"/>
    </w:p>
    <w:p>
      <w:pPr>
        <w:spacing w:line="360" w:after="210" w:lineRule="auto"/>
      </w:pPr>
      <w:r>
        <w:rPr>
          <w:rFonts w:eastAsia="source serif 4" w:cs="source serif 4" w:ascii="source serif 4" w:hAnsi="source serif 4"/>
          <w:color w:val="000000"/>
        </w:rPr>
        <w:t xml:space="preserve">Contains 129 tables. PostgreSQL 15+ reference schema for a fresh database.</w:t>
      </w:r>
      <w:r>
        <w:rPr>
          <w:rFonts w:eastAsia="source serif 4" w:cs="source serif 4" w:ascii="source serif 4" w:hAnsi="source serif 4"/>
          <w:color w:val="000000"/>
        </w:rPr>
        <w:br w:type="textWrapping"/>
      </w:r>
      <w:r>
        <w:rPr>
          <w:rFonts w:eastAsia="source serif 4" w:cs="source serif 4" w:ascii="source serif 4" w:hAnsi="source serif 4"/>
          <w:color w:val="000000"/>
        </w:rPr>
        <w:t xml:space="preserve">Generated structurally; NOT executed against PostgreSQL. This is not a production-ready migration or a compliance certification.</w:t>
      </w:r>
    </w:p>
    <w:p>
      <w:pPr>
        <w:spacing w:line="360" w:before="315" w:after="105" w:lineRule="auto"/>
        <w:ind w:left="-30"/>
        <w:jc w:val="left"/>
      </w:pPr>
      <w:bookmarkStart w:id="1" w:name="installation"/>
      <w:r>
        <w:rPr>
          <w:rFonts w:eastAsia="source serif 4" w:cs="source serif 4" w:ascii="source serif 4" w:hAnsi="source serif 4"/>
          <w:b/>
          <w:color w:val="000000"/>
          <w:sz w:val="24"/>
        </w:rPr>
        <w:t xml:space="preserve">Installation</w:t>
      </w:r>
      <w:bookmarkEnd w:id="1"/>
    </w:p>
    <w:p>
      <w:pPr>
        <w:spacing w:line="360" w:after="210" w:lineRule="auto"/>
      </w:pPr>
      <w:r>
        <w:rPr>
          <w:rFonts w:eastAsia="source serif 4" w:cs="source serif 4" w:ascii="source serif 4" w:hAnsi="source serif 4"/>
          <w:color w:val="000000"/>
        </w:rPr>
        <w:t xml:space="preserve">Review the SQL, run in an isolated PostgreSQL sandbox with an extension-capable migration owner, then run integration, concurrency, authorization and rollback tests. Do not apply over an existing schema. Transaction wraps schema creation; extensions may already exist.</w:t>
      </w:r>
    </w:p>
    <w:p>
      <w:pPr>
        <w:spacing w:line="360" w:before="315" w:after="105" w:lineRule="auto"/>
        <w:ind w:left="-30"/>
        <w:jc w:val="left"/>
      </w:pPr>
      <w:bookmarkStart w:id="2" w:name="authorization"/>
      <w:r>
        <w:rPr>
          <w:rFonts w:eastAsia="source serif 4" w:cs="source serif 4" w:ascii="source serif 4" w:hAnsi="source serif 4"/>
          <w:b/>
          <w:color w:val="000000"/>
          <w:sz w:val="24"/>
        </w:rPr>
        <w:t xml:space="preserve">Authorization</w:t>
      </w:r>
      <w:bookmarkEnd w:id="2"/>
    </w:p>
    <w:p>
      <w:pPr>
        <w:spacing w:line="360" w:after="210" w:lineRule="auto"/>
      </w:pPr>
      <w:r>
        <w:rPr>
          <w:rFonts w:eastAsia="source serif 4" w:cs="source serif 4" w:ascii="source serif 4" w:hAnsi="source serif 4"/>
          <w:color w:val="000000"/>
        </w:rPr>
        <w:t xml:space="preserve">Every table has ENABLE/FORCE RLS, no policies, and no PUBLIC privileges. Runtime access is intentionally default-deny. Implement reviewed identity-backed policies and least-privilege grants before use. Superusers/BYPASSRLS roles can bypass RLS; do not give clients those roles. Role tables do not enforce permissions by themselves. Tenant and polymorphic scope references require trusted server resolution. Search, files, exports and background workers require equivalent controls.</w:t>
      </w:r>
    </w:p>
    <w:p>
      <w:pPr>
        <w:spacing w:line="360" w:before="315" w:after="105" w:lineRule="auto"/>
        <w:ind w:left="-30"/>
        <w:jc w:val="left"/>
      </w:pPr>
      <w:bookmarkStart w:id="3" w:name="required_command_layer_checks"/>
      <w:r>
        <w:rPr>
          <w:rFonts w:eastAsia="source serif 4" w:cs="source serif 4" w:ascii="source serif 4" w:hAnsi="source serif 4"/>
          <w:b/>
          <w:color w:val="000000"/>
          <w:sz w:val="24"/>
        </w:rPr>
        <w:t xml:space="preserve">Required command-layer checks</w:t>
      </w:r>
      <w:bookmarkEnd w:id="3"/>
    </w:p>
    <w:p>
      <w:pPr>
        <w:spacing w:line="360" w:after="210" w:lineRule="auto"/>
      </w:pPr>
      <w:r>
        <w:rPr>
          <w:rFonts w:eastAsia="source serif 4" w:cs="source serif 4" w:ascii="source serif 4" w:hAnsi="source serif 4"/>
          <w:color w:val="000000"/>
        </w:rPr>
        <w:t xml:space="preserve">Validate workflow transitions and policy versions; no generic direct client mutations. Verify same-application requirement links, same-cycle roommate relationships, resource/deployment consistency, funding-account ownership and currency, reversal account consistency, valid benefit dates/location and institutional rules. Lock or atomically authorize native spend to prevent overdrafts. Enforce refund ceilings and allocation totals transactionally. Enforce registration seat capacity at the authoritative SIS or native transaction boundary. Prevent duplicate provisioning. Detect task-dependency cycles. Preserve released decisions with superseding records and freeze published plans/executed documents through commands. These cross-record checks are not all supplied by DDL.</w:t>
      </w:r>
    </w:p>
    <w:p>
      <w:pPr>
        <w:spacing w:line="360" w:before="315" w:after="105" w:lineRule="auto"/>
        <w:ind w:left="-30"/>
        <w:jc w:val="left"/>
      </w:pPr>
      <w:bookmarkStart w:id="4" w:name="housing"/>
      <w:r>
        <w:rPr>
          <w:rFonts w:eastAsia="source serif 4" w:cs="source serif 4" w:ascii="source serif 4" w:hAnsi="source serif 4"/>
          <w:b/>
          <w:color w:val="000000"/>
          <w:sz w:val="24"/>
        </w:rPr>
        <w:t xml:space="preserve">Housing</w:t>
      </w:r>
      <w:bookmarkEnd w:id="4"/>
    </w:p>
    <w:p>
      <w:pPr>
        <w:spacing w:line="360" w:after="210" w:lineRule="auto"/>
      </w:pPr>
      <w:r>
        <w:rPr>
          <w:rFonts w:eastAsia="source serif 4" w:cs="source serif 4" w:ascii="source serif 4" w:hAnsi="source serif 4"/>
          <w:color w:val="000000"/>
        </w:rPr>
        <w:t xml:space="preserve">Reservations and assignments share allocation records; GiST exclusions prevent active occupancy overlap. Expiry workers must change state explicitly. Confirmation must check expiration inside the locked transaction. Person overlap disallows multiple active residences unless schema is deliberately extended for institutional exceptions.</w:t>
      </w:r>
    </w:p>
    <w:p>
      <w:pPr>
        <w:spacing w:line="360" w:before="315" w:after="105" w:lineRule="auto"/>
        <w:ind w:left="-30"/>
        <w:jc w:val="left"/>
      </w:pPr>
      <w:bookmarkStart w:id="5" w:name="dining"/>
      <w:r>
        <w:rPr>
          <w:rFonts w:eastAsia="source serif 4" w:cs="source serif 4" w:ascii="source serif 4" w:hAnsi="source serif 4"/>
          <w:b/>
          <w:color w:val="000000"/>
          <w:sz w:val="24"/>
        </w:rPr>
        <w:t xml:space="preserve">Dining</w:t>
      </w:r>
      <w:bookmarkEnd w:id="5"/>
    </w:p>
    <w:p>
      <w:pPr>
        <w:spacing w:line="360" w:after="210" w:lineRule="auto"/>
      </w:pPr>
      <w:r>
        <w:rPr>
          <w:rFonts w:eastAsia="source serif 4" w:cs="source serif 4" w:ascii="source serif 4" w:hAnsi="source serif 4"/>
          <w:color w:val="000000"/>
        </w:rPr>
        <w:t xml:space="preserve">Grant quantities in plan benefits are templates, not posted balances. Actual grants are entitlement entries. Monetary/quantity entries are append-only and idempotent. A local wallet subledger is NOT a complete financial general ledger. Connected campus-card balances remain externally authoritative.</w:t>
      </w:r>
    </w:p>
    <w:p>
      <w:pPr>
        <w:spacing w:line="360" w:before="315" w:after="105" w:lineRule="auto"/>
        <w:ind w:left="-30"/>
        <w:jc w:val="left"/>
      </w:pPr>
      <w:bookmarkStart w:id="6" w:name="lti"/>
      <w:r>
        <w:rPr>
          <w:rFonts w:eastAsia="source serif 4" w:cs="source serif 4" w:ascii="source serif 4" w:hAnsi="source serif 4"/>
          <w:b/>
          <w:color w:val="000000"/>
          <w:sz w:val="24"/>
        </w:rPr>
        <w:t xml:space="preserve">LTI</w:t>
      </w:r>
      <w:bookmarkEnd w:id="6"/>
    </w:p>
    <w:p>
      <w:pPr>
        <w:spacing w:line="360" w:after="210" w:lineRule="auto"/>
      </w:pPr>
      <w:r>
        <w:rPr>
          <w:rFonts w:eastAsia="source serif 4" w:cs="source serif 4" w:ascii="source serif 4" w:hAnsi="source serif 4"/>
          <w:color w:val="000000"/>
        </w:rPr>
        <w:t xml:space="preserve">This reference uses tenant-scoped registrations. A shared external registration can be configured in multiple tenants with distinct deployment mappings; enforce unambiguous issuer/client/deployment resolution in the integration control plane. Custom claims are informational hints only; no claim grants consent or a legal basis. Store no raw launch JWTs in logs. Service credentials and tokens remain in secret management.</w:t>
      </w:r>
    </w:p>
    <w:p>
      <w:pPr>
        <w:spacing w:line="360" w:before="315" w:after="105" w:lineRule="auto"/>
        <w:ind w:left="-30"/>
        <w:jc w:val="left"/>
      </w:pPr>
      <w:bookmarkStart w:id="7" w:name="governance"/>
      <w:r>
        <w:rPr>
          <w:rFonts w:eastAsia="source serif 4" w:cs="source serif 4" w:ascii="source serif 4" w:hAnsi="source serif 4"/>
          <w:b/>
          <w:color w:val="000000"/>
          <w:sz w:val="24"/>
        </w:rPr>
        <w:t xml:space="preserve">Governance</w:t>
      </w:r>
      <w:bookmarkEnd w:id="7"/>
    </w:p>
    <w:p>
      <w:pPr>
        <w:spacing w:line="360" w:after="210" w:lineRule="auto"/>
      </w:pPr>
      <w:r>
        <w:rPr>
          <w:rFonts w:eastAsia="source serif 4" w:cs="source serif 4" w:ascii="source serif 4" w:hAnsi="source serif 4"/>
          <w:color w:val="000000"/>
        </w:rPr>
        <w:t xml:space="preserve">Access audits and FERPA request/disclosure records are distinct. Recordkeeping applicability must be decided by approved institutional policy. Append-only triggers are defense-in-depth, not protection from database administrators and not a replacement for retention/holds. Required retention/deletion, export, review, and correction processes need command implementations. Metadata allowlists, token resolution and encrypted PII key management are application responsibilities. Maintenance of disclosure records follows applicable institutional/legal requirements, not an assumed fixed duration.</w:t>
      </w:r>
    </w:p>
    <w:p>
      <w:pPr>
        <w:spacing w:line="360" w:before="315" w:after="105" w:lineRule="auto"/>
        <w:ind w:left="-30"/>
        <w:jc w:val="left"/>
      </w:pPr>
      <w:bookmarkStart w:id="8" w:name="operational_scope"/>
      <w:r>
        <w:rPr>
          <w:rFonts w:eastAsia="source serif 4" w:cs="source serif 4" w:ascii="source serif 4" w:hAnsi="source serif 4"/>
          <w:b/>
          <w:color w:val="000000"/>
          <w:sz w:val="24"/>
        </w:rPr>
        <w:t xml:space="preserve">Operational scope</w:t>
      </w:r>
      <w:bookmarkEnd w:id="8"/>
    </w:p>
    <w:p>
      <w:pPr>
        <w:spacing w:line="360" w:after="210" w:lineRule="auto"/>
      </w:pPr>
      <w:r>
        <w:rPr>
          <w:rFonts w:eastAsia="source serif 4" w:cs="source serif 4" w:ascii="source serif 4" w:hAnsi="source serif 4"/>
          <w:color w:val="000000"/>
        </w:rPr>
        <w:t xml:space="preserve">Support queue/team references are external references requiring validation. Includes core academic and campus portal records, not full ERP payroll, procurement, general ledger, federal aid processing, medical record system or all possible university exceptions. Most domain states are intentionally text, with transitions managed by versioned command rules; broad CHECK constraints must be refined institution by institution.</w:t>
      </w:r>
    </w:p>
    <w:p>
      <w:pPr>
        <w:spacing w:line="360" w:before="315" w:after="105" w:lineRule="auto"/>
        <w:ind w:left="-30"/>
        <w:jc w:val="left"/>
      </w:pPr>
      <w:bookmarkStart w:id="9" w:name="counts"/>
      <w:r>
        <w:rPr>
          <w:rFonts w:eastAsia="source serif 4" w:cs="source serif 4" w:ascii="source serif 4" w:hAnsi="source serif 4"/>
          <w:b/>
          <w:color w:val="000000"/>
          <w:sz w:val="24"/>
        </w:rPr>
        <w:t xml:space="preserve">Counts</w:t>
      </w:r>
      <w:bookmarkEnd w:id="9"/>
    </w:p>
    <w:p>
      <w:pPr>
        <w:numPr>
          <w:ilvl w:val="0"/>
          <w:numId w:val="1"/>
        </w:numPr>
        <w:spacing w:line="360" w:before="105" w:after="105" w:lineRule="auto"/>
      </w:pPr>
      <w:r>
        <w:rPr>
          <w:rFonts w:eastAsia="source serif 4" w:cs="source serif 4" w:ascii="source serif 4" w:hAnsi="source serif 4"/>
          <w:color w:val="000000"/>
          <w:sz w:val="21"/>
        </w:rPr>
        <w:t xml:space="preserve">admissions: 16</w:t>
      </w:r>
    </w:p>
    <w:p>
      <w:pPr>
        <w:numPr>
          <w:ilvl w:val="0"/>
          <w:numId w:val="1"/>
        </w:numPr>
        <w:spacing w:line="360" w:before="105" w:after="105" w:lineRule="auto"/>
      </w:pPr>
      <w:r>
        <w:rPr>
          <w:rFonts w:eastAsia="source serif 4" w:cs="source serif 4" w:ascii="source serif 4" w:hAnsi="source serif 4"/>
          <w:color w:val="000000"/>
          <w:sz w:val="21"/>
        </w:rPr>
        <w:t xml:space="preserve">dining: 23</w:t>
      </w:r>
    </w:p>
    <w:p>
      <w:pPr>
        <w:numPr>
          <w:ilvl w:val="0"/>
          <w:numId w:val="1"/>
        </w:numPr>
        <w:spacing w:line="360" w:before="105" w:after="105" w:lineRule="auto"/>
      </w:pPr>
      <w:r>
        <w:rPr>
          <w:rFonts w:eastAsia="source serif 4" w:cs="source serif 4" w:ascii="source serif 4" w:hAnsi="source serif 4"/>
          <w:color w:val="000000"/>
          <w:sz w:val="21"/>
        </w:rPr>
        <w:t xml:space="preserve">finance: 7</w:t>
      </w:r>
    </w:p>
    <w:p>
      <w:pPr>
        <w:numPr>
          <w:ilvl w:val="0"/>
          <w:numId w:val="1"/>
        </w:numPr>
        <w:spacing w:line="360" w:before="105" w:after="105" w:lineRule="auto"/>
      </w:pPr>
      <w:r>
        <w:rPr>
          <w:rFonts w:eastAsia="source serif 4" w:cs="source serif 4" w:ascii="source serif 4" w:hAnsi="source serif 4"/>
          <w:color w:val="000000"/>
          <w:sz w:val="21"/>
        </w:rPr>
        <w:t xml:space="preserve">foundation: 19</w:t>
      </w:r>
    </w:p>
    <w:p>
      <w:pPr>
        <w:numPr>
          <w:ilvl w:val="0"/>
          <w:numId w:val="1"/>
        </w:numPr>
        <w:spacing w:line="360" w:before="105" w:after="105" w:lineRule="auto"/>
      </w:pPr>
      <w:r>
        <w:rPr>
          <w:rFonts w:eastAsia="source serif 4" w:cs="source serif 4" w:ascii="source serif 4" w:hAnsi="source serif 4"/>
          <w:color w:val="000000"/>
          <w:sz w:val="21"/>
        </w:rPr>
        <w:t xml:space="preserve">governance: 14</w:t>
      </w:r>
    </w:p>
    <w:p>
      <w:pPr>
        <w:numPr>
          <w:ilvl w:val="0"/>
          <w:numId w:val="1"/>
        </w:numPr>
        <w:spacing w:line="360" w:before="105" w:after="105" w:lineRule="auto"/>
      </w:pPr>
      <w:r>
        <w:rPr>
          <w:rFonts w:eastAsia="source serif 4" w:cs="source serif 4" w:ascii="source serif 4" w:hAnsi="source serif 4"/>
          <w:color w:val="000000"/>
          <w:sz w:val="21"/>
        </w:rPr>
        <w:t xml:space="preserve">housing: 23</w:t>
      </w:r>
    </w:p>
    <w:p>
      <w:pPr>
        <w:numPr>
          <w:ilvl w:val="0"/>
          <w:numId w:val="1"/>
        </w:numPr>
        <w:spacing w:line="360" w:before="105" w:after="105" w:lineRule="auto"/>
      </w:pPr>
      <w:r>
        <w:rPr>
          <w:rFonts w:eastAsia="source serif 4" w:cs="source serif 4" w:ascii="source serif 4" w:hAnsi="source serif 4"/>
          <w:color w:val="000000"/>
          <w:sz w:val="21"/>
        </w:rPr>
        <w:t xml:space="preserve">lti: 9</w:t>
      </w:r>
    </w:p>
    <w:p>
      <w:pPr>
        <w:numPr>
          <w:ilvl w:val="0"/>
          <w:numId w:val="1"/>
        </w:numPr>
        <w:spacing w:line="360" w:before="105" w:after="105" w:lineRule="auto"/>
      </w:pPr>
      <w:r>
        <w:rPr>
          <w:rFonts w:eastAsia="source serif 4" w:cs="source serif 4" w:ascii="source serif 4" w:hAnsi="source serif 4"/>
          <w:color w:val="000000"/>
          <w:sz w:val="21"/>
        </w:rPr>
        <w:t xml:space="preserve">registrar: 18</w:t>
      </w:r>
    </w:p>
    <w:sectPr>
      <w:pgSz w:w="12240" w:h="15840" w:orient="portrait"/>
      <w:pgMar w:top="1365" w:right="1365" w:bottom="1365" w:left="1365" w:header="720" w:footer="720" w:gutter="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onsolas">
    <w:panose1 w:val="020B0609020204030204"/>
    <w:charset w:val="00"/>
    <w:family w:val="modern"/>
    <w:pitch w:val="fixed"/>
    <w:sig w:usb0="E10002FF" w:usb1="4000FCFF" w:usb2="00000009" w:usb3="00000000" w:csb0="0000019F" w:csb1="00000000"/>
  </w:font>
  <w:font w:name="Cambria Math">
    <w:panose1 w:val="02040503050406030204"/>
    <w:charset w:val="00"/>
    <w:family w:val="roman"/>
    <w:pitch w:val="variable"/>
    <w:sig w:usb0="E00002FF" w:usb1="420024FF" w:usb2="00000000" w:usb3="00000000" w:csb0="0000019F" w:csb1="00000000"/>
  </w:font>
  <w:font w:name="source serif 4">
    <w:family w:val="auto"/>
    <w:pitch w:val="variable"/>
  </w:font>
</w:fonts>
</file>

<file path=word/numbering.xml><?xml version="1.0" encoding="utf-8"?>
<w:numbering xmlns:w="http://schemas.openxmlformats.org/wordprocessingml/2006/main"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ne="http://schemas.microsoft.com/office/word/2006/wordml">
  <w:abstractNum w:abstractNumId="1">
    <w:multiLevelType w:val="hybridMultilevel"/>
    <w:lvl w:ilvl="0">
      <w:start w:val="1"/>
      <w:numFmt w:val="bullet"/>
      <w:lvlText w:val=""/>
      <w:lvlJc w:val="left"/>
      <w:pPr>
        <w:tabs>
          <w:tab w:val="num" w:pos="900"/>
        </w:tabs>
        <w:ind w:left="540" w:hanging="360"/>
      </w:pPr>
      <w:rPr>
        <w:rFonts w:ascii="Symbol" w:hAnsi="Symbol" w:hint="default"/>
      </w:rPr>
    </w:lvl>
  </w:abstractNum>
  <w:num w:numId="1">
    <w:abstractNumId w:val="1"/>
  </w:num>
</w:numbering>
</file>

<file path=word/settings.xml><?xml version="1.0" encoding="utf-8"?>
<w:settings xmlns:w="http://schemas.openxmlformats.org/wordprocessingml/2006/main" xmlns:o="urn:schemas-microsoft-com:office:office" xmlns:r="http://schemas.openxmlformats.org/officeDocument/2006/relationships" xmlns:m="http://schemas.openxmlformats.org/officeDocument/2006/math" xmlns:v="urn:schemas-microsoft-com:vml" xmlns:w10="urn:schemas-microsoft-com:office:word" xmlns:sl="http://schemas.openxmlformats.org/schemaLibrary/2006/main">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brkBin m:val="before"/>
    <m:brkBinSub m:val="--"/>
    <m:smallFrac m:val="0"/>
    <m:dispDef/>
    <m:lMargin m:val="0"/>
    <m:rMargin m:val="0"/>
    <m:defJc m:val="centerGroup"/>
    <m:wrapIndent m:val="1440"/>
    <m:intLim m:val="subSup"/>
    <m:naryLim m:val="undOvr"/>
  </m:mathPr>
  <w:decimalSymbol w:val="."/>
  <w:listSeparator w:val=","/>
</w:settings>
</file>

<file path=word/styles.xml><?xml version="1.0" encoding="utf-8"?>
<w:styles xmlns:w="http://schemas.openxmlformats.org/wordprocessingml/2006/main" xmlns:r="http://schemas.openxmlformats.org/officeDocument/2006/relationships">
  <w:docDefaults>
    <w:rPrDefault>
      <w:rPr>
        <w:rFonts w:ascii="Georgia" w:eastAsiaTheme="minorHAnsi" w:hAnsiTheme="minorHAnsi" w:cstheme="minorBidi"/>
        <w:sz w:val="21"/>
        <w:szCs w:val="22"/>
        <w:lang w:val="en-US" w:eastAsia="en-US" w:bidi="ar-SA"/>
      </w:rPr>
    </w:rPrDefault>
    <w:pPrDefault>
      <w:pPr>
        <w:spacing w:after="120" w:line="240" w:lineRule="atLeast"/>
      </w:pPr>
    </w:pPrDefault>
  </w:docDefaults>
  <w:style w:type="paragraph" w:default="1" w:styleId="Normal">
    <w:name w:val="Normal"/>
    <w:next w:val="Normal"/>
    <w:pPr/>
    <w:rPr>
      <w:rFonts w:ascii="Georgia" w:eastAsiaTheme="minorHAnsi" w:hAnsiTheme="minorHAnsi" w:cstheme="minorBidi"/>
      <w:sz w:val="21"/>
      <w:szCs w:val="22"/>
      <w:lang w:val="en-US" w:eastAsia="en-US" w:bidi="ar-SA"/>
    </w:rPr>
  </w:style>
  <w:style w:type="character" w:customStyle="1" w:styleId="VerbatimChar">
    <w:name w:val="Verbatim Char"/>
    <w:basedOn w:val="BodyTextChar"/>
    <w:rPr>
      <w:rFonts w:ascii="Consolas" w:hAnsi="Consolas"/>
      <w:sz w:val="22"/>
    </w:rPr>
  </w:style>
</w:styles>
</file>

<file path=word/webSettings.xml><?xml version="1.0" encoding="utf-8"?>
<w:webSettings xmlns:w="http://schemas.openxmlformats.org/wordprocessingml/2006/main" xmlns:r="http://schemas.openxmlformats.org/officeDocument/2006/relationships"/>
</file>

<file path=word/_rels/document.xml.rels><?xml version="1.0" encoding="UTF-8" standalone="yes"?><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html-to-docx</dc:creator>
  <cp:keywords>html-to-docx</cp:keywords>
  <dc:description/>
  <cp:lastModifiedBy>html-to-docx</cp:lastModifiedBy>
  <cp:revision>1</cp:revision>
  <dcterms:created xsi:type="dcterms:W3CDTF">2026-10-06T22:25:22.499Z</dcterms:created>
  <dcterms:modified xsi:type="dcterms:W3CDTF">2026-10-06T22:25:22.499Z</dcterms:modified>
</cp:coreProperties>
</file>