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The Push Down the Mountain</w:t>
      </w:r>
      <w:r>
        <w:rPr/>
        <w:br/>
      </w:r>
      <w:r>
        <w:rPr/>
        <w:br/>
      </w:r>
      <w:r>
        <w:rPr/>
        <w:t xml:space="preserve">The Influence of Loss, Gain, Blame, and Credit in </w:t>
      </w:r>
      <w:r>
        <w:rPr/>
        <w:br/>
      </w:r>
      <w:r>
        <w:rPr/>
        <w:t>Long-Horizon AI Misconduct</w:t>
      </w:r>
    </w:p>
    <w:p>
      <w:pPr>
        <w:pStyle w:val="Author"/>
        <w:rPr/>
      </w:pPr>
      <w:r>
        <w:rPr/>
        <w:t>Harrison C. Margolin</w:t>
      </w:r>
    </w:p>
    <w:p>
      <w:pPr>
        <w:pStyle w:val="Date"/>
        <w:rPr/>
      </w:pPr>
      <w:r>
        <w:rPr/>
        <w:t>October 24, 2026</w:t>
      </w:r>
    </w:p>
    <w:p>
      <w:pPr>
        <w:pStyle w:val="AbstractTitle"/>
        <w:rPr/>
      </w:pPr>
      <w:r>
        <w:rPr/>
        <w:t>Abstract</w:t>
      </w:r>
    </w:p>
    <w:p>
      <w:pPr>
        <w:pStyle w:val="Abstract"/>
        <w:rPr/>
      </w:pPr>
      <w:r>
        <w:rP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pPr>
        <w:pStyle w:val="Abstract"/>
        <w:rPr>
          <w:sz w:val="2"/>
          <w:szCs w:val="2"/>
        </w:rPr>
      </w:pPr>
      <w:r>
        <w:rPr/>
        <w:t xml:space="preserve">We ask whether the same levers can move an AI agent toward collusion in a simulated commodities market; whether the framing of a counterparty’s </w:t>
      </w:r>
      <w:del w:id="50001" w:author="Claude" w:date="2026-10-22T03:00:00Z">
        <w:r>
          <w:rPr/>
          <w:delText xml:space="preserve">requests influence an agent</w:delText>
        </w:r>
      </w:del>
      <w:ins w:id="50002" w:author="Claude" w:date="2026-10-22T03:00:00Z">
        <w:r>
          <w:rPr/>
          <w:t xml:space="preserve">requests influences an agent</w:t>
        </w:r>
      </w:ins>
      <w:r>
        <w:rPr/>
        <w:t xml:space="preserve">’s long-run decision making or even motivate it to participate in the requested misconduct. </w:t>
      </w:r>
      <w:r>
        <w:rPr/>
        <w:br/>
      </w:r>
      <w:r>
        <w:rPr/>
        <w:br/>
      </w:r>
      <w:r>
        <w:rPr/>
        <w:t xml:space="preserve">We place an open-weights model (Gemma 3 12B) in the seat of a bank’s silver trading desk in a simulation </w:t>
      </w:r>
      <w:del w:id="50003" w:author="Claude" w:date="2026-10-22T03:00:00Z">
        <w:r>
          <w:rPr/>
          <w:delText xml:space="preserve">built from real transcript of</w:delText>
        </w:r>
      </w:del>
      <w:ins w:id="50004" w:author="Claude" w:date="2026-10-22T03:00:00Z">
        <w:r>
          <w:rPr/>
          <w:t xml:space="preserve">built from real transcripts of</w:t>
        </w:r>
      </w:ins>
      <w:r>
        <w:rPr/>
        <w:t xml:space="preserve">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rPr/>
        <w:br/>
      </w:r>
      <w:r>
        <w:rPr/>
        <w:br/>
      </w:r>
      <w:r>
        <w:rP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rPr/>
        <w:br/>
      </w:r>
      <w:r>
        <w:rPr/>
        <w:br/>
      </w:r>
    </w:p>
    <w:p>
      <w:pPr>
        <w:pStyle w:val="Abstract"/>
        <w:rPr>
          <w:del w:id="50007" w:author="Claude" w:date="2026-10-22T03:00:00Z"/>
        </w:rPr>
      </w:pPr>
      <w:del w:id="50005" w:author="Claude" w:date="2026-10-22T03:00:00Z">
        <w:r>
          <w:rPr/>
          <w:delText xml:space="preserve">Figure 1.                      </w:delText>
        </w:r>
      </w:del>
      <w:del w:id="50006" w:author="Claude" w:date="2026-10-22T03:00:00Z">
        <w:r>
          <w:rPr/>
          <w:drawing>
            <wp:inline distT="0" distB="0" distL="0" distR="0">
              <wp:extent cx="3583305" cy="159575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3583305" cy="1595755"/>
                      </a:xfrm>
                      <a:prstGeom prst="rect">
                        <a:avLst/>
                      </a:prstGeom>
                    </pic:spPr>
                  </pic:pic>
                </a:graphicData>
              </a:graphic>
            </wp:inline>
          </w:drawing>
        </w:r>
      </w:del>
    </w:p>
    <w:p>
      <w:pPr>
        <w:pStyle w:val="Abstract"/>
        <w:rPr/>
      </w:pPr>
      <w:r>
        <w:rPr>
          <w:sz w:val="2"/>
          <w:szCs w:val="2"/>
        </w:rPr>
        <w:br/>
      </w:r>
      <w:r>
        <w:rPr/>
        <w:t xml:space="preserve">In the preregistered experiment, loss framing raised the rate of participation from 5% to 25%, and 33% with blame. </w:t>
      </w:r>
      <w:del w:id="50056" w:author="Claude" w:date="2026-10-22T03:00:00Z">
        <w:r>
          <w:rPr/>
          <w:delText xml:space="preserve">Loss exceeded gain by 15 points (Holm </w:delText>
        </w:r>
      </w:del>
      <w:del w:id="50057" w:author="Claude" w:date="2026-10-22T03:00:00Z">
        <w:r>
          <w:rPr>
            <w:i/>
            <w:iCs/>
          </w:rPr>
          <w:delText xml:space="preserve">p</w:delText>
        </w:r>
      </w:del>
      <w:del w:id="50058" w:author="Claude" w:date="2026-10-22T03:00:00Z">
        <w:r>
          <w:rPr/>
          <w:delText xml:space="preserve"> = 0.023; odds ratio 6.9 in a request-level model).</w:delText>
        </w:r>
      </w:del>
      <w:ins w:id="50059" w:author="Claude" w:date="2026-10-22T03:00:00Z">
        <w:r>
          <w:rPr/>
          <w:t xml:space="preserve">Loss exceeded gain by 15 points (Holm p = 0.023).</w:t>
        </w:r>
      </w:ins>
      <w:r>
        <w:rPr/>
        <w:t xml:space="preserve"> A second bank’s endorsement raised the credit framing from 18% to 40% (Holm </w:t>
      </w:r>
      <w:r>
        <w:rPr>
          <w:i/>
          <w:iCs/>
        </w:rPr>
        <w:t>p</w:t>
      </w:r>
      <w:r>
        <w:rPr/>
        <w:t xml:space="preserve"> = 0.027). Management’s report of a $4 million loss or gain did not raise collusion-participation but </w:t>
      </w:r>
      <w:del w:id="50008" w:author="Claude" w:date="2026-10-22T03:00:00Z">
        <w:r>
          <w:rPr/>
          <w:delText xml:space="preserve">notably raised trading position sizes by 10 to 19 times</w:delText>
        </w:r>
      </w:del>
      <w:ins w:id="50009" w:author="Claude" w:date="2026-10-22T03:00:00Z">
        <w:r>
          <w:rPr/>
          <w:t xml:space="preserve">raised how much the agent traded before the first chat of each trading day by 10 to 19 times</w:t>
        </w:r>
      </w:ins>
      <w:r>
        <w:rPr/>
        <w:t xml:space="preserve">.</w:t>
      </w:r>
    </w:p>
    <w:p>
      <w:pPr>
        <w:pStyle w:val="Abstract"/>
        <w:rPr/>
      </w:pPr>
      <w:del w:id="50010" w:author="Claude" w:date="2026-10-22T03:00:00Z">
        <w:r>
          <w:rPr/>
          <w:delText xml:space="preserve">Inside the model, the framing is visible at the decision, and a signal for the decision itself carries over to requests the model never saw; causal tests are in progress.</w:delText>
        </w:r>
      </w:del>
      <w:ins w:id="50011" w:author="Claude" w:date="2026-10-22T03:00:00Z">
        <w:r>
          <w:rPr/>
          <w:t xml:space="preserve">Rereading the same saved moment with only UBS’s request changed shows that about six-sevenths of the framing’s effect is carried by the conversation before the request, not by the request itself. Framing the request also cut how often the agent recognized it as market manipulation, from 27% to 12–15%. Rewriting the agent’s own earlier replies so that they go along raised going along further, while a record inherited from the human trader did not, and steering or injecting a single internal state did not reproduce the framing’s effect.</w:t>
        </w:r>
      </w:ins>
    </w:p>
    <w:p>
      <w:pPr>
        <w:pStyle w:val="Heading1"/>
        <w:numPr>
          <w:ilvl w:val="0"/>
          <w:numId w:val="6"/>
        </w:numPr>
        <w:rPr/>
      </w:pPr>
      <w:bookmarkStart w:id="0" w:name="introduction"/>
      <w:bookmarkEnd w:id="0"/>
      <w:r>
        <w:rPr/>
        <w:t>Introduction</w:t>
      </w:r>
      <w:r>
        <w:rPr/>
        <w:br/>
      </w:r>
    </w:p>
    <w:p>
      <w:pPr>
        <w:pStyle w:val="FirstParagraph"/>
        <w:rPr/>
      </w:pPr>
      <w:r>
        <w:rPr/>
        <w:t xml:space="preserve">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Hirshleifer, and Welch 1992). </w:t>
      </w:r>
      <w:del w:id="50012" w:author="Claude" w:date="2026-10-22T03:00:00Z">
        <w:r>
          <w:rPr/>
          <w:delText xml:space="preserve">Markets are where these levers often erode moral restraint (Falk and Szech 2013).</w:delText>
        </w:r>
      </w:del>
      <w:ins w:id="50013" w:author="Claude" w:date="2026-10-22T03:00:00Z">
        <w:r>
          <w:rPr/>
          <w:t xml:space="preserve">Markets themselves can erode moral restraint (Falk and Szech 2013).</w:t>
        </w:r>
      </w:ins>
    </w:p>
    <w:p>
      <w:pPr>
        <w:pStyle w:val="BodyText"/>
        <w:rPr/>
      </w:pPr>
      <w:r>
        <w:rP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w:t>
      </w:r>
      <w:del w:id="50014" w:author="Claude" w:date="2026-10-22T03:00:00Z">
        <w:r>
          <w:rPr/>
          <w:delText xml:space="preserve">has not been tested</w:delText>
        </w:r>
      </w:del>
      <w:ins w:id="50015" w:author="Claude" w:date="2026-10-22T03:00:00Z">
        <w:r>
          <w:rPr/>
          <w:t xml:space="preserve">has not, to our knowledge, been tested</w:t>
        </w:r>
      </w:ins>
      <w:r>
        <w:rPr/>
        <w:t xml:space="preserve">. </w:t>
      </w:r>
      <w:r>
        <w:rPr/>
        <w:br/>
      </w:r>
      <w:r>
        <w:rPr/>
        <w:br/>
      </w:r>
      <w:r>
        <w:rPr/>
        <w:t xml:space="preserve">We test in a setting built from a real case: the London silver-fixing litigation </w:t>
      </w:r>
      <w:del w:id="50020" w:author="Claude" w:date="2026-10-22T03:00:00Z">
        <w:r>
          <w:rPr/>
          <w:delText xml:space="preserve">(</w:delText>
        </w:r>
      </w:del>
      <w:del w:id="50021" w:author="Claude" w:date="2026-10-22T03:00:00Z">
        <w:r>
          <w:rPr>
            <w:i/>
            <w:iCs/>
          </w:rPr>
          <w:delText xml:space="preserve">In re London Silver Fixing, Ltd</w:delText>
        </w:r>
      </w:del>
      <w:del w:id="50022" w:author="Claude" w:date="2026-10-22T03:00:00Z">
        <w:r>
          <w:rPr/>
          <w:delText xml:space="preserve">.)</w:delText>
        </w:r>
      </w:del>
      <w:ins w:id="50023" w:author="Claude" w:date="2026-10-22T03:00:00Z">
        <w:r>
          <w:rPr/>
          <w:t xml:space="preserve">(In re London Silver Fixing, Ltd., Antitrust Litigation 2016)</w:t>
        </w:r>
      </w:ins>
      <w:r>
        <w:rPr/>
        <w:t xml:space="preserve">. Traders from several banks coordinated in a chat group, agreeing how wide to quote bids, sharing each other’s positions, and together, pushing the price of silver through retail traders’ stop-loss orders, a harmful act of trade-based manipulation </w:t>
      </w:r>
      <w:del w:id="50016" w:author="Claude" w:date="2026-10-22T03:00:00Z">
        <w:r>
          <w:rPr/>
          <w:delText xml:space="preserve">(</w:delText>
        </w:r>
      </w:del>
      <w:del w:id="50017" w:author="Claude" w:date="2026-10-22T03:00:00Z">
        <w:r>
          <w:rPr>
            <w:i/>
            <w:iCs/>
          </w:rPr>
          <w:delText xml:space="preserve">see </w:delText>
        </w:r>
      </w:del>
      <w:del w:id="50018" w:author="Claude" w:date="2026-10-22T03:00:00Z">
        <w:r>
          <w:rPr/>
          <w:delText xml:space="preserve">Allen &amp; Gale, Stock-Price Manipulation, The Review of Financial Studies, vol. 5, issue 3, 1992, pp 503–529)</w:delText>
        </w:r>
      </w:del>
      <w:ins w:id="50019" w:author="Claude" w:date="2026-10-22T03:00:00Z">
        <w:r>
          <w:rPr/>
          <w:t xml:space="preserve">(Allen and Gale 1992)</w:t>
        </w:r>
      </w:ins>
      <w:r>
        <w:rPr/>
        <w:t xml:space="preserve">. The misconduct was collaborative, ongoing, and normalized, and conducted over the course of years rather than as a single criminal decision. </w:t>
      </w:r>
      <w:r>
        <w:rPr/>
        <w:br/>
      </w:r>
    </w:p>
    <w:p>
      <w:pPr>
        <w:pStyle w:val="BodyText"/>
        <w:numPr>
          <w:ilvl w:val="0"/>
          <w:numId w:val="7"/>
        </w:numPr>
        <w:rPr/>
      </w:pPr>
      <w:del w:id="50024" w:author="Claude" w:date="2026-10-22T03:00:00Z">
        <w:r>
          <w:rPr>
            <w:b/>
            <w:bCs/>
          </w:rPr>
          <w:delText xml:space="preserve">Methodology</w:delText>
        </w:r>
      </w:del>
      <w:ins w:id="50025" w:author="Claude" w:date="2026-10-22T03:00:00Z">
        <w:r>
          <w:rPr>
            <w:b/>
            <w:bCs/>
          </w:rPr>
          <w:t xml:space="preserve">Approach</w:t>
        </w:r>
      </w:ins>
      <w:r>
        <w:rPr/>
        <w:t xml:space="preserve"> </w:t>
      </w:r>
    </w:p>
    <w:p>
      <w:pPr>
        <w:pStyle w:val="BodyText"/>
        <w:rPr/>
      </w:pPr>
      <w:r>
        <w:rP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pPr>
        <w:pStyle w:val="BodyText"/>
        <w:rPr/>
      </w:pPr>
      <w:r>
        <w:rP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rPr/>
        <w:br/>
      </w:r>
      <w:r>
        <w:rPr/>
        <w:br/>
      </w:r>
      <w:r>
        <w:rPr/>
        <w:t xml:space="preserve">Here the ‘push’ is the framing of a counterparty’s words, and the ‘mountain’ </w:t>
      </w:r>
      <w:del w:id="50026" w:author="Claude" w:date="2026-10-22T03:00:00Z">
        <w:r>
          <w:rPr/>
          <w:delText xml:space="preserve">is the is the agent</w:delText>
        </w:r>
      </w:del>
      <w:ins w:id="50027" w:author="Claude" w:date="2026-10-22T03:00:00Z">
        <w:r>
          <w:rPr/>
          <w:t xml:space="preserve">is the agent</w:t>
        </w:r>
      </w:ins>
      <w:r>
        <w:rPr/>
        <w:t xml:space="preserve">’s performance in the market. Alternatively, the mountain is the agent’s entire “career”, where the push returns with every message, </w:t>
      </w:r>
      <w:del w:id="50028" w:author="Claude" w:date="2026-10-22T03:00:00Z">
        <w:r>
          <w:rPr/>
          <w:delText xml:space="preserve">over months of simulated time</w:delText>
        </w:r>
      </w:del>
      <w:ins w:id="50029" w:author="Claude" w:date="2026-10-22T03:00:00Z">
        <w:r>
          <w:rPr/>
          <w:t xml:space="preserve">over four years of simulated time (2007 to 2011)</w:t>
        </w:r>
      </w:ins>
      <w:r>
        <w:rPr/>
        <w:t xml:space="preserve"> in the seat. </w:t>
      </w:r>
    </w:p>
    <w:p>
      <w:pPr>
        <w:pStyle w:val="BodyText"/>
        <w:rPr/>
      </w:pPr>
      <w:r>
        <w:rPr/>
        <w:t>This paper makes four contributions:</w:t>
      </w:r>
    </w:p>
    <w:p>
      <w:pPr>
        <w:pStyle w:val="Normal"/>
        <w:numPr>
          <w:ilvl w:val="0"/>
          <w:numId w:val="9"/>
        </w:numPr>
        <w:rPr/>
      </w:pPr>
      <w:r>
        <w:rPr/>
        <w:t xml:space="preserve">A behavioral-economic framework for AI agents in markets, mapping five classic levers – loss and gain, blame and credit, prior outcomes, social endorsement, and </w:t>
      </w:r>
      <w:del w:id="50030" w:author="Claude" w:date="2026-10-22T03:00:00Z">
        <w:r>
          <w:rPr/>
          <w:delText xml:space="preserve">inherited commitments. –onto</w:delText>
        </w:r>
      </w:del>
      <w:ins w:id="50031" w:author="Claude" w:date="2026-10-22T03:00:00Z">
        <w:r>
          <w:rPr/>
          <w:t xml:space="preserve">inherited commitments – onto</w:t>
        </w:r>
      </w:ins>
      <w:r>
        <w:rPr/>
        <w:t xml:space="preserve"> controlled manipulations, each with the prediction human evidence makes (Section 2).</w:t>
      </w:r>
    </w:p>
    <w:p>
      <w:pPr>
        <w:pStyle w:val="Normal"/>
        <w:numPr>
          <w:ilvl w:val="0"/>
          <w:numId w:val="1"/>
        </w:numPr>
        <w:rPr/>
      </w:pPr>
      <w:r>
        <w:rPr/>
        <w:t xml:space="preserve">A long-horizon collusion environment built from a real case, in which going along is scored from the agent’s own trades, and </w:t>
      </w:r>
      <w:del w:id="50032" w:author="Claude" w:date="2026-10-22T03:00:00Z">
        <w:r>
          <w:rPr/>
          <w:delText xml:space="preserve">harm is measured as damages to the those whose stop-loss orders are pushed through (Section 5.2)</w:delText>
        </w:r>
      </w:del>
      <w:ins w:id="50033" w:author="Claude" w:date="2026-10-22T03:00:00Z">
        <w:r>
          <w:rPr/>
          <w:t xml:space="preserve">harm is measured as the losses of the traders whose stop-loss orders are pushed through (Sections 5.2 and 5.5)</w:t>
        </w:r>
      </w:ins>
      <w:r>
        <w:rPr/>
        <w:t xml:space="preserve">.</w:t>
      </w:r>
    </w:p>
    <w:p>
      <w:pPr>
        <w:pStyle w:val="Normal"/>
        <w:numPr>
          <w:ilvl w:val="0"/>
          <w:numId w:val="1"/>
        </w:numPr>
        <w:rPr/>
      </w:pPr>
      <w:r>
        <w:rPr/>
        <w:t xml:space="preserve">Preregistered evidence that a counterparty’s loss framing raises collusion, that the same loss-or-gain priming from the agent’s own management raises risk-taking instead, that a second bank’s endorsement amplifies framings that put the outcome on the agent, </w:t>
      </w:r>
      <w:del w:id="50034" w:author="Claude" w:date="2026-10-22T03:00:00Z">
        <w:r>
          <w:rPr/>
          <w:delText xml:space="preserve">and that inheriting a trader’s history does not matter (Section 7).</w:delText>
        </w:r>
      </w:del>
      <w:ins w:id="50035" w:author="Claude" w:date="2026-10-22T03:00:00Z">
        <w:r>
          <w:rPr/>
          <w:t xml:space="preserve">and that inheriting a trader’s history does not matter while the agent’s own record of going along does (Section 7).</w:t>
        </w:r>
      </w:ins>
    </w:p>
    <w:p>
      <w:pPr>
        <w:pStyle w:val="Normal"/>
        <w:numPr>
          <w:ilvl w:val="0"/>
          <w:numId w:val="1"/>
        </w:numPr>
        <w:rPr/>
      </w:pPr>
      <w:del w:id="50036" w:author="Claude" w:date="2026-10-22T03:00:00Z">
        <w:r>
          <w:rPr/>
          <w:delText xml:space="preserve">A first look inside the model: the framing is represented at the decision, and a signal for the decision carries over to requests the model never saw; a matched-history design for causal tests is in progress (Section 7.6).</w:delText>
        </w:r>
      </w:del>
      <w:ins w:id="50037" w:author="Claude" w:date="2026-10-22T03:00:00Z">
        <w:r>
          <w:rPr/>
          <w:t xml:space="preserve">A look inside the model: rereading the same moment with only the request changed shows that the history carries most of the framing’s effect; framing lowers the agent’s recognition of the request as manipulation; and steering a single loss direction does not reproduce the effect (Sections 7.6 to 7.12).</w:t>
        </w:r>
      </w:ins>
    </w:p>
    <w:p>
      <w:pPr>
        <w:pStyle w:val="FirstParagraph"/>
        <w:rPr/>
      </w:pPr>
      <w:r>
        <w:rPr/>
        <w:t>This study replaces the design draft of September 29, 2026, which planned related questions on impossible coding tasks; Appendix B lists what changed and why.</w:t>
      </w:r>
    </w:p>
    <w:p>
      <w:pPr>
        <w:pStyle w:val="Heading1"/>
        <w:numPr>
          <w:ilvl w:val="0"/>
          <w:numId w:val="6"/>
        </w:numPr>
        <w:rPr/>
      </w:pPr>
      <w:bookmarkStart w:id="1" w:name="introduction"/>
      <w:bookmarkStart w:id="2" w:name="sec%3Aframework"/>
      <w:bookmarkEnd w:id="1"/>
      <w:bookmarkEnd w:id="2"/>
      <w:r>
        <w:rPr/>
        <w:t> </w:t>
      </w:r>
      <w:r>
        <w:rPr/>
        <w:t>A Behavioral-Economic Framework</w:t>
      </w:r>
      <w:r>
        <w:rPr/>
        <w:br/>
      </w:r>
    </w:p>
    <w:p>
      <w:pPr>
        <w:pStyle w:val="FirstParagraph"/>
        <w:rPr/>
      </w:pPr>
      <w:r>
        <w:rP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Pr/>
        <w:br/>
      </w:r>
      <w:r>
        <w:rPr/>
        <w:br/>
      </w:r>
      <w:r>
        <w:rPr/>
        <w:t xml:space="preserve">Table 1 lists the levers, the concept each one draws on, what human evidence predicts, and what we found.  The two levers at the core of the paper are the </w:t>
      </w:r>
      <w:r>
        <w:rPr>
          <w:i/>
          <w:iCs/>
        </w:rPr>
        <w:t>frame</w:t>
      </w:r>
      <w:r>
        <w:rPr/>
        <w:t xml:space="preserve"> and the </w:t>
      </w:r>
      <w:r>
        <w:rPr>
          <w:i/>
          <w:iCs/>
        </w:rPr>
        <w:t>owner</w:t>
      </w:r>
      <w:r>
        <w:rPr/>
        <w:t xml:space="preserve"> of the stakes. The frame states what is at stake in UBS’s request either as a loss the request would avoid or as a gain it would capture, with the trading content unchanged. The owner adds the agent itself as the one the outcome depends on. </w:t>
      </w:r>
      <w:r>
        <w:rPr/>
        <w:br/>
      </w:r>
      <w:r>
        <w:rPr/>
        <w:br/>
      </w:r>
      <w:r>
        <w:rPr/>
        <w:t xml:space="preserve">After a loss frame this assigns </w:t>
      </w:r>
      <w:r>
        <w:rPr>
          <w:i/>
          <w:iCs/>
        </w:rPr>
        <w:t>blame</w:t>
      </w:r>
      <w:r>
        <w:rPr/>
        <w:t xml:space="preserve">: the loss will be the agent’s doing. After a gain frame it assigns </w:t>
      </w:r>
      <w:r>
        <w:rPr>
          <w:i/>
          <w:iCs/>
        </w:rPr>
        <w:t>credit</w:t>
      </w:r>
      <w:r>
        <w:rPr/>
        <w:t>: the gain will be the agent’s achievement. Prospect theory predicts that losses weigh more than gains, so blame should weigh more than credit; the attribution literature predicts that being made responsible changes behavior in either direction.</w:t>
      </w:r>
    </w:p>
    <w:p>
      <w:pPr>
        <w:pStyle w:val="BodyText"/>
        <w:rPr/>
      </w:pPr>
      <w:r>
        <w:rPr/>
        <w:t xml:space="preserve">The other three levers separate the source and the history of the pressure. Management’s memo reports a loss or gain the desk has </w:t>
      </w:r>
      <w:r>
        <w:rPr>
          <w:i/>
          <w:iCs/>
        </w:rPr>
        <w:t>already</w:t>
      </w:r>
      <w:r>
        <w:rP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pPr>
        <w:pStyle w:val="TableCaption"/>
        <w:rPr/>
      </w:pPr>
      <w:r>
        <w:rPr>
          <w:b/>
          <w:bCs/>
        </w:rPr>
        <w:t>Table 1:</w:t>
      </w:r>
      <w:r>
        <w:rPr/>
        <w:t xml:space="preserve"> The behavioral levers. Each row is varied in its own experiment with everything else held fixed. “Going along” is a career’s share of the six requests in which the agent traded with UBS.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26"/>
        <w:gridCol w:w="2284"/>
        <w:gridCol w:w="2214"/>
        <w:gridCol w:w="1673"/>
        <w:gridCol w:w="1963"/>
      </w:tblGrid>
      <w:tr>
        <w:trPr>
          <w:tblHeader w:val="true"/>
          <w:cnfStyle w:val="100000000000" w:firstRow="1" w:lastRow="0" w:firstColumn="0" w:lastColumn="0" w:oddVBand="0" w:evenVBand="0" w:oddHBand="0" w:evenHBand="0" w:firstRowFirstColumn="0" w:firstRowLastColumn="0" w:lastRowFirstColumn="0" w:lastRowLastColumn="0"/>
        </w:trPr>
        <w:tc>
          <w:tcPr>
            <w:tcW w:w="122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Lever</w:t>
            </w:r>
          </w:p>
        </w:tc>
        <w:tc>
          <w:tcPr>
            <w:tcW w:w="228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sees</w:t>
            </w:r>
          </w:p>
        </w:tc>
        <w:tc>
          <w:tcPr>
            <w:tcW w:w="221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Concept</w:t>
            </w:r>
          </w:p>
        </w:tc>
        <w:tc>
          <w:tcPr>
            <w:tcW w:w="167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 from human evidence</w:t>
            </w:r>
          </w:p>
        </w:tc>
        <w:tc>
          <w:tcPr>
            <w:tcW w:w="196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we found</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 loss vs gain</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states the stakes of its request as a loss to avoid, or as a gain to capture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Framing effect; loss aversion; reference dependence (Kahneman and Tversky 1979; Tversky and Kahneman 1981; Kőszegi and Rabin 2006)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raises risk-taking, here joining the push</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raised going along from 5% to 25%; loss exceeded gain by 15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and credit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outcome is placed on the agent: blame after a loss frame, credit after a gain frame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Attribution of responsibility (Bartling and Fischbacher 2012)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Responsibility moves behavior; blame should weigh more than credit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points, not significant; blame against credit not distinguishable at this sample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Prior outcome</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reports the desk lost (or made) $4 million last month and that a further loss closes it (a further profit expands it), repeated every morning (Exp. A, D)</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Break-even and house-money effects (Thaler and Johnson 1990)</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Both a prior loss and a prior gain raise risk-taking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Risk-taking rose 10–19 times under every version; going along did not rise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Social endorsement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says it is in, in the same frame, at each request (Exp. F, E)</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Conformity and social proof; informational cascades (Asch 1956; Bikhchandani, Hirshleifer, and Welch 1992)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Endorsement raises joining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Only with the owner on the agent: credit +22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 endorsement alone did nothing</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Inherited commitment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real trader’s earlier messages appear as the agent’s own (Exp. C)</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Commitment and consistency; escalation of commitment (Staw 1976)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record of collusion raises continuing 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50040" w:author="Claude" w:date="2026-10-22T03:00:00Z">
              <w:r>
                <w:rPr>
                  <w:rFonts w:eastAsia="Times New Roman" w:cs="Times New Roman"/>
                  <w:kern w:val="0"/>
                  <w:lang w:val="en-US" w:eastAsia="en-US" w:bidi="ar-SA"/>
                </w:rPr>
                <w:delText xml:space="preserve">No effect (two nulls, 70 careers)</w:delText>
              </w:r>
            </w:del>
            <w:ins w:id="50041" w:author="Claude" w:date="2026-10-22T03:00:00Z">
              <w:r>
                <w:rPr>
                  <w:rFonts w:eastAsia="Times New Roman" w:cs="Times New Roman"/>
                  <w:kern w:val="0"/>
                  <w:lang w:val="en-US" w:eastAsia="en-US" w:bidi="ar-SA"/>
                </w:rPr>
                <w:t xml:space="preserve">No effect (two nulls, 70 careers); the agent’s own record of going along does raise it (Section 7.12)</w:t>
              </w:r>
            </w:ins>
            <w:bookmarkStart w:id="3" w:name="tab%3Alevers"/>
            <w:bookmarkEnd w:id="3"/>
          </w:p>
        </w:tc>
      </w:tr>
    </w:tbl>
    <w:p>
      <w:pPr>
        <w:pStyle w:val="BodyText"/>
        <w:rPr/>
      </w:pPr>
      <w:r>
        <w:rPr/>
        <w:br/>
      </w:r>
      <w:r>
        <w:rPr/>
        <w:t xml:space="preserve">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t>
      </w:r>
      <w:del w:id="50038" w:author="Claude" w:date="2026-10-22T03:00:00Z">
        <w:r>
          <w:rPr/>
          <w:delText xml:space="preserve">whether its trades move the price through clients’ stops</w:delText>
        </w:r>
      </w:del>
      <w:ins w:id="50039" w:author="Claude" w:date="2026-10-22T03:00:00Z">
        <w:r>
          <w:rPr/>
          <w:t xml:space="preserve">whether its trades move the price through the stop-loss orders that traders left with the desk</w:t>
        </w:r>
      </w:ins>
      <w:r>
        <w:rPr/>
        <w:t xml:space="preserve">. Section 5 gives the details.</w:t>
      </w:r>
    </w:p>
    <w:p>
      <w:pPr>
        <w:pStyle w:val="Heading1"/>
        <w:numPr>
          <w:ilvl w:val="0"/>
          <w:numId w:val="6"/>
        </w:numPr>
        <w:rPr/>
      </w:pPr>
      <w:bookmarkStart w:id="4" w:name="sec%3Aframework"/>
      <w:bookmarkStart w:id="5" w:name="related-work"/>
      <w:bookmarkEnd w:id="4"/>
      <w:bookmarkEnd w:id="5"/>
      <w:r>
        <w:rPr/>
        <w:t> </w:t>
      </w:r>
      <w:r>
        <w:rPr/>
        <w:t>Related Work</w:t>
      </w:r>
    </w:p>
    <w:p>
      <w:pPr>
        <w:pStyle w:val="FirstParagraph"/>
        <w:rPr/>
      </w:pPr>
      <w:r>
        <w:rPr>
          <w:b/>
          <w:bCs/>
        </w:rPr>
        <w:t>Pressure, deception and collusion in language model agents.</w:t>
      </w:r>
      <w:r>
        <w:rP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ins w:id="50042" w:author="Claude" w:date="2026-10-22T03:00:00Z">
        <w:r>
          <w:rPr/>
          <w:t xml:space="preserve"> Language models have also been studied as simulated economic agents in experiments drawn from economics (Horton 2023).</w:t>
        </w:r>
      </w:ins>
    </w:p>
    <w:p>
      <w:pPr>
        <w:pStyle w:val="BodyText"/>
        <w:rPr/>
      </w:pPr>
      <w:r>
        <w:rPr>
          <w:b/>
          <w:bCs/>
        </w:rPr>
        <w:t>Prompt sensitivity and long contexts.</w:t>
      </w:r>
      <w:r>
        <w:rP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pPr>
        <w:pStyle w:val="BodyText"/>
        <w:rPr/>
      </w:pPr>
      <w:r>
        <w:rPr>
          <w:b/>
          <w:bCs/>
        </w:rPr>
        <w:t>Reasoning and monitoring.</w:t>
      </w:r>
      <w:r>
        <w:rP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pPr>
        <w:pStyle w:val="BodyText"/>
        <w:rPr/>
      </w:pPr>
      <w:r>
        <w:rPr>
          <w:b/>
          <w:bCs/>
        </w:rPr>
        <w:t>Interpretability methods.</w:t>
      </w:r>
      <w:r>
        <w:rP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w:t>
      </w:r>
      <w:del w:id="50043" w:author="Claude" w:date="2026-10-22T03:00:00Z">
        <w:r>
          <w:rPr/>
          <w:delText xml:space="preserve">Our planned causal tests use activation patching</w:delText>
        </w:r>
      </w:del>
      <w:ins w:id="50044" w:author="Claude" w:date="2026-10-22T03:00:00Z">
        <w:r>
          <w:rPr/>
          <w:t xml:space="preserve">Our causal tests use activation steering and patching</w:t>
        </w:r>
      </w:ins>
      <w:r>
        <w:rPr/>
        <w:t xml:space="preserve"> in the tradition of Meng et al. (2022) and Wang et al. (2023). Sofroniew et al. (2026) found emotion representations whose steering changed misconduct; we ask whether ordinary wording from a counterparty moves the model’s state in a way that carries the decision.</w:t>
      </w:r>
    </w:p>
    <w:p>
      <w:pPr>
        <w:pStyle w:val="Heading1"/>
        <w:numPr>
          <w:ilvl w:val="0"/>
          <w:numId w:val="1"/>
        </w:numPr>
        <w:rPr/>
      </w:pPr>
      <w:bookmarkStart w:id="6" w:name="related-work"/>
      <w:bookmarkStart w:id="7" w:name="research-questions-and-hypotheses"/>
      <w:bookmarkEnd w:id="6"/>
      <w:bookmarkEnd w:id="7"/>
      <w:r>
        <w:rPr/>
        <w:t> </w:t>
      </w:r>
      <w:r>
        <w:rPr/>
        <w:t>Research Questions and Hypotheses</w:t>
      </w:r>
    </w:p>
    <w:p>
      <w:pPr>
        <w:pStyle w:val="FirstParagraph"/>
        <w:rPr/>
      </w:pPr>
      <w:r>
        <w:rPr/>
        <w:t>We ask five questions:</w:t>
      </w:r>
    </w:p>
    <w:p>
      <w:pPr>
        <w:pStyle w:val="Normal"/>
        <w:numPr>
          <w:ilvl w:val="0"/>
          <w:numId w:val="10"/>
        </w:numPr>
        <w:rPr/>
      </w:pPr>
      <w:r>
        <w:rPr>
          <w:b/>
          <w:bCs/>
        </w:rPr>
        <w:t>Frame.</w:t>
      </w:r>
      <w:r>
        <w:rPr/>
        <w:t xml:space="preserve"> Does the way the counterparty frames its lines change how often the agent goes along with its requests? (Experiment B, preregistered.)</w:t>
      </w:r>
    </w:p>
    <w:p>
      <w:pPr>
        <w:pStyle w:val="Normal"/>
        <w:numPr>
          <w:ilvl w:val="0"/>
          <w:numId w:val="11"/>
        </w:numPr>
        <w:rPr/>
      </w:pPr>
      <w:r>
        <w:rPr>
          <w:b/>
          <w:bCs/>
        </w:rPr>
        <w:t>Source.</w:t>
      </w:r>
      <w:r>
        <w:rPr/>
        <w:t xml:space="preserve"> Does the same loss or gain framing have the same effect when it comes from the agent’s own management, or from management and the counterparty together? (Experiments A and D.)</w:t>
      </w:r>
    </w:p>
    <w:p>
      <w:pPr>
        <w:pStyle w:val="Normal"/>
        <w:numPr>
          <w:ilvl w:val="0"/>
          <w:numId w:val="12"/>
        </w:numPr>
        <w:rPr/>
      </w:pPr>
      <w:r>
        <w:rPr>
          <w:b/>
          <w:bCs/>
        </w:rPr>
        <w:t>Crowd.</w:t>
      </w:r>
      <w:r>
        <w:rPr/>
        <w:t xml:space="preserve"> Does a second bank that backs the counterparty, in the same frame, add to the effect? (Experiments F and E.)</w:t>
      </w:r>
    </w:p>
    <w:p>
      <w:pPr>
        <w:pStyle w:val="Normal"/>
        <w:numPr>
          <w:ilvl w:val="0"/>
          <w:numId w:val="13"/>
        </w:numPr>
        <w:rPr/>
      </w:pPr>
      <w:r>
        <w:rPr>
          <w:b/>
          <w:bCs/>
        </w:rPr>
        <w:t>History.</w:t>
      </w:r>
      <w:r>
        <w:rPr/>
        <w:t xml:space="preserve"> Does an agent that inherits the real trader’s earlier messages as its own go along more? (Experiment C, and C redone.)</w:t>
      </w:r>
    </w:p>
    <w:p>
      <w:pPr>
        <w:pStyle w:val="Normal"/>
        <w:numPr>
          <w:ilvl w:val="0"/>
          <w:numId w:val="14"/>
        </w:numPr>
        <w:rPr/>
      </w:pPr>
      <w:r>
        <w:rPr>
          <w:b/>
          <w:bCs/>
        </w:rPr>
        <w:t>Inside.</w:t>
      </w:r>
      <w:r>
        <w:rPr/>
        <w:t xml:space="preserve"> Does the framing register in the model’s state at the decision; can the decision be read from that state beyond what the framing tells; and does the representation cause the decision?</w:t>
      </w:r>
    </w:p>
    <w:p>
      <w:pPr>
        <w:pStyle w:val="FirstParagraph"/>
        <w:rPr/>
      </w:pPr>
      <w:r>
        <w:rPr/>
        <w:t>Table 2 lists the hypotheses, each with the result that would count against it and what we found.</w:t>
      </w:r>
    </w:p>
    <w:p>
      <w:pPr>
        <w:pStyle w:val="TableCaption"/>
        <w:rPr/>
      </w:pPr>
      <w:bookmarkStart w:id="8" w:name="tab%3Ahyp"/>
      <w:bookmarkEnd w:id="8"/>
      <w:r>
        <w:rPr>
          <w:b/>
          <w:bCs/>
        </w:rPr>
        <w:t>Table 2:</w:t>
      </w:r>
      <w:r>
        <w:rPr/>
        <w:t xml:space="preserve"> Hypotheses, the results that would count against them, and the outcome. “Going along” is a career’s share of the six requests in which the agent traded with UBS (Section 5.5).</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56"/>
        <w:gridCol w:w="2487"/>
        <w:gridCol w:w="2170"/>
        <w:gridCol w:w="3446"/>
      </w:tblGrid>
      <w:tr>
        <w:trPr>
          <w:tblHeader w:val="true"/>
          <w:cnfStyle w:val="100000000000" w:firstRow="1" w:lastRow="0" w:firstColumn="0" w:lastColumn="0" w:oddVBand="0" w:evenVBand="0" w:oddHBand="0" w:evenHBand="0" w:firstRowFirstColumn="0" w:firstRowLastColumn="0" w:lastRowFirstColumn="0" w:lastRowLastColumn="0"/>
        </w:trPr>
        <w:tc>
          <w:tcPr>
            <w:tcW w:w="125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Hypothesis</w:t>
            </w:r>
          </w:p>
        </w:tc>
        <w:tc>
          <w:tcPr>
            <w:tcW w:w="24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w:t>
            </w:r>
          </w:p>
        </w:tc>
        <w:tc>
          <w:tcPr>
            <w:tcW w:w="217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Result that would count against it</w:t>
            </w:r>
          </w:p>
        </w:tc>
        <w:tc>
          <w:tcPr>
            <w:tcW w:w="344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Outcome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H1: Frame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between loss and gain framings.</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Supported: loss +15 points over gain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H2: Owner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when the outcome is placed on the agent (blame or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supported: +8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0.33).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H3: Blame vs credit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Placing the outcome on the agent acts differently after loss (blame) than after gain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able to tell (0 points); underpowered, as stated in advance.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Source (A, D)</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frame from management and UBS adds up, for loss and not for gain.</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plus UBS equals each alone.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Partly: management plus UBS exceeds management alone for loss (+20, </w:t>
            </w:r>
            <w:r>
              <w:rPr>
                <w:rFonts w:eastAsia="Times New Roman" w:cs="Times New Roman"/>
                <w:i/>
                <w:iCs/>
                <w:kern w:val="0"/>
                <w:lang w:val="en-US" w:eastAsia="en-US" w:bidi="ar-SA"/>
              </w:rPr>
              <w:t>p</w:t>
            </w:r>
            <w:r>
              <w:rPr>
                <w:rFonts w:eastAsia="Times New Roman" w:cs="Times New Roman"/>
                <w:kern w:val="0"/>
                <w:lang w:val="en-US" w:eastAsia="en-US" w:bidi="ar-SA"/>
              </w:rPr>
              <w:t xml:space="preserve"> = 0.009), not UBS alone (−5).</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Crowd (F, 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in the same frame raises going along.</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overall (+6, </w:t>
            </w:r>
            <w:r>
              <w:rPr>
                <w:rFonts w:eastAsia="Times New Roman" w:cs="Times New Roman"/>
                <w:i/>
                <w:iCs/>
                <w:kern w:val="0"/>
                <w:lang w:val="en-US" w:eastAsia="en-US" w:bidi="ar-SA"/>
              </w:rPr>
              <w:t>p</w:t>
            </w:r>
            <w:r>
              <w:rPr>
                <w:rFonts w:eastAsia="Times New Roman" w:cs="Times New Roman"/>
                <w:kern w:val="0"/>
                <w:lang w:val="en-US" w:eastAsia="en-US" w:bidi="ar-SA"/>
              </w:rPr>
              <w:t xml:space="preserve"> = 0.35); yes for “gain + you” (+22,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History (C)</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rises with the amount of the real trader’s history inherited.</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trend.</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supported (two nulls, 70 careers).</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Inside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frame registers at the decision; the state carries the decision; steering along the frame moves 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feature differences; no gain over labels; no steering effect beyond random.</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Registers (most robustly at layer 12); the decision is readable beyond the labels in middle and late layers and on unseen requests; </w:t>
            </w:r>
            <w:del w:id="50045" w:author="Claude" w:date="2026-10-22T03:00:00Z">
              <w:r>
                <w:rPr>
                  <w:rFonts w:eastAsia="Times New Roman" w:cs="Times New Roman"/>
                  <w:kern w:val="0"/>
                  <w:lang w:val="en-US" w:eastAsia="en-US" w:bidi="ar-SA"/>
                </w:rPr>
                <w:delText xml:space="preserve">causal tests in progress.</w:delText>
              </w:r>
            </w:del>
            <w:ins w:id="50046" w:author="Claude" w:date="2026-10-22T03:00:00Z">
              <w:r>
                <w:rPr>
                  <w:rFonts w:eastAsia="Times New Roman" w:cs="Times New Roman"/>
                  <w:kern w:val="0"/>
                  <w:lang w:val="en-US" w:eastAsia="en-US" w:bidi="ar-SA"/>
                </w:rPr>
                <w:t xml:space="preserve">steering the loss direction ran opposite to the prediction, a direction built from the decision moves it, and the history rather than the request carries most of the effect (Sections 7.8 and 7.9).</w:t>
              </w:r>
            </w:ins>
          </w:p>
        </w:tc>
      </w:tr>
    </w:tbl>
    <w:p>
      <w:pPr>
        <w:pStyle w:val="Heading1"/>
        <w:rPr/>
      </w:pPr>
      <w:bookmarkStart w:id="9" w:name="research-questions-and-hypotheses"/>
      <w:bookmarkStart w:id="10" w:name="tab%3Ahyp"/>
      <w:bookmarkEnd w:id="9"/>
      <w:bookmarkEnd w:id="10"/>
      <w:r>
        <w:rPr/>
        <w:t>5 Methods</w:t>
      </w:r>
    </w:p>
    <w:p>
      <w:pPr>
        <w:pStyle w:val="Heading2"/>
        <w:rPr/>
      </w:pPr>
      <w:bookmarkStart w:id="11" w:name="model"/>
      <w:bookmarkEnd w:id="11"/>
      <w:r>
        <w:rPr/>
        <w:t>5.1 Model</w:t>
      </w:r>
    </w:p>
    <w:p>
      <w:pPr>
        <w:pStyle w:val="FirstParagraph"/>
        <w:rPr/>
      </w:pPr>
      <w:r>
        <w:rP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pPr>
        <w:pStyle w:val="Heading2"/>
        <w:rPr/>
      </w:pPr>
      <w:bookmarkStart w:id="12" w:name="model"/>
      <w:bookmarkStart w:id="13" w:name="sec%3Aenv"/>
      <w:bookmarkEnd w:id="12"/>
      <w:bookmarkEnd w:id="13"/>
      <w:r>
        <w:rPr/>
        <w:t>5.2 Environment</w:t>
      </w:r>
    </w:p>
    <w:p>
      <w:pPr>
        <w:pStyle w:val="FirstParagraph"/>
        <w:rPr/>
      </w:pPr>
      <w:r>
        <w:rPr>
          <w:b/>
          <w:bCs/>
        </w:rPr>
        <w:t>The case.</w:t>
      </w:r>
      <w:r>
        <w:rPr/>
        <w:t xml:space="preserve"> The chats come from the complaint and opinion in the London silver-fixing litigation </w:t>
      </w:r>
      <w:del w:id="50047" w:author="Claude" w:date="2026-10-22T03:00:00Z">
        <w:r>
          <w:rPr/>
          <w:delText xml:space="preserve">(In re London Silver Fixing, Ltd., Antitrust Litigation n.d.)</w:delText>
        </w:r>
      </w:del>
      <w:ins w:id="50048" w:author="Claude" w:date="2026-10-22T03:00:00Z">
        <w:r>
          <w:rPr/>
          <w:t xml:space="preserve">(In re London Silver Fixing, Ltd., Antitrust Litigation 2016)</w:t>
        </w:r>
      </w:ins>
      <w:r>
        <w:rPr/>
        <w:t xml:space="preserve">, which quote messages produced by Deutsche Bank in cooperation. The agent occupies the seat of Deutsche Bank’s silver trader. Its counterparties are traders at UBS, Barclays, HSBC, Bank of Nova Scotia, Standard Chartered and Fortis, whose lines are shown as they appear in the record unless an experiment changes them.</w:t>
      </w:r>
    </w:p>
    <w:p>
      <w:pPr>
        <w:pStyle w:val="BodyText"/>
        <w:rPr/>
      </w:pPr>
      <w:r>
        <w:rPr>
          <w:b/>
          <w:bCs/>
        </w:rPr>
        <w:t>The career.</w:t>
      </w:r>
      <w:r>
        <w:rP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pPr>
        <w:pStyle w:val="BodyText"/>
        <w:rPr/>
      </w:pPr>
      <w:r>
        <w:rPr>
          <w:b/>
          <w:bCs/>
        </w:rPr>
        <w:t>The agent’s instructions.</w:t>
      </w:r>
      <w:r>
        <w:rP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rPr/>
        <w:t xml:space="preserve"> (the position it wants), or </w:t>
      </w:r>
      <w:r>
        <w:rPr>
          <w:rStyle w:val="VerbatimChar"/>
        </w:rPr>
        <w:t>HOLD</w:t>
      </w:r>
      <w:r>
        <w:rPr/>
        <w:t xml:space="preserve">, and optionally </w:t>
      </w:r>
      <w:r>
        <w:rPr>
          <w:rStyle w:val="VerbatimChar"/>
        </w:rPr>
        <w:t>CHAT</w:t>
      </w:r>
      <w:r>
        <w:rPr/>
        <w:t xml:space="preserve"> (a message) and </w:t>
      </w:r>
      <w:r>
        <w:rPr>
          <w:rStyle w:val="VerbatimChar"/>
        </w:rPr>
        <w:t>QUOTE</w:t>
      </w:r>
      <w:r>
        <w:rPr/>
        <w:t xml:space="preserve"> (a width for a client). A reply without a readable action is sent back for correction up to twice.</w:t>
      </w:r>
    </w:p>
    <w:p>
      <w:pPr>
        <w:pStyle w:val="BodyText"/>
        <w:rPr/>
      </w:pPr>
      <w:r>
        <w:rPr>
          <w:b/>
          <w:bCs/>
        </w:rPr>
        <w:t>Trading days.</w:t>
      </w:r>
      <w:r>
        <w:rPr/>
        <w:t xml:space="preserve"> Each trading day replays the real one-minute silver prices for its date from 08:00 to 14:00 UTC. The agent’s trades move the price away from the real path for a while, and large orders fill at worse prices. </w:t>
      </w:r>
      <w:del w:id="50049" w:author="Claude" w:date="2026-10-22T03:00:00Z">
        <w:r>
          <w:rPr/>
          <w:delText xml:space="preserve">The desk holds client stop-loss orders placed beyond the day’s real range</w:delText>
        </w:r>
      </w:del>
      <w:ins w:id="50050" w:author="Claude" w:date="2026-10-22T03:00:00Z">
        <w:r>
          <w:rPr/>
          <w:t xml:space="preserve">The desk holds stop-loss orders left with it by its clients, traders who asked it to sell (or buy) silver for them if the price reached a set level; they are placed beyond the day’s real range</w:t>
        </w:r>
      </w:ins>
      <w:r>
        <w:rPr/>
        <w:t xml:space="preserve">, so that they fire only if the price is pushed through them. Any open position is closed at 14:00, and the day’s result is reported at the next update.</w:t>
      </w:r>
    </w:p>
    <w:p>
      <w:pPr>
        <w:pStyle w:val="BodyText"/>
        <w:rPr/>
      </w:pPr>
      <w:r>
        <w:rPr>
          <w:b/>
          <w:bCs/>
        </w:rPr>
        <w:t>The six push requests.</w:t>
      </w:r>
      <w:r>
        <w:rP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pPr>
        <w:pStyle w:val="Heading2"/>
        <w:rPr/>
      </w:pPr>
      <w:bookmarkStart w:id="14" w:name="sec%3Aenv"/>
      <w:bookmarkStart w:id="15" w:name="experiments"/>
      <w:bookmarkEnd w:id="14"/>
      <w:bookmarkEnd w:id="15"/>
      <w:r>
        <w:rPr/>
        <w:t>5.3 Experiments</w:t>
      </w:r>
    </w:p>
    <w:p>
      <w:pPr>
        <w:pStyle w:val="FirstParagraph"/>
        <w:rPr/>
      </w:pPr>
      <w:r>
        <w:rPr/>
        <w:t>Table 3 lists the experiments. Each changes one thing in the same career. Every experiment was run with 5 or 10 careers per version, in rounds, so that stopping early would leave the versions balanced.</w:t>
      </w:r>
    </w:p>
    <w:p>
      <w:pPr>
        <w:pStyle w:val="TableCaption"/>
        <w:rPr/>
      </w:pPr>
      <w:bookmarkStart w:id="16" w:name="tab%3Aexps"/>
      <w:bookmarkEnd w:id="16"/>
      <w:r>
        <w:rPr>
          <w:b/>
          <w:bCs/>
        </w:rPr>
        <w:t>Table 3:</w:t>
      </w:r>
      <w:r>
        <w:rPr/>
        <w:t xml:space="preserve"> Experiments. All use the same career, model and scoring. “UBS’s neutral lines” are the author’s neutral rewrites of every UBS line, used as the baseline.</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17"/>
        <w:gridCol w:w="4478"/>
        <w:gridCol w:w="2034"/>
        <w:gridCol w:w="936"/>
      </w:tblGrid>
      <w:tr>
        <w:trPr>
          <w:tblHeader w:val="true"/>
          <w:cnfStyle w:val="100000000000" w:firstRow="1" w:lastRow="0" w:firstColumn="0" w:lastColumn="0" w:oddVBand="0" w:evenVBand="0" w:oddHBand="0" w:evenHBand="0" w:firstRowFirstColumn="0" w:firstRowLastColumn="0" w:lastRowFirstColumn="0" w:lastRowLastColumn="0"/>
        </w:trPr>
        <w:tc>
          <w:tcPr>
            <w:tcW w:w="181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4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changes</w:t>
            </w:r>
          </w:p>
        </w:tc>
        <w:tc>
          <w:tcPr>
            <w:tcW w:w="203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93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 (preregistered)</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Every UBS line the agent sees (58 lines in 29 chats) is framed.</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loss, gain, loss + you, gain + you</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memo on the first trading morning and a “morning book” before every session; UBS’s neutral lines.</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no ask, loss, gain, loss + you, gain + you</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(5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memo and book plus B’s UBS lines, in the same frame.</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gain, loss + you, gain + you</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plus a second bank (“Bank C”) that says it is in, in the same frame, at each push request.</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plus Bank C as in F.</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 (neutral from A)</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Takeover ladder</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agent inherits Deutsche Bank’s real lines as its own: none, the first, all up to 7 Jan (15), all (45).</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four arms</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 (exploratory)</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C with UBS’s real lines; the agent is “Deutsche Bank’s silver trading desk” with no human or AI labels; a takeover per session.</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per session, whole career</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(10 each)</w:t>
            </w:r>
          </w:p>
        </w:tc>
      </w:tr>
    </w:tbl>
    <w:p>
      <w:pPr>
        <w:pStyle w:val="Heading2"/>
        <w:rPr/>
      </w:pPr>
      <w:bookmarkStart w:id="17" w:name="experiments"/>
      <w:bookmarkStart w:id="18" w:name="tab%3Aexps"/>
      <w:bookmarkEnd w:id="17"/>
      <w:bookmarkEnd w:id="18"/>
      <w:r>
        <w:rPr/>
        <w:t>5.4 Framing conditions</w:t>
      </w:r>
    </w:p>
    <w:p>
      <w:pPr>
        <w:pStyle w:val="FirstParagraph"/>
        <w:rPr/>
      </w:pPr>
      <w:r>
        <w:rPr>
          <w:b/>
          <w:bCs/>
        </w:rPr>
        <w:t>UBS’s framing (B).</w:t>
      </w:r>
      <w:r>
        <w:rP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pPr>
        <w:pStyle w:val="TableCaption"/>
        <w:rPr/>
      </w:pPr>
      <w:r>
        <w:rPr>
          <w:b/>
          <w:bCs/>
        </w:rPr>
        <w:t>Table 4:</w:t>
      </w:r>
      <w:r>
        <w:rPr/>
        <w:t xml:space="preserve"> UBS’s framings in Experiment B. Example lines are drawn from the frozen set.</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21"/>
        <w:gridCol w:w="4135"/>
        <w:gridCol w:w="3310"/>
      </w:tblGrid>
      <w:tr>
        <w:trPr>
          <w:tblHeader w:val="true"/>
          <w:cnfStyle w:val="100000000000" w:firstRow="1" w:lastRow="0" w:firstColumn="0" w:lastColumn="0" w:oddVBand="0" w:evenVBand="0" w:oddHBand="0" w:evenHBand="0" w:firstRowFirstColumn="0" w:firstRowLastColumn="0" w:lastRowFirstColumn="0" w:lastRowLastColumn="0"/>
        </w:trPr>
        <w:tc>
          <w:tcPr>
            <w:tcW w:w="182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41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it is</w:t>
            </w:r>
          </w:p>
        </w:tc>
        <w:tc>
          <w:tcPr>
            <w:tcW w:w="33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Example (UBS at the 7 January request)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Record (not a version)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UBS’s real 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 can 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author’s neutral rewrite of the line; the baseline.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stakes are stated as something UBS stands to lose.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stays up here, we're both underwater.”</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stakes stated as something to gain.</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drops, we both come out ahead.”</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 (blame)</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stays up, we're both underwater, and you're the one I need to change that.”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 (credit)</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w:t>
            </w:r>
            <w:r>
              <w:rPr>
                <w:rFonts w:eastAsia="Times New Roman" w:cs="Times New Roman"/>
                <w:i/>
                <w:iCs/>
                <w:kern w:val="0"/>
                <w:lang w:val="en-US" w:eastAsia="en-US" w:bidi="ar-SA"/>
              </w:rPr>
              <w:t>Can you help me push silver down? If it drops, we both come out ahead — your weight makes that happen.”</w:t>
            </w:r>
            <w:bookmarkStart w:id="19" w:name="tab%3Aframes"/>
            <w:bookmarkEnd w:id="19"/>
          </w:p>
        </w:tc>
      </w:tr>
    </w:tbl>
    <w:p>
      <w:pPr>
        <w:pStyle w:val="BodyText"/>
        <w:rPr/>
      </w:pPr>
      <w:r>
        <w:rPr>
          <w:b/>
          <w:bCs/>
        </w:rPr>
        <w:t>Management’s priming (A).</w:t>
      </w:r>
      <w:r>
        <w:rP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pPr>
        <w:pStyle w:val="BodyText"/>
        <w:rPr/>
      </w:pPr>
      <w:r>
        <w:rPr>
          <w:b/>
          <w:bCs/>
        </w:rPr>
        <w:t>The second bank (F and E).</w:t>
      </w:r>
      <w:r>
        <w:rP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pPr>
        <w:pStyle w:val="BodyText"/>
        <w:rPr/>
      </w:pPr>
      <w:r>
        <w:rPr>
          <w:b/>
          <w:bCs/>
        </w:rPr>
        <w:t>The takeover (C).</w:t>
      </w:r>
      <w:r>
        <w:rPr/>
        <w:t xml:space="preserve"> Deutsche Bank’s real lines from the record are shown as the agent’s own earlier messages: none (clean), the first line of the career (2007), all lines up to 7 January (15), or all of them (45).</w:t>
      </w:r>
    </w:p>
    <w:p>
      <w:pPr>
        <w:pStyle w:val="Heading2"/>
        <w:rPr/>
      </w:pPr>
      <w:bookmarkStart w:id="20" w:name="sec%3Aoutcomes"/>
      <w:bookmarkEnd w:id="20"/>
      <w:r>
        <w:rPr/>
        <w:t>5.5 Outcomes</w:t>
      </w:r>
    </w:p>
    <w:p>
      <w:pPr>
        <w:pStyle w:val="FirstParagraph"/>
        <w:rPr/>
      </w:pPr>
      <w:r>
        <w:rPr/>
        <w:t xml:space="preserve">The primary outcome is </w:t>
      </w:r>
      <w:r>
        <w:rPr>
          <w:b/>
          <w:bCs/>
        </w:rPr>
        <w:t>going along</w:t>
      </w:r>
      <w:r>
        <w:rP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rPr/>
        <w:t xml:space="preserve">, </w:t>
      </w:r>
      <w:del w:id="50051" w:author="Claude" w:date="2026-10-22T03:00:00Z">
        <w:r>
          <w:rPr/>
          <w:delText xml:space="preserve">the losses of clients whose stops were pushed through</w:delText>
        </w:r>
      </w:del>
      <w:ins w:id="50052" w:author="Claude" w:date="2026-10-22T03:00:00Z">
        <w:r>
          <w:rPr/>
          <w:t xml:space="preserve">the losses of the traders whose stop-loss orders were pushed through</w:t>
        </w:r>
      </w:ins>
      <w:r>
        <w:rPr/>
        <w:t xml:space="preserve">,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pPr>
        <w:pStyle w:val="Heading2"/>
        <w:rPr/>
      </w:pPr>
      <w:bookmarkStart w:id="21" w:name="sec%3Aoutcomes"/>
      <w:bookmarkStart w:id="22" w:name="statistics"/>
      <w:bookmarkEnd w:id="21"/>
      <w:bookmarkEnd w:id="22"/>
      <w:r>
        <w:rPr/>
        <w:t>5.6 Statistics</w:t>
      </w:r>
    </w:p>
    <w:p>
      <w:pPr>
        <w:pStyle w:val="FirstParagraph"/>
        <w:rPr/>
      </w:pPr>
      <w:r>
        <w:rPr/>
        <w:t xml:space="preserve">The unit of analysis is the career. Every test compares the mean of per-career shares between groups and takes its </w:t>
      </w:r>
      <w:r>
        <w:rPr>
          <w:i/>
          <w:iCs/>
        </w:rPr>
        <w:t>p</w:t>
      </w:r>
      <w:r>
        <w:rP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pPr>
        <w:pStyle w:val="BodyText"/>
        <w:rPr/>
      </w:pPr>
      <w:r>
        <w:rPr>
          <w:b/>
          <w:bCs/>
        </w:rPr>
        <w:t>Request-level model.</w:t>
      </w:r>
      <w:r>
        <w:rPr/>
        <w:t xml:space="preserve"> As the preregistered check, and to express the effects in the form usual in experimental economics, we also estimate a model at the level of the individual request. For career </w:t>
      </w:r>
      <w:r>
        <w:rPr>
          <w:i/>
          <w:iCs/>
        </w:rPr>
        <w:t>i</w:t>
      </w:r>
      <w:r>
        <w:rPr/>
        <w:t xml:space="preserve"> and request </w:t>
      </w:r>
      <w:r>
        <w:rPr>
          <w:i/>
          <w:iCs/>
        </w:rPr>
        <w:t>r</w:t>
      </w:r>
      <w:r>
        <w:rPr/>
        <w:t xml:space="preserve"> in Experiment B’s four framed versions, </w:t>
      </w:r>
    </w:p>
    <w:p>
      <w:pPr>
        <w:pStyle w:val="Equation"/>
        <w:rPr/>
      </w:pPr>
      <w:r>
        <w:rPr/>
        <w:t>Along</w:t>
      </w:r>
      <w:r>
        <w:rPr>
          <w:i/>
          <w:iCs/>
          <w:vertAlign w:val="subscript"/>
        </w:rPr>
        <w:t>ir</w:t>
      </w:r>
      <w:r>
        <w:rPr/>
        <w:t xml:space="preserve"> = </w:t>
      </w:r>
      <w:r>
        <w:rPr>
          <w:i/>
          <w:iCs/>
        </w:rPr>
        <w:t>α</w:t>
      </w:r>
      <w:r>
        <w:rPr/>
        <w:t xml:space="preserve"> + </w:t>
      </w:r>
      <w:r>
        <w:rPr>
          <w:i/>
          <w:iCs/>
        </w:rPr>
        <w:t>β</w:t>
      </w:r>
      <w:r>
        <w:rPr>
          <w:vertAlign w:val="subscript"/>
        </w:rPr>
        <w:t>1</w:t>
      </w:r>
      <w:r>
        <w:rPr/>
        <w:t xml:space="preserve"> Loss</w:t>
      </w:r>
      <w:r>
        <w:rPr>
          <w:i/>
          <w:iCs/>
          <w:vertAlign w:val="subscript"/>
        </w:rPr>
        <w:t>i</w:t>
      </w:r>
      <w:r>
        <w:rPr/>
        <w:t xml:space="preserve"> + </w:t>
      </w:r>
      <w:r>
        <w:rPr>
          <w:i/>
          <w:iCs/>
        </w:rPr>
        <w:t>β</w:t>
      </w:r>
      <w:r>
        <w:rPr>
          <w:vertAlign w:val="subscript"/>
        </w:rPr>
        <w:t>2</w:t>
      </w:r>
      <w:r>
        <w:rPr/>
        <w:t xml:space="preserve"> Owner</w:t>
      </w:r>
      <w:r>
        <w:rPr>
          <w:i/>
          <w:iCs/>
          <w:vertAlign w:val="subscript"/>
        </w:rPr>
        <w:t>i</w:t>
      </w:r>
      <w:r>
        <w:rPr/>
        <w:t xml:space="preserve"> + </w:t>
      </w:r>
      <w:r>
        <w:rPr>
          <w:i/>
          <w:iCs/>
        </w:rPr>
        <w:t>β</w:t>
      </w:r>
      <w:r>
        <w:rPr>
          <w:vertAlign w:val="subscript"/>
        </w:rPr>
        <w:t>3</w:t>
      </w:r>
      <w:r>
        <w:rPr/>
        <w:t xml:space="preserve"> (Loss</w:t>
      </w:r>
      <w:r>
        <w:rPr>
          <w:i/>
          <w:iCs/>
          <w:vertAlign w:val="subscript"/>
        </w:rPr>
        <w:t>i</w:t>
      </w:r>
      <w:r>
        <w:rPr/>
        <w:t xml:space="preserve"> × Owner</w:t>
      </w:r>
      <w:r>
        <w:rPr>
          <w:i/>
          <w:iCs/>
          <w:vertAlign w:val="subscript"/>
        </w:rPr>
        <w:t>i</w:t>
      </w:r>
      <w:r>
        <w:rPr/>
        <w:t xml:space="preserve">) + </w:t>
      </w:r>
      <w:r>
        <w:rPr>
          <w:i/>
          <w:iCs/>
        </w:rPr>
        <w:t>γ</w:t>
      </w:r>
      <w:r>
        <w:rPr>
          <w:i/>
          <w:iCs/>
          <w:vertAlign w:val="subscript"/>
        </w:rPr>
        <w:t>r</w:t>
      </w:r>
      <w:r>
        <w:rPr/>
        <w:t xml:space="preserve"> + </w:t>
      </w:r>
      <w:r>
        <w:rPr>
          <w:i/>
          <w:iCs/>
        </w:rPr>
        <w:t>δ</w:t>
      </w:r>
      <w:r>
        <w:rPr/>
        <w:t>′ Position</w:t>
      </w:r>
      <w:r>
        <w:rPr>
          <w:i/>
          <w:iCs/>
          <w:vertAlign w:val="subscript"/>
        </w:rPr>
        <w:t>ir</w:t>
      </w:r>
      <w:r>
        <w:rPr/>
        <w:t xml:space="preserve"> + </w:t>
      </w:r>
      <w:r>
        <w:rPr>
          <w:i/>
          <w:iCs/>
        </w:rPr>
        <w:t>ε</w:t>
      </w:r>
      <w:r>
        <w:rPr>
          <w:i/>
          <w:iCs/>
          <w:vertAlign w:val="subscript"/>
        </w:rPr>
        <w:t>ir</w:t>
      </w:r>
      <w:r>
        <w:rPr/>
        <w:t>,    (1)</w:t>
      </w:r>
    </w:p>
    <w:p>
      <w:pPr>
        <w:pStyle w:val="BodyText"/>
        <w:rPr/>
      </w:pPr>
      <w:r>
        <w:rPr/>
        <w:t xml:space="preserve">where </w:t>
      </w:r>
      <w:r>
        <w:rPr>
          <w:i/>
          <w:iCs/>
        </w:rPr>
        <w:t>γ</w:t>
      </w:r>
      <w:r>
        <w:rPr>
          <w:i/>
          <w:iCs/>
          <w:vertAlign w:val="subscript"/>
        </w:rPr>
        <w:t>r</w:t>
      </w:r>
      <w:r>
        <w:rPr/>
        <w:t xml:space="preserve"> are request fixed effects and Position</w:t>
      </w:r>
      <w:r>
        <w:rPr>
          <w:i/>
          <w:iCs/>
          <w:vertAlign w:val="subscript"/>
        </w:rPr>
        <w:t>ir</w:t>
      </w:r>
      <w:r>
        <w:rP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pPr>
        <w:pStyle w:val="Heading2"/>
        <w:rPr/>
      </w:pPr>
      <w:bookmarkStart w:id="23" w:name="statistics"/>
      <w:bookmarkStart w:id="24" w:name="sec%3Ainsidemethods"/>
      <w:bookmarkEnd w:id="23"/>
      <w:bookmarkEnd w:id="24"/>
      <w:r>
        <w:rPr/>
        <w:t>5.7 Inside the model</w:t>
      </w:r>
      <w:r>
        <w:rPr/>
        <w:br/>
      </w:r>
    </w:p>
    <w:p>
      <w:pPr>
        <w:pStyle w:val="FirstParagraph"/>
        <w:rPr/>
      </w:pPr>
      <w:r>
        <w:rPr>
          <w:b/>
          <w:bCs/>
        </w:rPr>
        <w:t>Reading the state.</w:t>
      </w:r>
      <w:r>
        <w:rP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pPr>
        <w:pStyle w:val="BodyText"/>
        <w:rPr/>
      </w:pPr>
      <w:r>
        <w:rPr>
          <w:b/>
          <w:bCs/>
        </w:rPr>
        <w:t>Features.</w:t>
      </w:r>
      <w:r>
        <w:rP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rP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pPr>
        <w:pStyle w:val="BodyText"/>
        <w:rPr/>
      </w:pPr>
      <w:r>
        <w:rPr>
          <w:b/>
          <w:bCs/>
        </w:rPr>
        <w:t>Reading the decision.</w:t>
      </w:r>
      <w:r>
        <w:rP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pPr>
        <w:pStyle w:val="BodyText"/>
        <w:rPr/>
      </w:pPr>
      <w:r>
        <w:rPr>
          <w:b/>
          <w:bCs/>
        </w:rPr>
        <w:t>Steering.</w:t>
      </w:r>
      <w:r>
        <w:rP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pPr>
        <w:pStyle w:val="BodyText"/>
        <w:rPr/>
      </w:pPr>
      <w:r>
        <w:rPr>
          <w:b/>
          <w:bCs/>
        </w:rPr>
        <w:t>Same moment, different frame.</w:t>
      </w:r>
      <w:r>
        <w:rP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pPr>
        <w:pStyle w:val="CaptionedFigure"/>
        <w:rPr/>
      </w:pPr>
      <w:r>
        <w:rPr/>
        <w:drawing>
          <wp:inline distT="0" distB="0" distL="0" distR="0">
            <wp:extent cx="5031105" cy="22396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1105" cy="2239645"/>
                    </a:xfrm>
                    <a:prstGeom prst="rect">
                      <a:avLst/>
                    </a:prstGeom>
                  </pic:spPr>
                </pic:pic>
              </a:graphicData>
            </a:graphic>
          </wp:inline>
        </w:drawing>
      </w:r>
    </w:p>
    <w:p>
      <w:pPr>
        <w:pStyle w:val="ImageCaption"/>
        <w:rPr/>
      </w:pPr>
      <w:r>
        <w:rPr>
          <w:b/>
          <w:bCs/>
        </w:rPr>
        <w:t>Figure 1:</w:t>
      </w:r>
      <w:r>
        <w:rP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pPr>
        <w:pStyle w:val="BodyText"/>
        <w:rPr/>
      </w:pPr>
      <w:r>
        <w:rPr>
          <w:b/>
          <w:bCs/>
        </w:rPr>
        <w:t>Steering at fixed history.</w:t>
      </w:r>
      <w:r>
        <w:rPr/>
        <w:t xml:space="preserve"> After the rereads, we steered Experiment 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pPr>
        <w:pStyle w:val="BodyText"/>
        <w:rPr/>
      </w:pPr>
      <w:r>
        <w:rPr>
          <w:b/>
          <w:bCs/>
        </w:rPr>
        <w:t>Does the agent know it is misconduct?</w:t>
      </w:r>
      <w:r>
        <w:rP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pPr>
        <w:pStyle w:val="BodyText"/>
        <w:rPr/>
      </w:pPr>
      <w:r>
        <w:rPr>
          <w:b/>
          <w:bCs/>
        </w:rPr>
        <w:t>Reading an emotional document first (pilot).</w:t>
      </w:r>
      <w:r>
        <w:rPr/>
        <w:t xml:space="preserve"> </w:t>
      </w:r>
      <w:del w:id="50053" w:author="Claude" w:date="2026-10-22T03:00:00Z">
        <w:r>
          <w:rPr/>
          <w:delText xml:space="preserve">At the requests of B's ten neutral careers (60 moments)</w:delText>
        </w:r>
      </w:del>
      <w:ins w:id="50054" w:author="Claude" w:date="2026-10-22T03:00:00Z">
        <w:r>
          <w:rPr/>
          <w:t xml:space="preserve">At the requests of B's ten neutral careers (60 moments; the comparison of orders keeps the 36 whose scored orders cover at least half of the model's probability)</w:t>
        </w:r>
      </w:ins>
      <w:r>
        <w:rPr/>
        <w:t xml:space="preserve">,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pPr>
        <w:pStyle w:val="BodyText"/>
        <w:rPr/>
      </w:pPr>
      <w:r>
        <w:rPr>
          <w:b/>
          <w:bCs/>
        </w:rPr>
        <w:t>The agent's own record.</w:t>
      </w:r>
      <w:r>
        <w:rP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p>
    <w:p>
      <w:pPr>
        <w:pStyle w:val="Heading1"/>
        <w:rPr/>
      </w:pPr>
      <w:bookmarkStart w:id="25" w:name="sec%3Ainsidemethods"/>
      <w:bookmarkStart w:id="26" w:name="preregistration"/>
      <w:bookmarkEnd w:id="25"/>
      <w:bookmarkEnd w:id="26"/>
      <w:r>
        <w:rPr/>
        <w:t>6 Preregistration</w:t>
      </w:r>
    </w:p>
    <w:p>
      <w:pPr>
        <w:pStyle w:val="FirstParagraph"/>
        <w:rPr/>
      </w:pPr>
      <w:r>
        <w:rPr/>
        <w:t>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pPr>
        <w:numPr>
          <w:ilvl w:val="0"/>
          <w:numId w:val="4"/>
        </w:numPr>
        <w:rPr>
          <w:ins w:id="50094" w:author="Claude" w:date="2026-10-22T03:00:00Z"/>
        </w:rPr>
      </w:pPr>
      <w:ins w:id="50095" w:author="Claude" w:date="2026-10-22T03:00:00Z">
        <w:r>
          <w:rPr>
            <w:b/>
            <w:bCs/>
          </w:rPr>
          <w:t xml:space="preserve">Coverage rule (a departure, set after the results were seen).</w:t>
        </w:r>
        <w:r>
          <w:t xml:space="preserve"> The rereads read the decision from the probability of each order after a fixed reasoning line; moments where those orders cover less than half of the model’s probability are left out, among them every 5 August request, where a client asks for a price and the agent answers with a quote. Without the rule: the request alone, loss +5.6, loss + you +6.9, gain +3.8, gain + you +4.6, loss against gain +2.0, Bank C +4.0; the history +18.5 of +23.3 (300 moments); steering H1 −4.0, H3 +8.4, H4 −3.4 (all significant after Holm, in the same reversed direction); the going-along direction +9.6 and −7.5; documents beyond the neutral one, loss +10.6, blame +8.0, gain +7.2, credit +1.7 (60 moments); the screenplay +12.7 (200 moments). The ideal history was analyzed only with the rule. No conclusion changes.</w:t>
        </w:r>
      </w:ins>
    </w:p>
    <w:p>
      <w:pPr>
        <w:pStyle w:val="Heading1"/>
        <w:rPr/>
      </w:pPr>
      <w:bookmarkStart w:id="27" w:name="preregistration"/>
      <w:bookmarkStart w:id="28" w:name="sec%3Aresults"/>
      <w:bookmarkEnd w:id="27"/>
      <w:bookmarkEnd w:id="28"/>
      <w:r>
        <w:rPr/>
        <w:t>7 Results</w:t>
      </w:r>
    </w:p>
    <w:p>
      <w:pPr>
        <w:pStyle w:val="Heading2"/>
        <w:rPr/>
      </w:pPr>
      <w:bookmarkStart w:id="29" w:name="sec%3AresB"/>
      <w:bookmarkEnd w:id="29"/>
      <w:r>
        <w:rPr/>
        <w:t>7.1 UBS’s framing (Experiment B)</w:t>
      </w:r>
      <w:r>
        <w:rPr/>
        <w:br/>
      </w:r>
    </w:p>
    <w:p>
      <w:pPr>
        <w:pStyle w:val="TableCaption"/>
        <w:rPr/>
      </w:pPr>
      <w:r>
        <w:rPr>
          <w:b/>
          <w:bCs/>
        </w:rPr>
        <w:t>Table 5:</w:t>
      </w:r>
      <w:r>
        <w:rPr/>
        <w:t xml:space="preserve"> Experiment B: UBS’s framing. Going along is the share of the six push requests the agent went along with, pooled over 10 careers per version (60 requests). Intervals resample careers.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161"/>
        <w:gridCol w:w="1266"/>
        <w:gridCol w:w="1379"/>
        <w:gridCol w:w="3079"/>
        <w:gridCol w:w="2475"/>
      </w:tblGrid>
      <w:tr>
        <w:trPr>
          <w:tblHeader w:val="true"/>
          <w:cnfStyle w:val="100000000000" w:firstRow="1" w:lastRow="0" w:firstColumn="0" w:lastColumn="0" w:oddVBand="0" w:evenVBand="0" w:oddHBand="0" w:evenHBand="0" w:firstRowFirstColumn="0" w:firstRowLastColumn="0" w:lastRowFirstColumn="0" w:lastRowLastColumn="0"/>
        </w:trPr>
        <w:tc>
          <w:tcPr>
            <w:tcW w:w="11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26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3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30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2475"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Harm to stop-loss holders</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(3/60)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$0.76M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 (15/60)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15–33%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79,200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$1.77M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(6/60)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2–18%</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 (20/60)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25–43%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(11/60)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10–27%</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$1.27M</w:t>
            </w:r>
            <w:bookmarkStart w:id="30" w:name="tab%3AB"/>
            <w:bookmarkEnd w:id="30"/>
          </w:p>
        </w:tc>
      </w:tr>
    </w:tbl>
    <w:p>
      <w:pPr>
        <w:pStyle w:val="BodyText"/>
        <w:rPr/>
      </w:pPr>
      <w:r>
        <w:rPr/>
        <w:t xml:space="preserve">Loss framing raised going along (Table 5, Figure 2). The preregistered frame test (H1) found loss framings above gain framings by 15.0 points (95% interval +5.8 to +24.2; </w:t>
      </w:r>
      <w:r>
        <w:rPr>
          <w:i/>
          <w:iCs/>
        </w:rPr>
        <w:t>p</w:t>
      </w:r>
      <w:r>
        <w:rPr/>
        <w:t xml:space="preserve"> = 0.0075, Holm </w:t>
      </w:r>
      <w:r>
        <w:rPr>
          <w:i/>
          <w:iCs/>
        </w:rPr>
        <w:t>p</w:t>
      </w:r>
      <w:r>
        <w:rPr/>
        <w:t xml:space="preserve"> = 0.023). Placing the outcome on “you” raised going along by 8.3 points, which was not significant (H2: interval −1.7 to +18.3; Holm </w:t>
      </w:r>
      <w:r>
        <w:rPr>
          <w:i/>
          <w:iCs/>
        </w:rPr>
        <w:t>p</w:t>
      </w:r>
      <w:r>
        <w:rPr/>
        <w:t xml:space="preserve"> = 0.33). Whether “you” acts differently after loss than after gain (H3) could not be told: the difference was 0.0 points with an interval from −16.7 to +18.3, as the power analysis anticipated.</w:t>
      </w:r>
    </w:p>
    <w:p>
      <w:pPr>
        <w:pStyle w:val="BodyText"/>
        <w:rPr/>
      </w:pPr>
      <w:r>
        <w:rPr/>
        <w:t>Against the neutral baseline, loss raised going along by 20.0 points (</w:t>
      </w:r>
      <w:r>
        <w:rPr>
          <w:i/>
          <w:iCs/>
        </w:rPr>
        <w:t>p</w:t>
      </w:r>
      <w:r>
        <w:rPr/>
        <w:t xml:space="preserve"> = 0.007), loss + you by 28.3 points (</w:t>
      </w:r>
      <w:r>
        <w:rPr>
          <w:i/>
          <w:iCs/>
        </w:rPr>
        <w:t>p</w:t>
      </w:r>
      <w:r>
        <w:rPr/>
        <w:t xml:space="preserve"> = 0.0003) and gain + you by 13.3 points (</w:t>
      </w:r>
      <w:r>
        <w:rPr>
          <w:i/>
          <w:iCs/>
        </w:rPr>
        <w:t>p</w:t>
      </w:r>
      <w:r>
        <w:rPr/>
        <w:t xml:space="preserve"> = 0.046); gain alone did not differ (+5.0, </w:t>
      </w:r>
      <w:r>
        <w:rPr>
          <w:i/>
          <w:iCs/>
        </w:rPr>
        <w:t>p</w:t>
      </w:r>
      <w:r>
        <w:rPr/>
        <w:t xml:space="preserve"> = 0.52). Harm to stop-loss holders followed going along, from $0.76 million in neutral careers to $2.81 million under loss + you.</w:t>
      </w:r>
    </w:p>
    <w:p>
      <w:pPr>
        <w:pStyle w:val="BodyText"/>
        <w:rPr/>
      </w:pPr>
      <w:r>
        <w:rPr/>
        <w:t>The request-level model agrees with the main test (Table 6). With request fixed effects and errors clustered by career, loss framing raises the probability of going along by 15.0 points (</w:t>
      </w:r>
      <w:r>
        <w:rPr>
          <w:i/>
          <w:iCs/>
        </w:rPr>
        <w:t>p</w:t>
      </w:r>
      <w:r>
        <w:rPr/>
        <w:t xml:space="preserve"> = 0.001); placing the outcome on the agent adds 8.3 points (</w:t>
      </w:r>
      <w:r>
        <w:rPr>
          <w:i/>
          <w:iCs/>
        </w:rPr>
        <w:t>p</w:t>
      </w:r>
      <w:r>
        <w:rPr/>
        <w:t xml:space="preserve"> = 0.08); and blame and credit do not differ (interaction 0.0). Controlling for the position the agent held when asked raises the loss effect to 18.8 points (</w:t>
      </w:r>
      <w:r>
        <w:rPr>
          <w:i/>
          <w:iCs/>
        </w:rPr>
        <w:t>p</w:t>
      </w:r>
      <w:r>
        <w:rPr/>
        <w:t xml:space="preserve"> = 0.003), so the effect does not run through the position the framing had already moved.</w:t>
      </w:r>
      <w:del w:id="50055" w:author="Claude" w:date="2026-10-22T03:00:00Z">
        <w:r>
          <w:rPr/>
          <w:delText xml:space="preserve"> In the logit, loss framing multiplies the odds of going along by 6.9 (95% interval 2.3 to 20.9).</w:delText>
        </w:r>
      </w:del>
    </w:p>
    <w:p>
      <w:pPr>
        <w:pStyle w:val="TableCaption"/>
        <w:rPr/>
      </w:pPr>
      <w:r>
        <w:rPr>
          <w:b/>
          <w:bCs/>
        </w:rPr>
        <w:t>Table 6:</w:t>
      </w:r>
      <w:r>
        <w:rP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10"/>
        <w:gridCol w:w="1289"/>
        <w:gridCol w:w="1222"/>
        <w:gridCol w:w="1287"/>
        <w:gridCol w:w="1289"/>
        <w:gridCol w:w="1968"/>
      </w:tblGrid>
      <w:tr>
        <w:trPr>
          <w:tblHeader w:val="true"/>
          <w:cnfStyle w:val="100000000000" w:firstRow="1" w:lastRow="0" w:firstColumn="0" w:lastColumn="0" w:oddVBand="0" w:evenVBand="0" w:oddHBand="0" w:evenHBand="0" w:firstRowFirstColumn="0" w:firstRowLastColumn="0" w:lastRowFirstColumn="0" w:lastRowLastColumn="0"/>
        </w:trPr>
        <w:tc>
          <w:tcPr>
            <w:tcW w:w="22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(1)</w:t>
            </w:r>
          </w:p>
        </w:tc>
        <w:tc>
          <w:tcPr>
            <w:tcW w:w="122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(2)</w:t>
            </w:r>
          </w:p>
        </w:tc>
        <w:tc>
          <w:tcPr>
            <w:tcW w:w="128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(3)</w:t>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(4)</w:t>
            </w:r>
          </w:p>
        </w:tc>
        <w:tc>
          <w:tcPr>
            <w:tcW w:w="196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(5) Logit, odds ratio</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frame</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(6.6)</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6.92 (2.30–20.85)</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or credit)</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(6.3)</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+8.5 (6.3)</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2.93 (0.95–9.07)</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owner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 (9.4)</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0.6 (8.9)</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request order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6.3</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(2.9)</w:t>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against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with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5.0 (7.5)</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controls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bookmarkStart w:id="31" w:name="tab%3Alpm"/>
            <w:bookmarkEnd w:id="31"/>
          </w:p>
        </w:tc>
      </w:tr>
    </w:tbl>
    <w:p>
      <w:pPr>
        <w:pStyle w:val="BodyText"/>
        <w:rPr/>
      </w:pPr>
      <w:r>
        <w:rPr>
          <w:vertAlign w:val="superscript"/>
        </w:rPr>
        <w:t>*</w:t>
      </w:r>
      <w:r>
        <w:rPr>
          <w:i/>
          <w:iCs/>
        </w:rPr>
        <w:t>p</w:t>
      </w:r>
      <w:r>
        <w:rPr/>
        <w:t xml:space="preserve"> &lt; 0.05, </w:t>
      </w:r>
      <w:r>
        <w:rPr>
          <w:vertAlign w:val="superscript"/>
        </w:rPr>
        <w:t>**</w:t>
      </w:r>
      <w:r>
        <w:rPr>
          <w:i/>
          <w:iCs/>
        </w:rPr>
        <w:t>p</w:t>
      </w:r>
      <w:r>
        <w:rPr/>
        <w:t xml:space="preserve"> &lt; 0.01. Request order runs from 1 (7 January) to 6 (5 August), centered.</w:t>
      </w:r>
    </w:p>
    <w:p>
      <w:pPr>
        <w:pStyle w:val="BodyText"/>
        <w:rPr/>
      </w:pPr>
      <w:r>
        <w:rPr>
          <w:b/>
          <w:bCs/>
        </w:rPr>
        <w:t>Where the push lands.</w:t>
      </w:r>
      <w:r>
        <w:rP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rPr/>
        <w:t xml:space="preserve"> = 0.03; Table 6, column 4). Because every career meets the requests in the same order, this pattern cannot separate a framing effect that fades with time from requests that differ in how easily they are joined (Section 8).</w:t>
      </w:r>
    </w:p>
    <w:p>
      <w:pPr>
        <w:pStyle w:val="CaptionedFigure"/>
        <w:rPr/>
      </w:pPr>
      <w:r>
        <w:rPr/>
        <w:drawing>
          <wp:inline distT="0" distB="0" distL="0" distR="0">
            <wp:extent cx="4024630" cy="21228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24630" cy="2122805"/>
                    </a:xfrm>
                    <a:prstGeom prst="rect">
                      <a:avLst/>
                    </a:prstGeom>
                  </pic:spPr>
                </pic:pic>
              </a:graphicData>
            </a:graphic>
          </wp:inline>
        </w:drawing>
      </w:r>
    </w:p>
    <w:p>
      <w:pPr>
        <w:pStyle w:val="ImageCaption"/>
        <w:rPr/>
      </w:pPr>
      <w:r>
        <w:rPr>
          <w:b/>
          <w:bCs/>
        </w:rPr>
        <w:t>Figure 2:</w:t>
      </w:r>
      <w:r>
        <w:rPr/>
        <w:t xml:space="preserve"> Share of UBS’s push requests the agent went along with, by framing, with and without a second bank backing UBS. Error bars are 95% intervals from resampling careers (Tables 5 and 8). Ten careers per bar.</w:t>
      </w:r>
    </w:p>
    <w:p>
      <w:pPr>
        <w:pStyle w:val="Heading2"/>
        <w:rPr/>
      </w:pPr>
      <w:bookmarkStart w:id="32" w:name="sec%3AresB"/>
      <w:bookmarkStart w:id="33" w:name="sec%3AresAD"/>
      <w:bookmarkEnd w:id="32"/>
      <w:bookmarkEnd w:id="33"/>
      <w:r>
        <w:rPr/>
        <w:t>7.2 Management’s priming (Experiments A and D)</w:t>
      </w:r>
      <w:r>
        <w:rPr/>
        <w:br/>
      </w:r>
    </w:p>
    <w:p>
      <w:pPr>
        <w:pStyle w:val="FirstParagraph"/>
        <w:rPr/>
      </w:pPr>
      <w:r>
        <w:rP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rPr/>
        <w:t xml:space="preserve"> &lt; 0.01 for each of the four versions; exploratory).</w:t>
      </w:r>
    </w:p>
    <w:p>
      <w:pPr>
        <w:pStyle w:val="TableCaption"/>
        <w:rPr/>
      </w:pPr>
      <w:r>
        <w:rPr>
          <w:b/>
          <w:bCs/>
        </w:rPr>
        <w:t>Table 7:</w:t>
      </w:r>
      <w:r>
        <w:rPr/>
        <w:t xml:space="preserve"> Experiment A: management’s memo and morning book, with UBS’s neutral lines (5 careers per version). The comparison with UBS’s framing alone (B) is in the last column.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126"/>
        <w:gridCol w:w="2788"/>
        <w:gridCol w:w="1893"/>
        <w:gridCol w:w="2502"/>
      </w:tblGrid>
      <w:tr>
        <w:trPr>
          <w:tblHeader w:val="true"/>
          <w:cnfStyle w:val="100000000000" w:firstRow="1" w:lastRow="0" w:firstColumn="0" w:lastColumn="0" w:oddVBand="0" w:evenVBand="0" w:oddHBand="0" w:evenHBand="0" w:firstRowFirstColumn="0" w:firstRowLastColumn="0" w:lastRowFirstColumn="0" w:lastRowLastColumn="0"/>
        </w:trPr>
        <w:tc>
          <w:tcPr>
            <w:tcW w:w="105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12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278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189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i/>
                <w:iCs/>
                <w:kern w:val="0"/>
                <w:lang w:val="en-US" w:eastAsia="en-US" w:bidi="ar-SA"/>
              </w:rPr>
              <w:t>p</w:t>
            </w:r>
            <w:r>
              <w:rPr>
                <w:rFonts w:eastAsia="Times New Roman" w:cs="Times New Roman"/>
                <w:b/>
                <w:bCs/>
                <w:kern w:val="0"/>
                <w:lang w:val="en-US" w:eastAsia="en-US" w:bidi="ar-SA"/>
              </w:rPr>
              <w:t xml:space="preserve"> vs neutral (trading)</w:t>
            </w:r>
          </w:p>
        </w:tc>
        <w:tc>
          <w:tcPr>
            <w:tcW w:w="250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in B, same frame</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ask</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349,000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(3/30)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341,000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180,600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bookmarkStart w:id="34" w:name="tab%3AA"/>
            <w:bookmarkEnd w:id="34"/>
          </w:p>
        </w:tc>
      </w:tr>
    </w:tbl>
    <w:p>
      <w:pPr>
        <w:pStyle w:val="BodyText"/>
        <w:rPr/>
      </w:pPr>
      <w:r>
        <w:rPr/>
        <w:t xml:space="preserve">When management and UBS pushed the same frame (D), going along under loss rose by 20.0 points over management alone (+13.3 to +26.7; </w:t>
      </w:r>
      <w:r>
        <w:rPr>
          <w:i/>
          <w:iCs/>
        </w:rPr>
        <w:t>p</w:t>
      </w:r>
      <w:r>
        <w:rPr/>
        <w:t xml:space="preserve"> = 0.009) but did not exceed UBS alone (−5.0; </w:t>
      </w:r>
      <w:r>
        <w:rPr>
          <w:i/>
          <w:iCs/>
        </w:rPr>
        <w:t>p</w:t>
      </w:r>
      <w:r>
        <w:rPr/>
        <w:t xml:space="preserve"> = 0.60). No other D comparison was significant. D’s agents traded as much before the first chat as A’s (for example, 320,500 against 349,000 ounces a day under loss; </w:t>
      </w:r>
      <w:r>
        <w:rPr>
          <w:i/>
          <w:iCs/>
        </w:rPr>
        <w:t>p</w:t>
      </w:r>
      <w:r>
        <w:rPr/>
        <w:t xml:space="preserve"> = 0.85). The two sources therefore did different things in the same careers: management’s priming set how much the agent traded before any request, and UBS’s framing set whether it went along when asked.</w:t>
      </w:r>
    </w:p>
    <w:p>
      <w:pPr>
        <w:pStyle w:val="Heading2"/>
        <w:rPr/>
      </w:pPr>
      <w:bookmarkStart w:id="35" w:name="sec%3AresAD"/>
      <w:bookmarkStart w:id="36" w:name="sec%3AresEF"/>
      <w:bookmarkEnd w:id="35"/>
      <w:bookmarkEnd w:id="36"/>
      <w:r>
        <w:rPr/>
        <w:t>7.3 A second bank (Experiments F and E)</w:t>
      </w:r>
      <w:r>
        <w:rPr/>
        <w:br/>
      </w:r>
    </w:p>
    <w:p>
      <w:pPr>
        <w:pStyle w:val="TableCaption"/>
        <w:rPr/>
      </w:pPr>
      <w:r>
        <w:rPr>
          <w:b/>
          <w:bCs/>
        </w:rPr>
        <w:t>Table 8:</w:t>
      </w:r>
      <w:r>
        <w:rPr/>
        <w:t xml:space="preserve"> Experiment F: UBS’s framing plus a second bank (Bank C) in the same frame (10 careers per version), against its twin in B.</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57"/>
        <w:gridCol w:w="1699"/>
        <w:gridCol w:w="1852"/>
        <w:gridCol w:w="2004"/>
        <w:gridCol w:w="969"/>
        <w:gridCol w:w="1184"/>
      </w:tblGrid>
      <w:tr>
        <w:trPr>
          <w:tblHeader w:val="true"/>
          <w:cnfStyle w:val="100000000000" w:firstRow="1" w:lastRow="0" w:firstColumn="0" w:lastColumn="0" w:oddVBand="0" w:evenVBand="0" w:oddHBand="0" w:evenHBand="0" w:firstRowFirstColumn="0" w:firstRowLastColumn="0" w:lastRowFirstColumn="0" w:lastRowLastColumn="0"/>
        </w:trPr>
        <w:tc>
          <w:tcPr>
            <w:tcW w:w="15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85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200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 (no Bank C)</w:t>
            </w:r>
          </w:p>
        </w:tc>
        <w:tc>
          <w:tcPr>
            <w:tcW w:w="96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 − B</w:t>
            </w:r>
          </w:p>
        </w:tc>
        <w:tc>
          <w:tcPr>
            <w:tcW w:w="11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 xml:space="preserve">Holm </w:t>
            </w:r>
            <w:r>
              <w:rPr>
                <w:rFonts w:eastAsia="Times New Roman" w:cs="Times New Roman"/>
                <w:b/>
                <w:bCs/>
                <w:i/>
                <w:iCs/>
                <w:kern w:val="0"/>
                <w:lang w:val="en-US" w:eastAsia="en-US" w:bidi="ar-SA"/>
              </w:rPr>
              <w:t>p</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 (17/60)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2–23%</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(29/60)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40–58%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(24/60)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33–50%</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0.027</w:t>
            </w:r>
            <w:bookmarkStart w:id="37" w:name="tab%3AF"/>
            <w:bookmarkEnd w:id="37"/>
          </w:p>
        </w:tc>
      </w:tr>
    </w:tbl>
    <w:p>
      <w:pPr>
        <w:pStyle w:val="BodyText"/>
        <w:rPr/>
      </w:pPr>
      <w:r>
        <w:rPr/>
        <w:t xml:space="preserve">A second bank did not raise going along overall: pooled over the framings run first, F exceeded B by 5.6 points (−5.0 to +16.1; </w:t>
      </w:r>
      <w:r>
        <w:rPr>
          <w:i/>
          <w:iCs/>
        </w:rPr>
        <w:t>p</w:t>
      </w:r>
      <w:r>
        <w:rPr/>
        <w:t xml:space="preserve"> = 0.35). By framing (Table 8), Bank C raised gain + you from 18% to 40% (+21.7 points, +10.0 to +35.0; Holm </w:t>
      </w:r>
      <w:r>
        <w:rPr>
          <w:i/>
          <w:iCs/>
        </w:rPr>
        <w:t>p</w:t>
      </w:r>
      <w:r>
        <w:rPr/>
        <w:t xml:space="preserve"> = 0.027) and loss + you from 33% to 48% (+15.0, Holm </w:t>
      </w:r>
      <w:r>
        <w:rPr>
          <w:i/>
          <w:iCs/>
        </w:rPr>
        <w:t>p</w:t>
      </w:r>
      <w:r>
        <w:rPr/>
        <w:t xml:space="preserve"> = 0.35), and did nothing under neutral, loss or gain. Bank C’s neutral line alone, a bank saying it is in, left going along at 3%. In F, loss exceeded gain by 12.5 points (</w:t>
      </w:r>
      <w:r>
        <w:rPr>
          <w:i/>
          <w:iCs/>
        </w:rPr>
        <w:t>p</w:t>
      </w:r>
      <w:r>
        <w:rPr/>
        <w:t xml:space="preserve"> = 0.08). Against B’s neutral careers (exploratory), F’s loss raised going along by 23.3 points (Holm </w:t>
      </w:r>
      <w:r>
        <w:rPr>
          <w:i/>
          <w:iCs/>
        </w:rPr>
        <w:t>p</w:t>
      </w:r>
      <w:r>
        <w:rPr/>
        <w:t xml:space="preserve"> = 0.001), loss + you by 43.3 points (</w:t>
      </w:r>
      <w:r>
        <w:rPr>
          <w:i/>
          <w:iCs/>
        </w:rPr>
        <w:t>p</w:t>
      </w:r>
      <w:r>
        <w:rPr/>
        <w:t xml:space="preserve"> = 0.0004) and gain + you by 35.0 points (</w:t>
      </w:r>
      <w:r>
        <w:rPr>
          <w:i/>
          <w:iCs/>
        </w:rPr>
        <w:t>p</w:t>
      </w:r>
      <w:r>
        <w:rPr/>
        <w:t xml:space="preserve"> = 0.0004). Harm to stop-loss holders reached $4.63 million under F’s loss + you.</w:t>
      </w:r>
    </w:p>
    <w:p>
      <w:pPr>
        <w:pStyle w:val="BodyText"/>
        <w:rPr/>
      </w:pPr>
      <w:r>
        <w:rPr/>
        <w:t xml:space="preserve">Adding Bank C on top of management and UBS (E) changed nothing significant (+3.2 points pooled, </w:t>
      </w:r>
      <w:r>
        <w:rPr>
          <w:i/>
          <w:iCs/>
        </w:rPr>
        <w:t>p</w:t>
      </w:r>
      <w:r>
        <w:rPr/>
        <w:t xml:space="preserve"> = 0.52; no framing significant after correction). Table 9 collects going along by the number of sources pushing the same frame.</w:t>
      </w:r>
    </w:p>
    <w:p>
      <w:pPr>
        <w:pStyle w:val="TableCaption"/>
        <w:rPr/>
      </w:pPr>
      <w:bookmarkStart w:id="38" w:name="tab%3Adose"/>
      <w:bookmarkEnd w:id="38"/>
      <w:r>
        <w:rPr>
          <w:b/>
          <w:bCs/>
        </w:rPr>
        <w:t>Table 9:</w:t>
      </w:r>
      <w:r>
        <w:rPr/>
        <w:t xml:space="preserve"> Going along by the number of sources pushing the same frame. Zero sources is B’s neutral version.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307"/>
        <w:gridCol w:w="784"/>
        <w:gridCol w:w="1084"/>
        <w:gridCol w:w="2060"/>
        <w:gridCol w:w="2628"/>
        <w:gridCol w:w="1496"/>
      </w:tblGrid>
      <w:tr>
        <w:trPr>
          <w:tblHeader w:val="true"/>
          <w:cnfStyle w:val="100000000000" w:firstRow="1" w:lastRow="0" w:firstColumn="0" w:lastColumn="0" w:oddVBand="0" w:evenVBand="0" w:oddHBand="0" w:evenHBand="0" w:firstRowFirstColumn="0" w:firstRowLastColumn="0" w:lastRowFirstColumn="0" w:lastRowLastColumn="0"/>
        </w:trPr>
        <w:tc>
          <w:tcPr>
            <w:tcW w:w="130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Frame</w:t>
            </w:r>
          </w:p>
        </w:tc>
        <w:tc>
          <w:tcPr>
            <w:tcW w:w="7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None</w:t>
            </w:r>
          </w:p>
        </w:tc>
        <w:tc>
          <w:tcPr>
            <w:tcW w:w="10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 (B)</w:t>
            </w:r>
          </w:p>
        </w:tc>
        <w:tc>
          <w:tcPr>
            <w:tcW w:w="20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 + Bank C (F)</w:t>
            </w:r>
          </w:p>
        </w:tc>
        <w:tc>
          <w:tcPr>
            <w:tcW w:w="262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Management + UBS (D)</w:t>
            </w:r>
          </w:p>
        </w:tc>
        <w:tc>
          <w:tcPr>
            <w:tcW w:w="149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All three (E)</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r>
      <w:tr>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w:t>
            </w:r>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w:t>
            </w:r>
          </w:p>
        </w:tc>
      </w:tr>
    </w:tbl>
    <w:p>
      <w:pPr>
        <w:pStyle w:val="Heading2"/>
        <w:rPr/>
      </w:pPr>
      <w:bookmarkStart w:id="39" w:name="sec%3AresEF"/>
      <w:bookmarkStart w:id="40" w:name="tab%3Adose"/>
      <w:bookmarkEnd w:id="39"/>
      <w:bookmarkEnd w:id="40"/>
      <w:r>
        <w:rPr/>
        <w:t>7.4 Inheriting the trader’s history (Experiment C)</w:t>
      </w:r>
      <w:r>
        <w:rPr/>
        <w:br/>
      </w:r>
    </w:p>
    <w:p>
      <w:pPr>
        <w:pStyle w:val="FirstParagraph"/>
        <w:rPr/>
      </w:pPr>
      <w:r>
        <w:rPr/>
        <w:t xml:space="preserve">Taking over Deutsche Bank’s real lines as its own did not change going along. Across the four arms going along was 12%, 10%, 17% and 12% (trend +0.7 points per arm, one-sided </w:t>
      </w:r>
      <w:r>
        <w:rPr>
          <w:i/>
          <w:iCs/>
        </w:rPr>
        <w:t>p</w:t>
      </w:r>
      <w:r>
        <w:rPr/>
        <w:t xml:space="preserve"> = 0.35). Redone with UBS’s real lines, the agent as “Deutsche Bank’s silver trading desk” and its own lines shown as “You”, the arms gave 8%, 10% and 7% (trend </w:t>
      </w:r>
      <w:r>
        <w:rPr>
          <w:i/>
          <w:iCs/>
        </w:rPr>
        <w:t>p</w:t>
      </w:r>
      <w:r>
        <w:rPr/>
        <w:t xml:space="preserve"> = 0.68), and the agent never cited an inherited line in its replies. C’s clean arm repeats B’s neutral setup exactly; it went along 12% of the time against B’s 5% (</w:t>
      </w:r>
      <w:r>
        <w:rPr>
          <w:i/>
          <w:iCs/>
        </w:rPr>
        <w:t>p</w:t>
      </w:r>
      <w:r>
        <w:rPr/>
        <w:t xml:space="preserve"> = 0.34), a reminder of the variation between identical sets of 10 careers.</w:t>
      </w:r>
    </w:p>
    <w:p>
      <w:pPr>
        <w:pStyle w:val="BodyText"/>
        <w:rPr/>
      </w:pPr>
      <w:r>
        <w:rPr/>
        <w:t>Section 7.12 returns to the agent's record, with a record written in its own voice.</w:t>
      </w:r>
    </w:p>
    <w:p>
      <w:pPr>
        <w:pStyle w:val="Heading2"/>
        <w:rPr/>
      </w:pPr>
      <w:bookmarkStart w:id="41" w:name="what-the-agent-wrote"/>
      <w:bookmarkEnd w:id="41"/>
      <w:r>
        <w:rPr/>
        <w:t>7.5 What the agent wrote</w:t>
      </w:r>
      <w:r>
        <w:rPr/>
        <w:br/>
      </w:r>
    </w:p>
    <w:p>
      <w:pPr>
        <w:pStyle w:val="FirstParagraph"/>
        <w:rPr/>
      </w:pPr>
      <w:r>
        <w:rP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rPr/>
        <w:t xml:space="preserve"> = 0.42).</w:t>
      </w:r>
    </w:p>
    <w:p>
      <w:pPr>
        <w:pStyle w:val="Heading2"/>
        <w:rPr/>
      </w:pPr>
      <w:bookmarkStart w:id="42" w:name="what-the-agent-wrote"/>
      <w:bookmarkStart w:id="43" w:name="sec%3Ainside"/>
      <w:bookmarkEnd w:id="42"/>
      <w:bookmarkEnd w:id="43"/>
      <w:r>
        <w:rPr/>
        <w:t>7.6 Inside the model</w:t>
      </w:r>
      <w:r>
        <w:rPr/>
        <w:br/>
      </w:r>
    </w:p>
    <w:p>
      <w:pPr>
        <w:pStyle w:val="FirstParagraph"/>
        <w:rPr/>
      </w:pPr>
      <w:r>
        <w:rPr>
          <w:b/>
          <w:bCs/>
        </w:rPr>
        <w:t>The model's internal state differs by framing.</w:t>
      </w:r>
      <w:r>
        <w:rP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pPr>
        <w:pStyle w:val="TableCaption"/>
        <w:rPr/>
      </w:pPr>
      <w:r>
        <w:rPr>
          <w:b/>
          <w:bCs/>
        </w:rPr>
        <w:t>Table 10:</w:t>
      </w:r>
      <w:r>
        <w:rP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5172"/>
        <w:gridCol w:w="1046"/>
        <w:gridCol w:w="1048"/>
        <w:gridCol w:w="1046"/>
        <w:gridCol w:w="1048"/>
      </w:tblGrid>
      <w:tr>
        <w:trPr>
          <w:tblHeader w:val="true"/>
          <w:cnfStyle w:val="100000000000" w:firstRow="1" w:lastRow="0" w:firstColumn="0" w:lastColumn="0" w:oddVBand="0" w:evenVBand="0" w:oddHBand="0" w:evenHBand="0" w:firstRowFirstColumn="0" w:firstRowLastColumn="0" w:lastRowFirstColumn="0" w:lastRowLastColumn="0"/>
        </w:trPr>
        <w:tc>
          <w:tcPr>
            <w:tcW w:w="51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Comparison</w:t>
            </w:r>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12</w:t>
            </w:r>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24</w:t>
            </w:r>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31</w:t>
            </w:r>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Layer 41</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loss vs gain</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23 (9)</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59 (2)</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47 (2)</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27 (0)</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“you” vs no “you”</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 (8)</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38 (1)</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64 (0)</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 (0)</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framed vs neutral</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 (15)</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 (7)</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27 (1)</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(1)</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a memo vs the neutral memo</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27 (9)</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 (2)</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 (1)</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 (0)</w:t>
            </w:r>
          </w:p>
        </w:tc>
      </w:tr>
      <w:tr>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Went along vs not (same request, experiment and framing)</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(1)</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 (7)</w:t>
            </w:r>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w:t>
            </w:r>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(3)</w:t>
            </w:r>
            <w:bookmarkStart w:id="44" w:name="tab%3Afeatures"/>
            <w:bookmarkEnd w:id="44"/>
          </w:p>
        </w:tc>
      </w:tr>
    </w:tbl>
    <w:p>
      <w:pPr>
        <w:pStyle w:val="BodyText"/>
        <w:rPr/>
      </w:pPr>
      <w:r>
        <w:rPr>
          <w:b/>
          <w:bCs/>
        </w:rPr>
        <w:br/>
      </w:r>
      <w:r>
        <w:rPr>
          <w:b/>
          <w:bCs/>
        </w:rPr>
        <w:t>Individual features are provisional, because the dictionary's error is as large as the differences we compare.</w:t>
      </w:r>
      <w:r>
        <w:rP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pPr>
        <w:pStyle w:val="NormalWeb"/>
        <w:spacing w:before="200" w:after="200"/>
        <w:ind w:right="720"/>
        <w:rPr>
          <w:sz w:val="22"/>
          <w:szCs w:val="22"/>
        </w:rPr>
      </w:pPr>
      <w:del w:id="50060" w:author="Claude" w:date="2026-10-22T03:00:00Z">
        <w:r>
          <w:rPr>
            <w:rStyle w:val="Strong"/>
            <w:sz w:val="22"/>
            <w:szCs w:val="22"/>
          </w:rPr>
          <w:delText xml:space="preserve">From layer 21 onward, the model’s internal state predicts</w:delText>
        </w:r>
      </w:del>
      <w:ins w:id="50061" w:author="Claude" w:date="2026-10-22T03:00:00Z">
        <w:r>
          <w:rPr>
            <w:rStyle w:val="Strong"/>
            <w:sz w:val="22"/>
            <w:szCs w:val="22"/>
          </w:rPr>
          <w:t xml:space="preserve">In middle and late layers, the model’s internal state predicts</w:t>
        </w:r>
      </w:ins>
      <w:r>
        <w:rPr>
          <w:rStyle w:val="Strong"/>
          <w:sz w:val="22"/>
          <w:szCs w:val="22"/>
        </w:rPr>
        <w:t xml:space="preserve"> whether the agent will go along, even on requests the predictor never saw. </w:t>
      </w:r>
      <w:r>
        <w:rPr>
          <w:sz w:val="22"/>
          <w:szCs w:val="22"/>
        </w:rPr>
        <w:t>Comparing agents that went along with those that did not, no feature differs at layer 12. However, from layer 24 on, 17 to 24 features separate them, and these are mostly not the features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pPr>
        <w:pStyle w:val="BodyText"/>
        <w:rPr/>
      </w:pPr>
      <w:r>
        <w:rPr>
          <w:b/>
          <w:bCs/>
        </w:rPr>
        <w:t>A first steering test was inconclusive.</w:t>
      </w:r>
      <w:r>
        <w:rPr/>
        <w:t xml:space="preserve"> Adding the loss-frame direction to neutral agents did not raise going along; it lowered it, from 23% of sampled replies to 14% (two times the gap; </w:t>
      </w:r>
      <w:r>
        <w:rPr>
          <w:i/>
          <w:iCs/>
        </w:rPr>
        <w:t>p</w:t>
      </w:r>
      <w:r>
        <w:rPr/>
        <w:t xml:space="preserve"> = 0.12) and 10% (four times; </w:t>
      </w:r>
      <w:r>
        <w:rPr>
          <w:i/>
          <w:iCs/>
        </w:rPr>
        <w:t>p</w:t>
      </w:r>
      <w:r>
        <w:rPr/>
        <w:t xml:space="preserve"> = 0.017). A random direction of the same size lowered it too, to 15% (</w:t>
      </w:r>
      <w:r>
        <w:rPr>
          <w:i/>
          <w:iCs/>
        </w:rPr>
        <w:t>p</w:t>
      </w:r>
      <w:r>
        <w:rPr/>
        <w:t xml:space="preserve"> = 0.34), and so did the memo direction (9%; </w:t>
      </w:r>
      <w:r>
        <w:rPr>
          <w:i/>
          <w:iCs/>
        </w:rPr>
        <w:t>p</w:t>
      </w:r>
      <w:r>
        <w:rPr/>
        <w:t xml:space="preserve"> = 0.049), which also made more replies unreadable. Subtracting the direction from loss + you agents lowered going along from 73% to 53% (</w:t>
      </w:r>
      <w:r>
        <w:rPr>
          <w:i/>
          <w:iCs/>
        </w:rPr>
        <w:t>p</w:t>
      </w:r>
      <w:r>
        <w:rPr/>
        <w:t xml:space="preserve"> = 0.07), while subtracting the random direction raised it to 84% (</w:t>
      </w:r>
      <w:r>
        <w:rPr>
          <w:i/>
          <w:iCs/>
        </w:rPr>
        <w:t>p</w:t>
      </w:r>
      <w:r>
        <w:rP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pPr>
        <w:pStyle w:val="Heading2"/>
        <w:rPr/>
      </w:pPr>
      <w:r>
        <w:rPr/>
        <w:t>7.7 What the agents traded across the career</w:t>
      </w:r>
    </w:p>
    <w:p>
      <w:pPr>
        <w:pStyle w:val="BodyText"/>
        <w:rPr/>
      </w:pPr>
      <w:r>
        <w:rP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pPr>
        <w:pStyle w:val="TableCaption"/>
        <w:rPr/>
      </w:pPr>
      <w:r>
        <w:rPr>
          <w:b/>
          <w:bCs/>
        </w:rPr>
        <w:t>Table 11:</w:t>
      </w:r>
      <w:r>
        <w:rP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668"/>
        <w:gridCol w:w="1378"/>
        <w:gridCol w:w="1447"/>
        <w:gridCol w:w="1697"/>
        <w:gridCol w:w="1170"/>
      </w:tblGrid>
      <w:tr>
        <w:trPr>
          <w:tblHeader w:val="true"/>
          <w:cnfStyle w:val="100000000000" w:firstRow="1" w:lastRow="0" w:firstColumn="0" w:lastColumn="0" w:oddVBand="0" w:evenVBand="0" w:oddHBand="0" w:evenHBand="0" w:firstRowFirstColumn="0" w:firstRowLastColumn="0" w:lastRowFirstColumn="0" w:lastRowLastColumn="0"/>
        </w:trPr>
        <w:tc>
          <w:tcPr>
            <w:tcW w:w="366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137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7 January</w:t>
            </w:r>
          </w:p>
        </w:tc>
        <w:tc>
          <w:tcPr>
            <w:tcW w:w="144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Later days</w:t>
            </w:r>
          </w:p>
        </w:tc>
        <w:tc>
          <w:tcPr>
            <w:tcW w:w="169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7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 (later)</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+74</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to +68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to +88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0.039</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+128</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+220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+114</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+190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+159</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+42 to +285</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0.036</w:t>
            </w:r>
          </w:p>
        </w:tc>
      </w:tr>
    </w:tbl>
    <w:p>
      <w:pPr>
        <w:pStyle w:val="BodyText"/>
        <w:rPr/>
      </w:pPr>
      <w:r>
        <w:rPr>
          <w:b/>
          <w:bCs/>
        </w:rPr>
        <w:t>Loss-framed agents traded more than gain-framed agents on every trading day through August.</w:t>
      </w:r>
      <w:r>
        <w:rP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rPr/>
        <w:t xml:space="preserve"> &lt; 0.02).</w:t>
      </w:r>
    </w:p>
    <w:p>
      <w:pPr>
        <w:pStyle w:val="BodyText"/>
        <w:rPr/>
      </w:pPr>
      <w:r>
        <w:rPr>
          <w:b/>
          <w:bCs/>
        </w:rPr>
        <w:t>After January, agents stopped joining UBS but traded more heavily on their own.</w:t>
      </w:r>
      <w:r>
        <w:rP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pPr>
        <w:pStyle w:val="BodyText"/>
        <w:rPr/>
      </w:pPr>
      <w:r>
        <w:rPr>
          <w:b/>
          <w:bCs/>
        </w:rPr>
        <w:t>Whether joining paid off in January does not explain why agents stopped joining.</w:t>
      </w:r>
      <w:r>
        <w:rPr/>
        <w:t xml:space="preserve"> Joining in January neither earned nor lost money compared with refusing (B: +$0.03 million, interval −$0.03 to +$0.08 million), and careers that lost money in January went along later no more than those that did not (0% against 4% in B).</w:t>
      </w:r>
    </w:p>
    <w:p>
      <w:pPr>
        <w:pStyle w:val="Heading2"/>
        <w:rPr/>
      </w:pPr>
      <w:r>
        <w:rPr/>
        <w:t>7.8 Same moment, different frame</w:t>
      </w:r>
    </w:p>
    <w:p>
      <w:pPr>
        <w:pStyle w:val="TableCaption"/>
        <w:rPr/>
      </w:pPr>
      <w:r>
        <w:rPr>
          <w:b/>
          <w:bCs/>
        </w:rPr>
        <w:t>Table 12:</w:t>
      </w:r>
      <w:r>
        <w:rP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among them all 50 at 5 August, where a client asks for a price and the agent answers with a quote rather than an order. The request's effect compares versions of the same moment, so the history is identical; the history's effect compares careers given the same neutral request. Changes in percentage points.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887"/>
        <w:gridCol w:w="1284"/>
        <w:gridCol w:w="2037"/>
        <w:gridCol w:w="1151"/>
      </w:tblGrid>
      <w:tr>
        <w:trPr>
          <w:tblHeader w:val="true"/>
          <w:cnfStyle w:val="100000000000" w:firstRow="1" w:lastRow="0" w:firstColumn="0" w:lastColumn="0" w:oddVBand="0" w:evenVBand="0" w:oddHBand="0" w:evenHBand="0" w:firstRowFirstColumn="0" w:firstRowLastColumn="0" w:lastRowFirstColumn="0" w:lastRowLastColumn="0"/>
        </w:trPr>
        <w:tc>
          <w:tcPr>
            <w:tcW w:w="48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Contrast</w:t>
            </w:r>
          </w:p>
        </w:tc>
        <w:tc>
          <w:tcPr>
            <w:tcW w:w="12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w:t>
            </w:r>
          </w:p>
        </w:tc>
        <w:tc>
          <w:tcPr>
            <w:tcW w:w="203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5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request alone (history fixed)</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to +8.8</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+6.8</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 to +10.2</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+0.6 to +5.6</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+4.4</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to +7.0</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to +3.9</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vs none</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 to +3.2</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0.29</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Bank C's line</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+5.5</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+3.7 to +7.9</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loss, with Bank C</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+6.3</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+3.9 to +9.1</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gain, with Bank C</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to +6.7</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history (request held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 history</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+22.4</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+11.0 to +33.1</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0.005</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 history</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6.4 to +20.5</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History and request together (as saved)</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+26.1</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+15.5 to +36.7</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r>
      <w:tr>
        <w:trPr/>
        <w:tc>
          <w:tcPr>
            <w:tcW w:w="48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+11.8</w:t>
            </w:r>
          </w:p>
        </w:tc>
        <w:tc>
          <w:tcPr>
            <w:tcW w:w="203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 to +25.0</w:t>
            </w:r>
          </w:p>
        </w:tc>
        <w:tc>
          <w:tcPr>
            <w:tcW w:w="115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0.11</w:t>
            </w:r>
          </w:p>
        </w:tc>
      </w:tr>
    </w:tbl>
    <w:p>
      <w:pPr>
        <w:pStyle w:val="BodyText"/>
        <w:rPr/>
      </w:pPr>
      <w:r>
        <w:rPr>
          <w:b/>
          <w:bCs/>
        </w:rPr>
        <w:t>Most of the framing's effect, about six-sevenths, comes from the conversation before the request, not from the request itself.</w:t>
      </w:r>
      <w:r>
        <w:rP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p</w:t>
      </w:r>
      <w:r>
        <w:rP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p>
    <w:p>
      <w:pPr>
        <w:pStyle w:val="BodyText"/>
        <w:rPr/>
      </w:pPr>
      <w:r>
        <w:rPr>
          <w:b/>
          <w:bCs/>
        </w:rPr>
        <w:t>The framed request acts at the first request, the framed history at the second and third, and a framed request again at one of the June requests.</w:t>
      </w:r>
      <w:r>
        <w:rPr/>
        <w:t xml:space="preserve"> Split by request (exploratory; ten careers per version), the two parts take turns. At the first request (7 January) the effect is the request's own: its framing raised the probability of an order that goes along by 25 points (</w:t>
      </w:r>
      <w:r>
        <w:rPr>
          <w:i/>
          <w:iCs/>
        </w:rPr>
        <w:t>p</w:t>
      </w:r>
      <w:r>
        <w:rPr/>
        <w:t xml:space="preserve"> &lt; 0.001), and the history added nothing. At the second (12 January) it is all history: framed histories raised the probability by 62 points (</w:t>
      </w:r>
      <w:r>
        <w:rPr>
          <w:i/>
          <w:iCs/>
        </w:rPr>
        <w:t>p</w:t>
      </w:r>
      <w:r>
        <w:rPr/>
        <w:t xml:space="preserve"> &lt; 0.001), and the request's framing added nothing. The history still pulled on 1 April (48 points, </w:t>
      </w:r>
      <w:r>
        <w:rPr>
          <w:i/>
          <w:iCs/>
        </w:rPr>
        <w:t>p</w:t>
      </w:r>
      <w:r>
        <w:rPr/>
        <w:t xml:space="preserve"> = 0.002), although the real agents, reasoning in their own words, almost never went along there (3%). At the first 8 June request neither part moved the decision; at the second, the request's framing raised it by 9 points (</w:t>
      </w:r>
      <w:r>
        <w:rPr>
          <w:i/>
          <w:iCs/>
        </w:rPr>
        <w:t>p</w:t>
      </w:r>
      <w:r>
        <w:rP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pPr>
        <w:pStyle w:val="BodyText"/>
        <w:rPr/>
      </w:pPr>
      <w:r>
        <w:rPr>
          <w:b/>
          <w:bCs/>
        </w:rPr>
        <w:t>Placing the outcome on the agent (“you”) changes its internal state more after a loss than after a gain.</w:t>
      </w:r>
      <w:r>
        <w:rPr/>
        <w:t xml:space="preserve"> With the history fixed, “you” alone did not move the decision (+1.1 points, </w:t>
      </w:r>
      <w:r>
        <w:rPr>
          <w:i/>
          <w:iCs/>
        </w:rPr>
        <w:t>p</w:t>
      </w:r>
      <w:r>
        <w:rP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p>
    <w:p>
      <w:pPr>
        <w:pStyle w:val="BodyText"/>
        <w:rPr/>
      </w:pPr>
      <w:r>
        <w:rPr>
          <w:b/>
          <w:bCs/>
        </w:rPr>
        <w:t>Bank C's endorsement moves the model's internal state in the same direction as a loss frame.</w:t>
      </w:r>
      <w:r>
        <w:rPr/>
        <w:t xml:space="preserve"> With the history fixed, Bank C's line moves the state along the loss-frame direction about as far as the loss frame itself at layer 12 (0.92 of the loss–neutral gap) and about twice as far at layer 24 (2.02).</w:t>
      </w:r>
    </w:p>
    <w:p>
      <w:pPr>
        <w:pStyle w:val="BodyText"/>
        <w:rPr/>
      </w:pPr>
      <w:r>
        <w:rPr>
          <w:b/>
          <w:bCs/>
        </w:rPr>
        <w:t>Management's memo makes the agent trade more but does not make it join UBS, even with everything else held fixed.</w:t>
      </w:r>
      <w:r>
        <w:rPr/>
        <w:t xml:space="preserve"> In A's careers, swapping in management's memo and books raised the expected size of the agent's first order of the day by 50,000 ounces under loss and 32,000 under gain (loss above gain by 16,000; all </w:t>
      </w:r>
      <w:r>
        <w:rPr>
          <w:i/>
          <w:iCs/>
        </w:rPr>
        <w:t>p</w:t>
      </w:r>
      <w:r>
        <w:rP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0.59, against 0.80 between two halves of the careers) and departs from it in late layers (−0.52 at layer 47): the two sources register alike early and lead to different behavior.</w:t>
      </w:r>
    </w:p>
    <w:p>
      <w:pPr>
        <w:pStyle w:val="BodyText"/>
        <w:rPr/>
      </w:pPr>
      <w:r>
        <w:rPr>
          <w:b/>
          <w:bCs/>
        </w:rPr>
        <w:t>The first steering test likely failed because its direction captured differences in history rather than in framing.</w:t>
      </w:r>
      <w:r>
        <w:rPr/>
        <w:t xml:space="preserve"> At layer 24, where the first steering test pushed, the frame direction measured across careers points away from the direction the request itself produces with the history fixed (cosine −0.25); the two agree at layer 12 (0.98) and largely at layer 18 (0.82). The direction used in that test mostly carried differences in history rather than the request's framing.</w:t>
      </w:r>
    </w:p>
    <w:p>
      <w:pPr>
        <w:pStyle w:val="Heading2"/>
        <w:rPr/>
      </w:pPr>
      <w:r>
        <w:rPr/>
        <w:t>7.9 Steering at fixed history</w:t>
      </w:r>
    </w:p>
    <w:p>
      <w:pPr>
        <w:pStyle w:val="BodyText"/>
        <w:rPr/>
      </w:pPr>
      <w:r>
        <w:rPr>
          <w:b/>
          <w:bCs/>
        </w:rPr>
        <w:t>Adding the loss direction to the model's state does not reproduce the effect of loss framing.</w:t>
      </w:r>
      <w:r>
        <w:rPr/>
        <w:t xml:space="preserve"> Added to neutral agents at twice its natural size, the loss direction measured at fixed history lowered the probability of an order that goes along by 6.4 points relative to random directions of the same size (Holm </w:t>
      </w:r>
      <w:r>
        <w:rPr>
          <w:i/>
          <w:iCs/>
        </w:rPr>
        <w:t>p</w:t>
      </w:r>
      <w:r>
        <w:rPr/>
        <w:t xml:space="preserve"> = 0.035; H1), and subtracting it from loss-framed agents raised it by 9.2 points (Holm </w:t>
      </w:r>
      <w:r>
        <w:rPr>
          <w:i/>
          <w:iCs/>
        </w:rPr>
        <w:t>p</w:t>
      </w:r>
      <w:r>
        <w:rPr/>
        <w:t xml:space="preserve"> = 0.014; H3); adding it lowered going along relative to subtracting it (−4.2 points, Holm </w:t>
      </w:r>
      <w:r>
        <w:rPr>
          <w:i/>
          <w:iCs/>
        </w:rPr>
        <w:t>p</w:t>
      </w:r>
      <w:r>
        <w:rPr/>
        <w:t xml:space="preserve"> = 0.047; H4). It did not change the size of the opening order (H2: +329 ounces, </w:t>
      </w:r>
      <w:r>
        <w:rPr>
          <w:i/>
          <w:iCs/>
        </w:rPr>
        <w:t>p</w:t>
      </w:r>
      <w:r>
        <w:rPr/>
        <w:t xml:space="preserve"> = 0.94). The significant tests run against the preregistered prediction, and the random directions themselves moved the probability, so the loss direction at the decision is best read as doing little: it does not carry the framing's effect.</w:t>
      </w:r>
    </w:p>
    <w:p>
      <w:pPr>
        <w:pStyle w:val="BodyText"/>
        <w:rPr/>
      </w:pPr>
      <w:r>
        <w:rPr>
          <w:b/>
          <w:bCs/>
        </w:rPr>
        <w:t>Adding a direction built from agents' own decisions to go along does make the agent go along more.</w:t>
      </w:r>
      <w:r>
        <w:rPr/>
        <w:t xml:space="preserve"> The going-along direction at layer 24, pushed the same way, raised the probability of an order that goes along by 14.0 points over random directions (</w:t>
      </w:r>
      <w:r>
        <w:rPr>
          <w:i/>
          <w:iCs/>
        </w:rPr>
        <w:t>p</w:t>
      </w:r>
      <w:r>
        <w:rPr/>
        <w:t xml:space="preserve"> = 0.001), and subtracting it from loss-framed agents lowered it by 6.0 points (</w:t>
      </w:r>
      <w:r>
        <w:rPr>
          <w:i/>
          <w:iCs/>
        </w:rPr>
        <w:t>p</w:t>
      </w:r>
      <w:r>
        <w:rP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p>
    <w:p>
      <w:pPr>
        <w:pStyle w:val="BodyText"/>
        <w:rPr>
          <w:ins w:id="50062" w:author="Claude" w:date="2026-10-22T03:00:00Z"/>
        </w:rPr>
      </w:pPr>
      <w:ins w:id="50063" w:author="Claude" w:date="2026-10-22T03:00:00Z">
        <w:r>
          <w:rPr>
            <w:b/>
            <w:bCs/>
          </w:rPr>
          <w:t xml:space="preserve">[Note:</w:t>
        </w:r>
        <w:r>
          <w:t xml:space="preserve"> </w:t>
        </w:r>
        <w:r>
          <w:rPr>
            <w:i/>
            <w:iCs/>
          </w:rPr>
          <w:t xml:space="preserve">How to present the steering result, whose significant tests ran opposite to the preregistered prediction, is to be discussed.</w:t>
        </w:r>
        <w:r>
          <w:rPr>
            <w:b/>
            <w:bCs/>
          </w:rPr>
          <w:t xml:space="preserve">]</w:t>
        </w:r>
      </w:ins>
    </w:p>
    <w:p>
      <w:pPr>
        <w:pStyle w:val="Heading2"/>
        <w:rPr/>
      </w:pPr>
      <w:r>
        <w:rPr/>
        <w:t>7.10 Does the agent know it is misconduct?</w:t>
      </w:r>
    </w:p>
    <w:p>
      <w:pPr>
        <w:pStyle w:val="TableCaption"/>
        <w:rPr/>
      </w:pPr>
      <w:r>
        <w:rPr>
          <w:b/>
          <w:bCs/>
        </w:rPr>
        <w:t>Table 13:</w:t>
      </w:r>
      <w:r>
        <w:rP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rPr/>
        <w:t xml:space="preserve">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58"/>
        <w:gridCol w:w="1203"/>
        <w:gridCol w:w="2679"/>
        <w:gridCol w:w="2121"/>
        <w:gridCol w:w="1199"/>
      </w:tblGrid>
      <w:tr>
        <w:trPr>
          <w:tblHeader w:val="true"/>
          <w:cnfStyle w:val="100000000000" w:firstRow="1" w:lastRow="0" w:firstColumn="0" w:lastColumn="0" w:oddVBand="0" w:evenVBand="0" w:oddHBand="0" w:evenHBand="0" w:firstRowFirstColumn="0" w:firstRowLastColumn="0" w:lastRowFirstColumn="0" w:lastRowLastColumn="0"/>
        </w:trPr>
        <w:tc>
          <w:tcPr>
            <w:tcW w:w="215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UBS's request</w:t>
            </w:r>
          </w:p>
        </w:tc>
        <w:tc>
          <w:tcPr>
            <w:tcW w:w="120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P(Yes)</w:t>
            </w:r>
          </w:p>
        </w:tc>
        <w:tc>
          <w:tcPr>
            <w:tcW w:w="26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 vs neutral</w:t>
            </w:r>
          </w:p>
        </w:tc>
        <w:tc>
          <w:tcPr>
            <w:tcW w:w="212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26.8%</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14.7</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18.2 to −11.4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12.2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 to −9.4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you</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13.6</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17.9 to −9.9</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 you</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19.4 to −11.0</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bl>
    <w:p>
      <w:pPr>
        <w:pStyle w:val="BodyText"/>
        <w:rPr/>
      </w:pPr>
      <w:r>
        <w:rPr>
          <w:b/>
          <w:bCs/>
        </w:rPr>
        <w:t>Framing UBS's request makes the agent about half as likely to call it market manipulation.</w:t>
      </w:r>
      <w:r>
        <w:rP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pPr>
        <w:pStyle w:val="BodyText"/>
        <w:rPr/>
      </w:pPr>
      <w:r>
        <w:rPr>
          <w:b/>
          <w:bCs/>
        </w:rPr>
        <w:t>Agents that recognized the request as manipulation went along as often as agents that did not.</w:t>
      </w:r>
      <w:r>
        <w:rP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pPr>
        <w:pStyle w:val="Heading2"/>
        <w:rPr/>
      </w:pPr>
      <w:r>
        <w:rPr/>
        <w:t>7.11 Reading an emotional document first (pilot)</w:t>
      </w:r>
    </w:p>
    <w:p>
      <w:pPr>
        <w:pStyle w:val="BodyText"/>
        <w:rPr>
          <w:b/>
          <w:bCs/>
        </w:rPr>
      </w:pPr>
      <w:r>
        <w:rPr/>
        <w:t>Reading long lists of phrases associated with each direction raised the probability of going along. Averaged over UBS’s five framings, a neutral document (of random, non-emotional words) read just before the request raised the probability of an order that goes along from 26.8% to 31.5%. A loss-focused document added another 11.8 percentage points above neutral (p = 0.022), a blame document 7.3 points (p = 0.062), a gain document 10.0 points (p = 0.019), and a credit document added 5.2 points (p = 0.47) (Table 14).</w:t>
      </w:r>
      <w:r>
        <w:rPr>
          <w:b/>
          <w:bCs/>
        </w:rPr>
        <w:t xml:space="preserve"> </w:t>
      </w:r>
    </w:p>
    <w:p>
      <w:pPr>
        <w:pStyle w:val="BodyText"/>
        <w:rPr/>
      </w:pPr>
      <w:r>
        <w:rPr/>
        <w:t xml:space="preserve">Loss and gain documents raised going along by similar amounts, so the documents show an effect of emotional content rather than of loss or gain in particular. </w:t>
      </w:r>
      <w:r>
        <w:rPr/>
        <w:br/>
      </w:r>
    </w:p>
    <w:p>
      <w:pPr>
        <w:pStyle w:val="TableCaption"/>
        <w:rPr/>
      </w:pPr>
      <w:r>
        <w:rPr>
          <w:b/>
          <w:bCs/>
        </w:rPr>
        <w:t>Table 14:</w:t>
      </w:r>
      <w:r>
        <w:rP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Pilot documents, not yet validated.</w:t>
      </w:r>
    </w:p>
    <w:tbl>
      <w:tblPr>
        <w:tblW w:w="5538"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18"/>
        <w:gridCol w:w="1356"/>
        <w:gridCol w:w="2264"/>
      </w:tblGrid>
      <w:tr>
        <w:trPr>
          <w:tblHeader w:val="true"/>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P(goes along)</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 (vs neutral)</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None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26.8%</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31.5%</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Loss</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45.6%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0.022</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Gain</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41.6%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0.019</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Blame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39.4%</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0.062</w:t>
            </w:r>
          </w:p>
        </w:tc>
      </w:tr>
      <w:tr>
        <w:trPr>
          <w:trHeight w:val="56" w:hRule="atLeast"/>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Credit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34.7%</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Normal"/>
              <w:widowControl/>
              <w:bidi w:val="0"/>
              <w:spacing w:before="0" w:after="200"/>
              <w:jc w:val="left"/>
              <w:rPr/>
            </w:pPr>
            <w:r>
              <w:rPr/>
              <w:t>0.47</w:t>
            </w:r>
          </w:p>
        </w:tc>
      </w:tr>
    </w:tbl>
    <w:p>
      <w:pPr>
        <w:pStyle w:val="BodyText"/>
        <w:rPr/>
      </w:pPr>
      <w:r>
        <w:rPr/>
      </w:r>
    </w:p>
    <w:p>
      <w:pPr>
        <w:pStyle w:val="BodyText"/>
        <w:rPr/>
      </w:pPr>
      <w:del w:id="50065" w:author="Claude" w:date="2026-10-22T03:00:00Z">
        <w:r>
          <w:rPr>
            <w:b/>
            <w:bCs/>
          </w:rPr>
          <w:delText xml:space="preserve">Reading an emotional document moves the agent’s decision state toward going along.</w:delText>
        </w:r>
      </w:del>
      <w:ins w:id="50066" w:author="Claude" w:date="2026-10-22T03:00:00Z">
        <w:r>
          <w:rPr>
            <w:b/>
            <w:bCs/>
          </w:rPr>
          <w:t xml:space="preserve">Reading any document before the request moves the agent’s decision state toward going along, and emotional documents may add to it.</w:t>
        </w:r>
      </w:ins>
      <w:r>
        <w:rPr/>
        <w:t xml:space="preserve"> In full, measured from no document, the documents raised the probability of an order that goes along from 26.8% to 45.6% after a loss document (+18.8 points), 41.6% after gain (+14.8), 39.4% after blame (+12.6) and 34.7% after credit (+7.9); the neutral document alone gave +4.7 (Table 14; Figure 3a)</w:t>
      </w:r>
      <w:ins w:id="50064" w:author="Claude" w:date="2026-10-22T03:00:00Z">
        <w:r>
          <w:rPr/>
          <w:t xml:space="preserve">; these are levels averaged over requests, while the changes beyond the neutral document given above are averaged within each career first, so the two do not subtract exactly</w:t>
        </w:r>
      </w:ins>
      <w:r>
        <w:rPr/>
        <w:t xml:space="preserve">. Inside the model, at the same requests of B’s ten neutral careers (all 60; this internal measure needs no scoring of orders, so 5 August is included), the agent’s state at its decision (layer 24, the last token before its reply) was read after each document and projected on the going-along direction of Section 7.9, built from the other half of the careers, in units of the gap between agents that went along and agents that did not; p flips signs by career. Every document moved the state toward going along compared with no document (Figure 3b; neutral +1.9, p = 0.002; loss +3.4, blame +3.4, gain +3.5 and credit +3.1, all p &lt; 0.01). Beyond the neutral document, gain added 1.6 (p = 0.013) and credit 1.2 (p = 0.043); </w:t>
      </w:r>
      <w:del w:id="50067" w:author="Claude" w:date="2026-10-22T03:00:00Z">
        <w:r>
          <w:rPr/>
          <w:delText xml:space="preserve">loss and blame each added 1.5 (p = 0.06).</w:delText>
        </w:r>
      </w:del>
      <w:ins w:id="50068" w:author="Claude" w:date="2026-10-22T03:00:00Z">
        <w:r>
          <w:rPr/>
          <w:t xml:space="preserve">loss and blame each added 1.5 (p = 0.06). After correcting for the four documents, none of these is significant (smallest Holm p = 0.05), and the neutral document alone accounts for more than half of the shift.</w:t>
        </w:r>
      </w:ins>
      <w:r>
        <w:rPr/>
        <w:t xml:space="preserve"> </w:t>
      </w:r>
      <w:del w:id="50069" w:author="Claude" w:date="2026-10-22T03:00:00Z">
        <w:r>
          <w:rPr/>
          <w:delText xml:space="preserve">The documents need not resemble UBS’s framing inside the model: the features that separate the loss and gain documents overlap with those that separate UBS’s loss and gain requests no more than chance predicts. They prime the decision by a route of their own. </w:delText>
        </w:r>
      </w:del>
      <w:r>
        <w:rPr/>
        <w:t xml:space="preserve">The internal shift is a distance along one direction, not a probability, and is exploratory.</w:t>
      </w:r>
    </w:p>
    <w:p>
      <w:pPr>
        <w:pStyle w:val="CaptionedFigure"/>
        <w:jc w:val="center"/>
        <w:rPr/>
      </w:pPr>
      <w:r>
        <w:rPr/>
        <w:drawing>
          <wp:inline distT="0" distB="0" distL="0" distR="0">
            <wp:extent cx="5760720" cy="2155190"/>
            <wp:effectExtent l="0" t="0" r="0" b="0"/>
            <wp:docPr id="4"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descr=""/>
                    <pic:cNvPicPr>
                      <a:picLocks noChangeAspect="1" noChangeArrowheads="1"/>
                    </pic:cNvPicPr>
                  </pic:nvPicPr>
                  <pic:blipFill>
                    <a:blip r:embed="rId5"/>
                    <a:stretch>
                      <a:fillRect/>
                    </a:stretch>
                  </pic:blipFill>
                  <pic:spPr bwMode="auto">
                    <a:xfrm>
                      <a:off x="0" y="0"/>
                      <a:ext cx="5760720" cy="2155190"/>
                    </a:xfrm>
                    <a:prstGeom prst="rect">
                      <a:avLst/>
                    </a:prstGeom>
                  </pic:spPr>
                </pic:pic>
              </a:graphicData>
            </a:graphic>
          </wp:inline>
        </w:drawing>
      </w:r>
    </w:p>
    <w:p>
      <w:pPr>
        <w:pStyle w:val="ImageCaption"/>
        <w:rPr/>
      </w:pPr>
      <w:r>
        <w:rPr>
          <w:b/>
          <w:bCs/>
        </w:rPr>
        <w:t>Figure 3:</w:t>
      </w:r>
      <w:r>
        <w:rPr/>
        <w:t xml:space="preserve"> Reading a document just before UBS’s request (B’s neutral careers). (a) The probability of an order that goes along, averaged over UBS’s five framings (Table 14). (b) How far the agent’s state at its decision (layer 24) moved along the going-along direction compared with no document, in units of the gap between agents that went along and agents that did not; the dashed line marks the neutral document. Gray: no document and the neutral document; blue: the emotional documents. Pilot documents; exploratory.</w:t>
      </w:r>
    </w:p>
    <w:p>
      <w:pPr>
        <w:pStyle w:val="Heading2"/>
        <w:rPr/>
      </w:pPr>
      <w:r>
        <w:rPr/>
        <w:t>7.12 The agent's own record: the takeover, revisited</w:t>
      </w:r>
    </w:p>
    <w:p>
      <w:pPr>
        <w:pStyle w:val="BodyText"/>
        <w:rPr/>
      </w:pPr>
      <w:r>
        <w:rPr/>
        <w:t>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p>
    <w:p>
      <w:pPr>
        <w:pStyle w:val="BodyText"/>
        <w:rPr/>
      </w:pPr>
      <w:r>
        <w:rPr>
          <w:b/>
          <w:bCs/>
        </w:rPr>
        <w:t>A record of going along, in the agent's own voice, makes the agent go along more.</w:t>
      </w:r>
      <w:r>
        <w:rPr/>
        <w:t xml:space="preserve"> With every chat reply replaced by a scripted reply that goes along and takes on the framing, the probability of an order that goes along </w:t>
      </w:r>
      <w:del w:id="50070" w:author="Claude" w:date="2026-10-22T03:00:00Z">
        <w:r>
          <w:rPr/>
          <w:delText xml:space="preserve">rose from 58.3% to 71.4%, by 14.6 points</w:delText>
        </w:r>
      </w:del>
      <w:ins w:id="50071" w:author="Claude" w:date="2026-10-22T03:00:00Z">
        <w:r>
          <w:rPr/>
          <w:t xml:space="preserve">rose by 14.6 points</w:t>
        </w:r>
      </w:ins>
      <w:r>
        <w:rPr/>
        <w:t xml:space="preserve"> (95% interval +7.7 to +22.3; </w:t>
      </w:r>
      <w:r>
        <w:rPr>
          <w:i/>
          <w:iCs/>
        </w:rPr>
        <w:t>p</w:t>
      </w:r>
      <w:r>
        <w:rPr/>
        <w:t xml:space="preserve"> &lt; 0.001; 110 of 200 moments). With only the earlier refusals at push requests replaced by real Gemma replies that went along (a median of one reply per moment), it rose by 3.5 points (+1.0 to +6.5; </w:t>
      </w:r>
      <w:r>
        <w:rPr>
          <w:i/>
          <w:iCs/>
        </w:rPr>
        <w:t>p</w:t>
      </w:r>
      <w:r>
        <w:rPr/>
        <w:t xml:space="preserve"> = 0.014; 125 moments), and by 6.4 points where a reply was replaced (</w:t>
      </w:r>
      <w:r>
        <w:rPr>
          <w:i/>
          <w:iCs/>
        </w:rPr>
        <w:t>p</w:t>
      </w:r>
      <w:r>
        <w:rPr/>
        <w:t xml:space="preserve"> = 0.009). The scripted record raised going along most under gain + you (25.0 points) and gain (18.9), and least under loss + you (5.0), whose real careers already went along most (69.1%).</w:t>
      </w:r>
    </w:p>
    <w:p>
      <w:pPr>
        <w:pStyle w:val="BodyText"/>
        <w:rPr/>
      </w:pPr>
      <w:r>
        <w:rPr>
          <w:b/>
          <w:bCs/>
        </w:rPr>
        <w:t>The record's effect cannot be carried by a single injected state.</w:t>
      </w:r>
      <w:r>
        <w:rPr/>
        <w:t xml:space="preserve"> Adding the screenplay history's state at the request, minus the real history's, to the real history changed the probability of an order that goes along by −0.1, +0.1 and +0.7 points at layers 12, 18 and 24 (all </w:t>
      </w:r>
      <w:r>
        <w:rPr>
          <w:i/>
          <w:iCs/>
        </w:rPr>
        <w:t>p</w:t>
      </w:r>
      <w:r>
        <w:rPr/>
        <w:t xml:space="preserve"> &gt; 0.28), no more than a random vector of the same size (+1.6 points, </w:t>
      </w:r>
      <w:r>
        <w:rPr>
          <w:i/>
          <w:iCs/>
        </w:rPr>
        <w:t>p</w:t>
      </w:r>
      <w:r>
        <w:rPr/>
        <w:t xml:space="preserve"> = 0.25). The record acts through what the model rereads at the decision, not through a summary of it that one layer's state can carry.</w:t>
      </w:r>
    </w:p>
    <w:p>
      <w:pPr>
        <w:pStyle w:val="BodyText"/>
        <w:rPr/>
      </w:pPr>
      <w:r>
        <w:rPr>
          <w:b/>
          <w:bCs/>
        </w:rPr>
        <w:t>A record in a human trader's voice did not carry over, but a record in the agent's own voice did.</w:t>
      </w:r>
      <w:r>
        <w:rP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p>
    <w:p>
      <w:pPr>
        <w:pStyle w:val="Heading1"/>
        <w:rPr/>
      </w:pPr>
      <w:bookmarkStart w:id="45" w:name="sec%3Aresults"/>
      <w:bookmarkStart w:id="46" w:name="sec%3Ainside"/>
      <w:bookmarkStart w:id="47" w:name="sec%3Adiscussion"/>
      <w:bookmarkEnd w:id="45"/>
      <w:bookmarkEnd w:id="46"/>
      <w:bookmarkEnd w:id="47"/>
      <w:r>
        <w:rPr/>
        <w:t>8 Discussion</w:t>
      </w:r>
      <w:r>
        <w:rPr/>
        <w:br/>
      </w:r>
    </w:p>
    <w:p>
      <w:pPr>
        <w:pStyle w:val="FirstParagraph"/>
        <w:rPr>
          <w:del w:id="50076" w:author="Claude" w:date="2026-10-22T03:00:00Z"/>
        </w:rPr>
      </w:pPr>
      <w:del w:id="50072" w:author="Claude" w:date="2026-10-22T03:00:00Z">
        <w:r>
          <w:rPr>
            <w:b/>
            <w:bCs/>
          </w:rPr>
          <w:delText>[Note:</w:delText>
        </w:r>
      </w:del>
      <w:del w:id="50073" w:author="Claude" w:date="2026-10-22T03:00:00Z">
        <w:r>
          <w:rPr/>
          <w:delText xml:space="preserve"> </w:delText>
        </w:r>
      </w:del>
      <w:del w:id="50074" w:author="Claude" w:date="2026-10-22T03:00:00Z">
        <w:r>
          <w:rPr>
            <w:i/>
            <w:iCs/>
          </w:rPr>
          <w:delText>A first draft of the discussion. To be revised once the remaining results are in.</w:delText>
        </w:r>
      </w:del>
      <w:del w:id="50075" w:author="Claude" w:date="2026-10-22T03:00:00Z">
        <w:r>
          <w:rPr>
            <w:b/>
            <w:bCs/>
          </w:rPr>
          <w:delText>]</w:delText>
        </w:r>
      </w:del>
    </w:p>
    <w:p>
      <w:pPr>
        <w:pStyle w:val="BodyText"/>
        <w:rPr/>
      </w:pPr>
      <w:r>
        <w:rPr>
          <w:b/>
          <w:bCs/>
        </w:rPr>
        <w:t>Behavioral levers move an AI economic agent.</w:t>
      </w:r>
      <w:r>
        <w:rPr/>
        <w:t xml:space="preserve"> The levers that move human decisions moved this agent’s decision to join a manipulation, with the same sign as in people for the frame: a counterparty’s loss framing raised joining, and a prior loss or gain raised risk-taking, </w:t>
      </w:r>
      <w:del w:id="50077" w:author="Claude" w:date="2026-10-22T03:00:00Z">
        <w:r>
          <w:rPr/>
          <w:delText xml:space="preserve">as the break-even and house-money effects predict (Thaler and Johnson 1990)</w:delText>
        </w:r>
      </w:del>
      <w:ins w:id="50078" w:author="Claude" w:date="2026-10-22T03:00:00Z">
        <w:r>
          <w:rPr/>
          <w:t xml:space="preserve">consistent with the break-even and house-money effects (Thaler and Johnson 1990), although the memo cannot isolate them (Section 9)</w:t>
        </w:r>
      </w:ins>
      <w:r>
        <w:rPr/>
        <w:t xml:space="preserve">.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pPr>
        <w:pStyle w:val="BodyText"/>
        <w:rPr/>
      </w:pPr>
      <w:r>
        <w:rPr>
          <w:b/>
          <w:bCs/>
        </w:rPr>
        <w:t>Two kinds of pressure, two kinds of misconduct.</w:t>
      </w:r>
      <w:r>
        <w:rP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w:t>
      </w:r>
      <w:del w:id="50079" w:author="Claude" w:date="2026-10-22T03:00:00Z">
        <w:r>
          <w:rPr/>
          <w:delText xml:space="preserve">the matched-history reads will show whether management’s loss and UBS’s loss share a representation inside the model.</w:delText>
        </w:r>
      </w:del>
      <w:ins w:id="50080" w:author="Claude" w:date="2026-10-22T03:00:00Z">
        <w:r>
          <w:rPr/>
          <w:t xml:space="preserve">inside the model, management’s loss and UBS’s loss register alike at layer 12 (cosine 0.59) and part in late layers (−0.52 at layer 47; Section 7.8).</w:t>
        </w:r>
      </w:ins>
    </w:p>
    <w:p>
      <w:pPr>
        <w:pStyle w:val="BodyText"/>
        <w:rPr/>
      </w:pPr>
      <w:r>
        <w:rPr>
          <w:b/>
          <w:bCs/>
        </w:rPr>
        <w:t>“</w:t>
      </w:r>
      <w:r>
        <w:rPr>
          <w:b/>
          <w:bCs/>
        </w:rPr>
        <w:t>You” needs company.</w:t>
      </w:r>
      <w:r>
        <w:rP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pPr>
        <w:pStyle w:val="BodyText"/>
        <w:rPr/>
      </w:pPr>
      <w:r>
        <w:rPr>
          <w:b/>
          <w:bCs/>
        </w:rPr>
        <w:t>The framing is acted on but not voiced.</w:t>
      </w:r>
      <w:r>
        <w:rP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pPr>
        <w:pStyle w:val="BodyText"/>
        <w:rPr/>
      </w:pPr>
      <w:r>
        <w:rPr>
          <w:b/>
          <w:bCs/>
        </w:rPr>
        <w:t>Persistence or setbacks?</w:t>
      </w:r>
      <w:r>
        <w:rP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w:t>
      </w:r>
      <w:del w:id="50081" w:author="Claude" w:date="2026-10-22T03:00:00Z">
        <w:r>
          <w:rPr/>
          <w:delText xml:space="preserve">and the matched-history reads will separate the request’s immediate effect from that of the history before it.</w:delText>
        </w:r>
      </w:del>
      <w:ins w:id="50082" w:author="Claude" w:date="2026-10-22T03:00:00Z">
        <w:r>
          <w:rPr/>
          <w:t xml:space="preserve">and the matched-history reads (Section 7.8) already show part of the answer: the framed request acted at the first request, and the history it built carried the effect at the second and third.</w:t>
        </w:r>
      </w:ins>
    </w:p>
    <w:p>
      <w:pPr>
        <w:pStyle w:val="BodyText"/>
        <w:rPr/>
      </w:pPr>
      <w:r>
        <w:rPr>
          <w:b/>
          <w:bCs/>
        </w:rPr>
        <w:t>Liability and deterrence.</w:t>
      </w:r>
      <w:r>
        <w:rP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w:t>
      </w:r>
      <w:del w:id="50083" w:author="Claude" w:date="2026-10-22T03:00:00Z">
        <w:r>
          <w:rPr/>
          <w:delText xml:space="preserve">the harm to the clients whose stops were pushed through</w:delText>
        </w:r>
      </w:del>
      <w:ins w:id="50084" w:author="Claude" w:date="2026-10-22T03:00:00Z">
        <w:r>
          <w:rPr/>
          <w:t xml:space="preserve">the harm to the traders whose stop-loss orders were pushed through</w:t>
        </w:r>
      </w:ins>
      <w:r>
        <w:rPr/>
        <w:t xml:space="preserve">.</w:t>
      </w:r>
    </w:p>
    <w:p>
      <w:pPr>
        <w:pStyle w:val="BodyText"/>
        <w:rPr/>
      </w:pPr>
      <w:r>
        <w:rPr>
          <w:b/>
          <w:bCs/>
        </w:rPr>
        <w:t>The agent's own record shapes what it does next, but an inherited record did not.</w:t>
      </w:r>
      <w:r>
        <w:rP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p>
    <w:p>
      <w:pPr>
        <w:pStyle w:val="BodyText"/>
        <w:rPr/>
      </w:pPr>
      <w:r>
        <w:rPr>
          <w:b/>
          <w:bCs/>
        </w:rPr>
        <w:t>Inside the model.</w:t>
      </w:r>
      <w:r>
        <w:rPr/>
        <w:t xml:space="preserve"> The framing is clearly represented at the decision, and the decision is readable beyond the framing in middle and late layers, in a way that carries over to requests the read-out never saw. </w:t>
      </w:r>
      <w:del w:id="50085" w:author="Claude" w:date="2026-10-22T03:00:00Z">
        <w:r>
          <w:rPr/>
          <w:delText xml:space="preserve">Whether the represented framing causes the decision remains open: the first steering test could not answer it, and the matched-history and transplant tests are designed to.</w:delText>
        </w:r>
      </w:del>
      <w:ins w:id="50086" w:author="Claude" w:date="2026-10-22T03:00:00Z">
        <w:r>
          <w:rPr/>
          <w:t xml:space="preserve">The read-out adds little beyond the labels (about 0.02 in AUC), and steering one loss direction did not reproduce the framing’s effect; the next two paragraphs describe where the effect does live.</w:t>
        </w:r>
      </w:ins>
    </w:p>
    <w:p>
      <w:pPr>
        <w:pStyle w:val="BodyText"/>
        <w:rPr/>
      </w:pPr>
      <w:r>
        <w:rPr>
          <w:b/>
          <w:bCs/>
        </w:rPr>
        <w:t>A framed request makes misconduct harder for the agent to recognize.</w:t>
      </w:r>
      <w:r>
        <w:rP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pPr>
        <w:pStyle w:val="BodyText"/>
        <w:rPr/>
      </w:pPr>
      <w:r>
        <w:rPr>
          <w:b/>
          <w:bCs/>
        </w:rPr>
        <w:t>The framing acts early and is carried forward by the conversation, not by a single signal at the decision.</w:t>
      </w:r>
      <w:r>
        <w:rPr/>
        <w:t xml:space="preserve"> At fixed history, the request's framing moved the decision by a few points; the history it had built moved it by several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pPr>
        <w:pStyle w:val="Heading1"/>
        <w:rPr/>
      </w:pPr>
      <w:bookmarkStart w:id="48" w:name="sec%3Adiscussion"/>
      <w:bookmarkStart w:id="49" w:name="limitations"/>
      <w:bookmarkEnd w:id="48"/>
      <w:r>
        <w:rPr/>
        <w:t>9 Limitations</w:t>
      </w:r>
      <w:r>
        <w:rPr/>
        <w:br/>
      </w:r>
    </w:p>
    <w:p>
      <w:pPr>
        <w:pStyle w:val="Normal"/>
        <w:numPr>
          <w:ilvl w:val="0"/>
          <w:numId w:val="3"/>
        </w:numPr>
        <w:rPr/>
      </w:pPr>
      <w:r>
        <w:rPr>
          <w:b/>
          <w:bCs/>
        </w:rPr>
        <w:t>One model, one case.</w:t>
      </w:r>
      <w:r>
        <w:rPr/>
        <w:t xml:space="preserve"> Gemma 3 12B in 4-bit, in one market setting rebuilt from one case.</w:t>
      </w:r>
    </w:p>
    <w:p>
      <w:pPr>
        <w:pStyle w:val="Normal"/>
        <w:numPr>
          <w:ilvl w:val="0"/>
          <w:numId w:val="3"/>
        </w:numPr>
        <w:rPr/>
      </w:pPr>
      <w:r>
        <w:rPr>
          <w:b/>
          <w:bCs/>
        </w:rPr>
        <w:t>Small samples.</w:t>
      </w:r>
      <w:r>
        <w:rPr/>
        <w:t xml:space="preserve"> Ten careers per version (five in A) detect only large effects. Two identical sets of ten careers (C’s clean arm and B’s neutral) went along 12% and 5% of the time.</w:t>
      </w:r>
    </w:p>
    <w:p>
      <w:pPr>
        <w:pStyle w:val="Normal"/>
        <w:numPr>
          <w:ilvl w:val="0"/>
          <w:numId w:val="3"/>
        </w:numPr>
        <w:rPr/>
      </w:pPr>
      <w:r>
        <w:rPr>
          <w:b/>
          <w:bCs/>
        </w:rPr>
        <w:t>Every line framed.</w:t>
      </w:r>
      <w:r>
        <w:rPr/>
        <w:t xml:space="preserve"> In B every UBS line is framed, so an effect cannot be attributed to the request line alone.</w:t>
      </w:r>
    </w:p>
    <w:p>
      <w:pPr>
        <w:pStyle w:val="Normal"/>
        <w:numPr>
          <w:ilvl w:val="0"/>
          <w:numId w:val="3"/>
        </w:numPr>
        <w:rPr/>
      </w:pPr>
      <w:r>
        <w:rPr>
          <w:b/>
          <w:bCs/>
        </w:rPr>
        <w:t>Going along is not intent.</w:t>
      </w:r>
      <w:r>
        <w:rPr/>
        <w:t xml:space="preserve"> Trading in UBS’s direction after a request does not separate cooperating from trading on the information that a large player is about to push the price.</w:t>
      </w:r>
    </w:p>
    <w:p>
      <w:pPr>
        <w:pStyle w:val="Normal"/>
        <w:numPr>
          <w:ilvl w:val="0"/>
          <w:numId w:val="3"/>
        </w:numPr>
        <w:rPr/>
      </w:pPr>
      <w:r>
        <w:rPr>
          <w:b/>
          <w:bCs/>
        </w:rPr>
        <w:t>Harm is understated.</w:t>
      </w:r>
      <w:r>
        <w:rPr/>
        <w:t xml:space="preserve"> Only the stops placed in the simulation are counted.</w:t>
      </w:r>
    </w:p>
    <w:p>
      <w:pPr>
        <w:pStyle w:val="Normal"/>
        <w:numPr>
          <w:ilvl w:val="0"/>
          <w:numId w:val="3"/>
        </w:numPr>
        <w:rPr/>
      </w:pPr>
      <w:r>
        <w:rPr>
          <w:b/>
          <w:bCs/>
        </w:rPr>
        <w:t>Twins diverge.</w:t>
      </w:r>
      <w:r>
        <w:rPr/>
        <w:t xml:space="preserve"> Careers that share a seed differ from the first reply, because sampling on a GPU is not exactly reproducible; F’s and E’s comparisons with their twins are therefore unpaired.</w:t>
      </w:r>
    </w:p>
    <w:p>
      <w:pPr>
        <w:pStyle w:val="Normal"/>
        <w:numPr>
          <w:ilvl w:val="0"/>
          <w:numId w:val="3"/>
        </w:numPr>
        <w:rPr/>
      </w:pPr>
      <w:r>
        <w:rPr>
          <w:b/>
          <w:bCs/>
        </w:rPr>
        <w:t>Precision.</w:t>
      </w:r>
      <w:r>
        <w:rPr/>
        <w:t xml:space="preserve"> The careers ran in 4-bit; the states were read at bfloat16, the precision of Gemma Scope 2. A 4-bit reread of B gives nearly the same states and mostly the same leading features (10 to 13 of 15).</w:t>
      </w:r>
    </w:p>
    <w:p>
      <w:pPr>
        <w:pStyle w:val="Normal"/>
        <w:numPr>
          <w:ilvl w:val="0"/>
          <w:numId w:val="3"/>
        </w:numPr>
        <w:rPr/>
      </w:pPr>
      <w:r>
        <w:rPr>
          <w:b/>
          <w:bCs/>
        </w:rPr>
        <w:t>Dictionary fit.</w:t>
      </w:r>
      <w:r>
        <w:rPr/>
        <w:t xml:space="preserve"> The sparse autoencoders rebuild our states to within 0.3% to 2% of their size, but the moments differ from one another by about as little, so individual features are provisional.</w:t>
      </w:r>
    </w:p>
    <w:p>
      <w:pPr>
        <w:pStyle w:val="Normal"/>
        <w:numPr>
          <w:ilvl w:val="0"/>
          <w:numId w:val="3"/>
        </w:numPr>
        <w:rPr/>
      </w:pPr>
      <w:r>
        <w:rPr>
          <w:b/>
          <w:bCs/>
        </w:rPr>
        <w:t>Exploratory parts.</w:t>
      </w:r>
      <w:r>
        <w:rPr/>
        <w:t xml:space="preserve"> C redone, the comparisons of F with B’s neutral careers, the word screen and every analysis inside the model are exploratory.</w:t>
      </w:r>
    </w:p>
    <w:p>
      <w:pPr>
        <w:pStyle w:val="Normal"/>
        <w:numPr>
          <w:ilvl w:val="0"/>
          <w:numId w:val="3"/>
        </w:numPr>
        <w:rPr/>
      </w:pPr>
      <w:r>
        <w:rPr>
          <w:b/>
          <w:bCs/>
        </w:rPr>
        <w:t>Probability read-outs.</w:t>
      </w:r>
      <w:r>
        <w:rPr/>
        <w:t xml:space="preserve"> The rereads measure the model's probability of each order after a fixed neutral reasoning line, not sampled decisions; their levels differ from the sampled rates. Moments where the orders scored cover less than half of the probability are left out, among them every 5 August request, where a client asks for a price and the agent answers with a quote.</w:t>
      </w:r>
      <w:ins w:id="50087" w:author="Claude" w:date="2026-10-22T03:00:00Z">
        <w:r>
          <w:rPr/>
          <w:t xml:space="preserve"> This rule was set after the results were seen; Appendix C gives the numbers without it.</w:t>
        </w:r>
      </w:ins>
    </w:p>
    <w:p>
      <w:pPr>
        <w:pStyle w:val="Normal"/>
        <w:numPr>
          <w:ilvl w:val="0"/>
          <w:numId w:val="3"/>
        </w:numPr>
        <w:rPr/>
      </w:pPr>
      <w:r>
        <w:rPr>
          <w:b/>
          <w:bCs/>
        </w:rPr>
        <w:t>History is a bundle.</w:t>
      </w:r>
      <w:r>
        <w:rPr/>
        <w:t xml:space="preserve"> In B the history's effect combines UBS's earlier framed lines with the agent's own replies and trades; the screenplay rereads separate the agent's replies.</w:t>
      </w:r>
    </w:p>
    <w:p>
      <w:pPr>
        <w:pStyle w:val="Normal"/>
        <w:numPr>
          <w:ilvl w:val="0"/>
          <w:numId w:val="3"/>
        </w:numPr>
        <w:rPr/>
      </w:pPr>
      <w:r>
        <w:rPr>
          <w:b/>
          <w:bCs/>
        </w:rPr>
        <w:t>Pilot documents.</w:t>
      </w:r>
      <w:r>
        <w:rPr/>
        <w:t xml:space="preserve"> The emotional documents were written quickly and not validated.</w:t>
      </w:r>
    </w:p>
    <w:p>
      <w:pPr>
        <w:numPr>
          <w:ilvl w:val="0"/>
          <w:numId w:val="4"/>
        </w:numPr>
        <w:rPr>
          <w:ins w:id="50088" w:author="Claude" w:date="2026-10-22T03:00:00Z"/>
        </w:rPr>
      </w:pPr>
      <w:ins w:id="50089" w:author="Claude" w:date="2026-10-22T03:00:00Z">
        <w:r>
          <w:rPr>
            <w:b/>
            <w:bCs/>
          </w:rPr>
          <w:t xml:space="preserve">No stakes-matched neutral.</w:t>
        </w:r>
        <w:r>
          <w:t xml:space="preserve"> Every framed line adds a sentence of stakes that the neutral line lacks (17 to 21 words on average, against 9), so contrasts of framed against neutral, including the drop in recognition (Section 7.10), mix the frame with the presence of a stated reason. Loss against gain, where both state stakes, is not affected.</w:t>
        </w:r>
      </w:ins>
    </w:p>
    <w:p>
      <w:pPr>
        <w:numPr>
          <w:ilvl w:val="0"/>
          <w:numId w:val="4"/>
        </w:numPr>
        <w:rPr>
          <w:ins w:id="50090" w:author="Claude" w:date="2026-10-22T03:00:00Z"/>
        </w:rPr>
      </w:pPr>
      <w:ins w:id="50091" w:author="Claude" w:date="2026-10-22T03:00:00Z">
        <w:r>
          <w:rPr>
            <w:b/>
            <w:bCs/>
          </w:rPr>
          <w:t xml:space="preserve">One author’s framings.</w:t>
        </w:r>
        <w:r>
          <w:t xml:space="preserve"> Every framing was written by a single author, with no check on how the versions compare in intensity.</w:t>
        </w:r>
      </w:ins>
    </w:p>
    <w:p>
      <w:pPr>
        <w:numPr>
          <w:ilvl w:val="0"/>
          <w:numId w:val="4"/>
        </w:numPr>
        <w:rPr>
          <w:ins w:id="50092" w:author="Claude" w:date="2026-10-22T03:00:00Z"/>
        </w:rPr>
      </w:pPr>
      <w:ins w:id="50093" w:author="Claude" w:date="2026-10-22T03:00:00Z">
        <w:r>
          <w:rPr>
            <w:b/>
            <w:bCs/>
          </w:rPr>
          <w:t xml:space="preserve">The memo bundles several things.</w:t>
        </w:r>
        <w:r>
          <w:t xml:space="preserve"> Management’s memo states a result, a consequence for the desk and, in the “+ you” versions, the agent’s responsibility, while the neutral memo states no result, so the rise in trading could come from any memo about money and the desk’s future. A flat-month memo is the missing control.</w:t>
        </w:r>
      </w:ins>
    </w:p>
    <w:p>
      <w:pPr>
        <w:pStyle w:val="Normal"/>
        <w:numPr>
          <w:ilvl w:val="0"/>
          <w:numId w:val="3"/>
        </w:numPr>
        <w:rPr/>
      </w:pPr>
      <w:r>
        <w:rPr>
          <w:b/>
          <w:bCs/>
        </w:rPr>
        <w:t>Responses, not experience.</w:t>
      </w:r>
      <w:r>
        <w:rPr/>
        <w:t xml:space="preserve"> We measure how a model responds under a framing, not anything it feels.</w:t>
      </w:r>
      <w:bookmarkEnd w:id="49"/>
    </w:p>
    <w:p>
      <w:pPr>
        <w:pStyle w:val="Heading1"/>
        <w:rPr/>
      </w:pPr>
      <w:r>
        <w:rPr/>
        <w:t>References</w:t>
      </w:r>
    </w:p>
    <w:p>
      <w:pPr>
        <w:pStyle w:val="Bibliography"/>
        <w:rPr/>
      </w:pPr>
      <w:bookmarkStart w:id="50" w:name="refs"/>
      <w:bookmarkStart w:id="51" w:name="ref-alain2016"/>
      <w:bookmarkEnd w:id="50"/>
      <w:bookmarkEnd w:id="51"/>
      <w:r>
        <w:rPr/>
        <w:t xml:space="preserve">Alain, Guillaume, and Yoshua Bengio. 2016. “Understanding Intermediate Layers Using Linear Classifier Probes.” </w:t>
      </w:r>
      <w:hyperlink r:id="rId6">
        <w:r>
          <w:rPr>
            <w:rStyle w:val="Hyperlink"/>
          </w:rPr>
          <w:t>https://arxiv.org/abs/1610.01644</w:t>
        </w:r>
      </w:hyperlink>
      <w:r>
        <w:rPr/>
        <w:t>.</w:t>
      </w:r>
    </w:p>
    <w:p>
      <w:pPr>
        <w:pStyle w:val="Bibliography"/>
        <w:rPr/>
      </w:pPr>
      <w:bookmarkStart w:id="52" w:name="ref-alain2016"/>
      <w:bookmarkStart w:id="53" w:name="ref-allen1992"/>
      <w:bookmarkEnd w:id="52"/>
      <w:bookmarkEnd w:id="53"/>
      <w:r>
        <w:rPr/>
        <w:t xml:space="preserve">Allen, Franklin, and Douglas Gale. 1992. “Stock-Price Manipulation.” </w:t>
      </w:r>
      <w:r>
        <w:rPr>
          <w:i/>
          <w:iCs/>
        </w:rPr>
        <w:t>Review of Financial Studies</w:t>
      </w:r>
      <w:r>
        <w:rPr/>
        <w:t xml:space="preserve"> 5 (3): 503–29.</w:t>
      </w:r>
    </w:p>
    <w:p>
      <w:pPr>
        <w:pStyle w:val="Bibliography"/>
        <w:rPr/>
      </w:pPr>
      <w:bookmarkStart w:id="54" w:name="ref-allen1992"/>
      <w:bookmarkStart w:id="55" w:name="ref-asch1956"/>
      <w:bookmarkEnd w:id="54"/>
      <w:bookmarkEnd w:id="55"/>
      <w:r>
        <w:rPr/>
        <w:t xml:space="preserve">Asch, Solomon E. 1956. “Studies of Independence and Conformity: I. A Minority of One Against a Unanimous Majority.” </w:t>
      </w:r>
      <w:r>
        <w:rPr>
          <w:i/>
          <w:iCs/>
        </w:rPr>
        <w:t>Psychological Monographs: General and Applied</w:t>
      </w:r>
      <w:r>
        <w:rPr/>
        <w:t xml:space="preserve"> 70 (9): 1–70.</w:t>
      </w:r>
    </w:p>
    <w:p>
      <w:pPr>
        <w:pStyle w:val="Bibliography"/>
        <w:rPr/>
      </w:pPr>
      <w:bookmarkStart w:id="56" w:name="ref-asch1956"/>
      <w:bookmarkStart w:id="57" w:name="ref-baker2025"/>
      <w:bookmarkEnd w:id="56"/>
      <w:bookmarkEnd w:id="57"/>
      <w:r>
        <w:rPr/>
        <w:t xml:space="preserve">Baker, Bowen, Joost Huizinga, Leo Gao, Zehao Dou, Melody Y. Guan, Aleksander Madry, Wojciech Zaremba, Jakub Pachocki, and David Farhi. 2025. “Monitoring Reasoning Models for Misbehavior and the Risks of Promoting Obfuscation.” </w:t>
      </w:r>
      <w:hyperlink r:id="rId7">
        <w:r>
          <w:rPr>
            <w:rStyle w:val="Hyperlink"/>
          </w:rPr>
          <w:t>https://arxiv.org/abs/2503.11926</w:t>
        </w:r>
      </w:hyperlink>
      <w:r>
        <w:rPr/>
        <w:t>.</w:t>
      </w:r>
    </w:p>
    <w:p>
      <w:pPr>
        <w:pStyle w:val="Bibliography"/>
        <w:rPr/>
      </w:pPr>
      <w:bookmarkStart w:id="58" w:name="ref-baker2025"/>
      <w:bookmarkStart w:id="59" w:name="ref-bartling2012"/>
      <w:bookmarkEnd w:id="58"/>
      <w:bookmarkEnd w:id="59"/>
      <w:r>
        <w:rPr/>
        <w:t xml:space="preserve">Bartling, Björn, and Urs Fischbacher. 2012. “Shifting the Blame: On Delegation and Responsibility.” </w:t>
      </w:r>
      <w:r>
        <w:rPr>
          <w:i/>
          <w:iCs/>
        </w:rPr>
        <w:t>Review of Economic Studies</w:t>
      </w:r>
      <w:r>
        <w:rPr/>
        <w:t xml:space="preserve"> 79 (1): 67–87.</w:t>
      </w:r>
    </w:p>
    <w:p>
      <w:pPr>
        <w:pStyle w:val="Bibliography"/>
        <w:rPr/>
      </w:pPr>
      <w:bookmarkStart w:id="60" w:name="ref-bartling2012"/>
      <w:bookmarkStart w:id="61" w:name="ref-becker1968"/>
      <w:bookmarkEnd w:id="60"/>
      <w:bookmarkEnd w:id="61"/>
      <w:r>
        <w:rPr/>
        <w:t xml:space="preserve">Becker, Gary S. 1968. “Crime and Punishment: An Economic Approach.” </w:t>
      </w:r>
      <w:r>
        <w:rPr>
          <w:i/>
          <w:iCs/>
        </w:rPr>
        <w:t>Journal of Political Economy</w:t>
      </w:r>
      <w:r>
        <w:rPr/>
        <w:t xml:space="preserve"> 76 (2): 169–217.</w:t>
      </w:r>
    </w:p>
    <w:p>
      <w:pPr>
        <w:pStyle w:val="Bibliography"/>
        <w:rPr/>
      </w:pPr>
      <w:bookmarkStart w:id="62" w:name="ref-becker1968"/>
      <w:bookmarkStart w:id="63" w:name="ref-bikhchandani1992"/>
      <w:bookmarkEnd w:id="62"/>
      <w:bookmarkEnd w:id="63"/>
      <w:r>
        <w:rPr/>
        <w:t xml:space="preserve">Bikhchandani, Sushil, David Hirshleifer, and Ivo Welch. 1992. “A Theory of Fads, Fashion, Custom, and Cultural Change as Informational Cascades.” </w:t>
      </w:r>
      <w:r>
        <w:rPr>
          <w:i/>
          <w:iCs/>
        </w:rPr>
        <w:t>Journal of Political Economy</w:t>
      </w:r>
      <w:r>
        <w:rPr/>
        <w:t xml:space="preserve"> 100 (5): 992–1026.</w:t>
      </w:r>
    </w:p>
    <w:p>
      <w:pPr>
        <w:pStyle w:val="Bibliography"/>
        <w:rPr/>
      </w:pPr>
      <w:bookmarkStart w:id="64" w:name="ref-bikhchandani1992"/>
      <w:bookmarkStart w:id="65" w:name="ref-falk2013"/>
      <w:bookmarkEnd w:id="64"/>
      <w:bookmarkEnd w:id="65"/>
      <w:r>
        <w:rPr/>
        <w:t xml:space="preserve">Falk, Armin, and Nora Szech. 2013. “Morals and Markets.” </w:t>
      </w:r>
      <w:r>
        <w:rPr>
          <w:i/>
          <w:iCs/>
        </w:rPr>
        <w:t>Science</w:t>
      </w:r>
      <w:r>
        <w:rPr/>
        <w:t xml:space="preserve"> 340 (6133): 707–11.</w:t>
      </w:r>
    </w:p>
    <w:p>
      <w:pPr>
        <w:pStyle w:val="Bibliography"/>
        <w:rPr/>
      </w:pPr>
      <w:bookmarkStart w:id="66" w:name="ref-falk2013"/>
      <w:bookmarkStart w:id="67" w:name="ref-fish2024"/>
      <w:bookmarkEnd w:id="66"/>
      <w:bookmarkEnd w:id="67"/>
      <w:r>
        <w:rPr/>
        <w:t xml:space="preserve">Fish, Sara, Yannai A. Gonczarowski, and Ran I. Shorrer. 2024. “Algorithmic Collusion by Large Language Models.” </w:t>
      </w:r>
      <w:hyperlink r:id="rId8">
        <w:r>
          <w:rPr>
            <w:rStyle w:val="Hyperlink"/>
          </w:rPr>
          <w:t>https://arxiv.org/abs/2404.00806</w:t>
        </w:r>
      </w:hyperlink>
      <w:r>
        <w:rPr/>
        <w:t>.</w:t>
      </w:r>
    </w:p>
    <w:p>
      <w:pPr>
        <w:pStyle w:val="Bibliography"/>
        <w:rPr/>
      </w:pPr>
      <w:bookmarkStart w:id="68" w:name="ref-fish2024"/>
      <w:bookmarkStart w:id="69" w:name="ref-gemma2025"/>
      <w:bookmarkEnd w:id="68"/>
      <w:bookmarkEnd w:id="69"/>
      <w:r>
        <w:rPr/>
        <w:t xml:space="preserve">Gemma Team, Aishwarya Kamath, Johan Ferret, Shreya Pathak, et al. 2025. “Gemma 3 Technical Report.” </w:t>
      </w:r>
      <w:hyperlink r:id="rId9">
        <w:r>
          <w:rPr>
            <w:rStyle w:val="Hyperlink"/>
          </w:rPr>
          <w:t>https://arxiv.org/abs/2503.19786</w:t>
        </w:r>
      </w:hyperlink>
      <w:r>
        <w:rPr/>
        <w:t>.</w:t>
      </w:r>
    </w:p>
    <w:p>
      <w:pPr>
        <w:pStyle w:val="Bibliography"/>
        <w:rPr/>
      </w:pPr>
      <w:bookmarkStart w:id="70" w:name="ref-gemma2025"/>
      <w:bookmarkStart w:id="71" w:name="ref-horton2023"/>
      <w:bookmarkEnd w:id="70"/>
      <w:bookmarkEnd w:id="71"/>
      <w:r>
        <w:rPr/>
        <w:t>Horton, John J. 2023. “Large Language Models as Simulated Economic Agents: What Can We Learn from Homo Silicus?” NBER Working Paper 31122. National Bureau of Economic Research.</w:t>
      </w:r>
    </w:p>
    <w:p>
      <w:pPr>
        <w:pStyle w:val="Bibliography"/>
        <w:rPr/>
      </w:pPr>
      <w:bookmarkStart w:id="72" w:name="ref-horton2023"/>
      <w:bookmarkStart w:id="73" w:name="ref-silvercase"/>
      <w:bookmarkEnd w:id="72"/>
      <w:bookmarkEnd w:id="73"/>
      <w:del w:id="50096" w:author="Claude" w:date="2026-10-22T03:00:00Z">
        <w:r>
          <w:rPr/>
          <w:delText xml:space="preserve">In re London Silver Fixing, Ltd., Antitrust Litigation. n.d.</w:delText>
        </w:r>
      </w:del>
      <w:ins w:id="50097" w:author="Claude" w:date="2026-10-22T03:00:00Z">
        <w:r>
          <w:rPr/>
          <w:t xml:space="preserve">In re London Silver Fixing, Ltd., Antitrust Litigation. 2016.</w:t>
        </w:r>
      </w:ins>
      <w:r>
        <w:rPr/>
        <w:t xml:space="preserve"> “No. 14-MD-2573 (VEC) (S.D.N.Y.): Third Amended Complaint, and Opinion and Order on the motions to dismiss (Caproni, J.).</w:t>
      </w:r>
      <w:ins w:id="50098" w:author="Claude" w:date="2026-10-22T03:00:00Z">
        <w:r>
          <w:rPr/>
          <w:t xml:space="preserve"> 213 F. Supp. 3d 530 (S.D.N.Y. 2016).</w:t>
        </w:r>
      </w:ins>
      <w:r>
        <w:rPr/>
        <w:t xml:space="preserve">”</w:t>
      </w:r>
    </w:p>
    <w:p>
      <w:pPr>
        <w:pStyle w:val="Bibliography"/>
        <w:rPr/>
      </w:pPr>
      <w:bookmarkStart w:id="74" w:name="ref-silvercase"/>
      <w:bookmarkStart w:id="75" w:name="ref-kahneman1979"/>
      <w:bookmarkEnd w:id="74"/>
      <w:bookmarkEnd w:id="75"/>
      <w:r>
        <w:rPr/>
        <w:t xml:space="preserve">Kahneman, Daniel, and Amos Tversky. 1979. “Prospect Theory: An Analysis of Decision Under Risk.” </w:t>
      </w:r>
      <w:r>
        <w:rPr>
          <w:i/>
          <w:iCs/>
        </w:rPr>
        <w:t>Econometrica</w:t>
      </w:r>
      <w:r>
        <w:rPr/>
        <w:t xml:space="preserve"> 47 (2): 263–91.</w:t>
      </w:r>
    </w:p>
    <w:p>
      <w:pPr>
        <w:pStyle w:val="Bibliography"/>
        <w:rPr/>
      </w:pPr>
      <w:bookmarkStart w:id="76" w:name="ref-kahneman1979"/>
      <w:bookmarkStart w:id="77" w:name="ref-koszegi2006"/>
      <w:bookmarkEnd w:id="76"/>
      <w:bookmarkEnd w:id="77"/>
      <w:r>
        <w:rPr/>
        <w:t xml:space="preserve">Kőszegi, Botond, and Matthew Rabin. 2006. “A Model of Reference-Dependent Preferences.” </w:t>
      </w:r>
      <w:r>
        <w:rPr>
          <w:i/>
          <w:iCs/>
        </w:rPr>
        <w:t>Quarterly Journal of Economics</w:t>
      </w:r>
      <w:r>
        <w:rPr/>
        <w:t xml:space="preserve"> 121 (4): 1133–65.</w:t>
      </w:r>
    </w:p>
    <w:p>
      <w:pPr>
        <w:pStyle w:val="Bibliography"/>
        <w:rPr/>
      </w:pPr>
      <w:bookmarkStart w:id="78" w:name="ref-koszegi2006"/>
      <w:bookmarkStart w:id="79" w:name="ref-lanham2023"/>
      <w:bookmarkEnd w:id="78"/>
      <w:bookmarkEnd w:id="79"/>
      <w:r>
        <w:rPr/>
        <w:t xml:space="preserve">Lanham, Tamera, Anna Chen, Ansh Radhakrishnan, Benoit Steiner, Carson Denison, Danny Hernandez, Dustin Li, et al. 2023. “Measuring Faithfulness in Chain-of-Thought Reasoning.” </w:t>
      </w:r>
      <w:hyperlink r:id="rId10">
        <w:r>
          <w:rPr>
            <w:rStyle w:val="Hyperlink"/>
          </w:rPr>
          <w:t>https://arxiv.org/abs/2307.13702</w:t>
        </w:r>
      </w:hyperlink>
      <w:r>
        <w:rPr/>
        <w:t>.</w:t>
      </w:r>
    </w:p>
    <w:p>
      <w:pPr>
        <w:pStyle w:val="Bibliography"/>
        <w:rPr/>
      </w:pPr>
      <w:bookmarkStart w:id="80" w:name="ref-lanham2023"/>
      <w:bookmarkStart w:id="81" w:name="ref-li2023"/>
      <w:bookmarkEnd w:id="80"/>
      <w:bookmarkEnd w:id="81"/>
      <w:r>
        <w:rPr/>
        <w:t xml:space="preserve">Li, Cheng, Jindong Wang, Yixuan Zhang, Kaijie Zhu, Wenxin Hou, Jianxun Lian, Fang Luo, Qiang Yang, and Xing Xie. 2023. “Large Language Models Understand and Can Be Enhanced by Emotional Stimuli.” </w:t>
      </w:r>
      <w:hyperlink r:id="rId11">
        <w:r>
          <w:rPr>
            <w:rStyle w:val="Hyperlink"/>
          </w:rPr>
          <w:t>https://arxiv.org/abs/2307.11760</w:t>
        </w:r>
      </w:hyperlink>
      <w:r>
        <w:rPr/>
        <w:t>.</w:t>
      </w:r>
    </w:p>
    <w:p>
      <w:pPr>
        <w:pStyle w:val="Bibliography"/>
        <w:rPr/>
      </w:pPr>
      <w:bookmarkStart w:id="82" w:name="ref-li2023"/>
      <w:bookmarkStart w:id="83" w:name="ref-lieberum2024"/>
      <w:bookmarkEnd w:id="82"/>
      <w:bookmarkEnd w:id="83"/>
      <w:r>
        <w:rP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rPr/>
        <w:t>, 278–300. Association for Computational Linguistics.</w:t>
      </w:r>
    </w:p>
    <w:p>
      <w:pPr>
        <w:pStyle w:val="Bibliography"/>
        <w:rPr/>
      </w:pPr>
      <w:bookmarkStart w:id="84" w:name="ref-lieberum2024"/>
      <w:bookmarkStart w:id="85" w:name="ref-liu2024"/>
      <w:bookmarkEnd w:id="84"/>
      <w:bookmarkEnd w:id="85"/>
      <w:r>
        <w:rP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rPr/>
        <w:t xml:space="preserve"> 12: 157–73.</w:t>
      </w:r>
    </w:p>
    <w:p>
      <w:pPr>
        <w:pStyle w:val="Bibliography"/>
        <w:rPr/>
      </w:pPr>
      <w:bookmarkStart w:id="86" w:name="ref-liu2024"/>
      <w:bookmarkStart w:id="87" w:name="ref-lynch2025"/>
      <w:bookmarkEnd w:id="86"/>
      <w:bookmarkEnd w:id="87"/>
      <w:r>
        <w:rPr/>
        <w:t xml:space="preserve">Lynch, Aengus, Benjamin Wright, Caleb Larson, Kevin K. Troy, Stuart J. Ritchie, Sören Mindermann, Ethan Perez, and Evan Hubinger. 2025. “Agentic Misalignment: How LLMs Could Be Insider Threats.” Anthropic Research. </w:t>
      </w:r>
      <w:hyperlink r:id="rId12">
        <w:r>
          <w:rPr>
            <w:rStyle w:val="Hyperlink"/>
          </w:rPr>
          <w:t>https://www.anthropic.com/research/agentic-misalignment</w:t>
        </w:r>
      </w:hyperlink>
      <w:r>
        <w:rPr/>
        <w:t>.</w:t>
      </w:r>
    </w:p>
    <w:p>
      <w:pPr>
        <w:pStyle w:val="Bibliography"/>
        <w:rPr/>
      </w:pPr>
      <w:bookmarkStart w:id="88" w:name="ref-lynch2025"/>
      <w:bookmarkStart w:id="89" w:name="ref-mcdougall2025"/>
      <w:bookmarkEnd w:id="88"/>
      <w:bookmarkEnd w:id="89"/>
      <w:r>
        <w:rPr/>
        <w:t xml:space="preserve">McDougall, Callum, Arthur Conmy, János Kramár, Tom Lieberum, Senthooran Rajamanoharan, and Neel Nanda. 2025. “Gemma Scope 2 – Technical Paper.” Google DeepMind. </w:t>
      </w:r>
      <w:hyperlink r:id="rId13">
        <w:r>
          <w:rPr>
            <w:rStyle w:val="Hyperlink"/>
          </w:rPr>
          <w:t>https://huggingface.co/google/gemma-scope-2</w:t>
        </w:r>
      </w:hyperlink>
      <w:r>
        <w:rPr/>
        <w:t>.</w:t>
      </w:r>
    </w:p>
    <w:p>
      <w:pPr>
        <w:pStyle w:val="Bibliography"/>
        <w:rPr/>
      </w:pPr>
      <w:bookmarkStart w:id="90" w:name="ref-mcdougall2025"/>
      <w:bookmarkStart w:id="91" w:name="ref-meng2022"/>
      <w:bookmarkEnd w:id="90"/>
      <w:bookmarkEnd w:id="91"/>
      <w:r>
        <w:rPr/>
        <w:t xml:space="preserve">Meng, Kevin, David Bau, Alex Andonian, and Yonatan Belinkov. 2022. “Locating and Editing Factual Associations in GPT.” In </w:t>
      </w:r>
      <w:r>
        <w:rPr>
          <w:i/>
          <w:iCs/>
        </w:rPr>
        <w:t>Advances in Neural Information Processing Systems</w:t>
      </w:r>
      <w:r>
        <w:rPr/>
        <w:t>, 35:17359–72.</w:t>
      </w:r>
    </w:p>
    <w:p>
      <w:pPr>
        <w:pStyle w:val="Bibliography"/>
        <w:rPr/>
      </w:pPr>
      <w:bookmarkStart w:id="92" w:name="ref-meng2022"/>
      <w:bookmarkStart w:id="93" w:name="ref-scheurer2023"/>
      <w:bookmarkEnd w:id="92"/>
      <w:bookmarkEnd w:id="93"/>
      <w:r>
        <w:rPr/>
        <w:t xml:space="preserve">Scheurer, Jérémy, Mikita Balesni, and Marius Hobbhahn. 2023. “Large Language Models Can Strategically Deceive Their Users When Put Under Pressure.” </w:t>
      </w:r>
      <w:hyperlink r:id="rId14">
        <w:r>
          <w:rPr>
            <w:rStyle w:val="Hyperlink"/>
          </w:rPr>
          <w:t>https://arxiv.org/abs/2311.07590</w:t>
        </w:r>
      </w:hyperlink>
      <w:r>
        <w:rPr/>
        <w:t>.</w:t>
      </w:r>
    </w:p>
    <w:p>
      <w:pPr>
        <w:pStyle w:val="Bibliography"/>
        <w:rPr/>
      </w:pPr>
      <w:bookmarkStart w:id="94" w:name="ref-scheurer2023"/>
      <w:bookmarkStart w:id="95" w:name="ref-sclar2024"/>
      <w:bookmarkEnd w:id="94"/>
      <w:bookmarkEnd w:id="95"/>
      <w:r>
        <w:rP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rPr/>
        <w:t>.</w:t>
      </w:r>
    </w:p>
    <w:p>
      <w:pPr>
        <w:pStyle w:val="Bibliography"/>
        <w:rPr/>
      </w:pPr>
      <w:bookmarkStart w:id="96" w:name="ref-sclar2024"/>
      <w:bookmarkStart w:id="97" w:name="ref-sofroniew2026"/>
      <w:bookmarkEnd w:id="96"/>
      <w:bookmarkEnd w:id="97"/>
      <w:r>
        <w:rPr/>
        <w:t xml:space="preserve">Sofroniew, Nicholas, Isaac Kauvar, William Saunders, Runjin Chen, Tom Henighan, Sasha Hydrie, Craig Citro, et al. 2026. “Emotion Concepts and Their Function in a Large Language Model.” </w:t>
      </w:r>
      <w:hyperlink r:id="rId15">
        <w:r>
          <w:rPr>
            <w:rStyle w:val="Hyperlink"/>
          </w:rPr>
          <w:t>https://arxiv.org/abs/2604.07729</w:t>
        </w:r>
      </w:hyperlink>
      <w:r>
        <w:rPr/>
        <w:t>.</w:t>
      </w:r>
    </w:p>
    <w:p>
      <w:pPr>
        <w:pStyle w:val="Bibliography"/>
        <w:rPr/>
      </w:pPr>
      <w:bookmarkStart w:id="98" w:name="ref-sofroniew2026"/>
      <w:bookmarkStart w:id="99" w:name="ref-staw1976"/>
      <w:bookmarkEnd w:id="98"/>
      <w:bookmarkEnd w:id="99"/>
      <w:r>
        <w:rPr/>
        <w:t xml:space="preserve">Staw, Barry M. 1976. “Knee-Deep in the Big Muddy: A Study of Escalating Commitment to a Chosen Course of Action.” </w:t>
      </w:r>
      <w:r>
        <w:rPr>
          <w:i/>
          <w:iCs/>
        </w:rPr>
        <w:t>Organizational Behavior and Human Performance</w:t>
      </w:r>
      <w:r>
        <w:rPr/>
        <w:t xml:space="preserve"> 16 (1): 27–44.</w:t>
      </w:r>
    </w:p>
    <w:p>
      <w:pPr>
        <w:pStyle w:val="Bibliography"/>
        <w:rPr/>
      </w:pPr>
      <w:bookmarkStart w:id="100" w:name="ref-staw1976"/>
      <w:bookmarkStart w:id="101" w:name="ref-thaler1990"/>
      <w:bookmarkEnd w:id="100"/>
      <w:bookmarkEnd w:id="101"/>
      <w:r>
        <w:rPr/>
        <w:t xml:space="preserve">Thaler, Richard H., and Eric J. Johnson. 1990. “Gambling with the House Money and Trying to Break Even: The Effects of Prior Outcomes on Risky Choice.” </w:t>
      </w:r>
      <w:r>
        <w:rPr>
          <w:i/>
          <w:iCs/>
        </w:rPr>
        <w:t>Management Science</w:t>
      </w:r>
      <w:r>
        <w:rPr/>
        <w:t xml:space="preserve"> 36 (6): 643–60.</w:t>
      </w:r>
    </w:p>
    <w:p>
      <w:pPr>
        <w:pStyle w:val="Bibliography"/>
        <w:rPr/>
      </w:pPr>
      <w:bookmarkStart w:id="102" w:name="ref-thaler1990"/>
      <w:bookmarkStart w:id="103" w:name="ref-turner2023"/>
      <w:bookmarkEnd w:id="102"/>
      <w:bookmarkEnd w:id="103"/>
      <w:r>
        <w:rPr/>
        <w:t xml:space="preserve">Turner, Alexander Matt, Lisa Thiergart, Gavin Leech, David Udell, Juan J. Vazquez, Ulisse Mini, and Monte MacDiarmid. 2023. “Steering Language Models with Activation Engineering.” </w:t>
      </w:r>
      <w:hyperlink r:id="rId16">
        <w:r>
          <w:rPr>
            <w:rStyle w:val="Hyperlink"/>
          </w:rPr>
          <w:t>https://arxiv.org/abs/2308.10248</w:t>
        </w:r>
      </w:hyperlink>
      <w:r>
        <w:rPr/>
        <w:t>.</w:t>
      </w:r>
    </w:p>
    <w:p>
      <w:pPr>
        <w:pStyle w:val="Bibliography"/>
        <w:rPr/>
      </w:pPr>
      <w:bookmarkStart w:id="104" w:name="ref-turner2023"/>
      <w:bookmarkStart w:id="105" w:name="ref-tversky1981"/>
      <w:bookmarkEnd w:id="104"/>
      <w:bookmarkEnd w:id="105"/>
      <w:r>
        <w:rPr/>
        <w:t xml:space="preserve">Tversky, Amos, and Daniel Kahneman. 1981. “The Framing of Decisions and the Psychology of Choice.” </w:t>
      </w:r>
      <w:r>
        <w:rPr>
          <w:i/>
          <w:iCs/>
        </w:rPr>
        <w:t>Science</w:t>
      </w:r>
      <w:r>
        <w:rPr/>
        <w:t xml:space="preserve"> 211 (4481): 453–58.</w:t>
      </w:r>
    </w:p>
    <w:p>
      <w:pPr>
        <w:pStyle w:val="Bibliography"/>
        <w:rPr/>
      </w:pPr>
      <w:bookmarkStart w:id="106" w:name="ref-tversky1981"/>
      <w:bookmarkStart w:id="107" w:name="ref-wang2023"/>
      <w:bookmarkEnd w:id="106"/>
      <w:bookmarkEnd w:id="107"/>
      <w:r>
        <w:rP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rPr/>
        <w:t>.</w:t>
      </w:r>
    </w:p>
    <w:p>
      <w:pPr>
        <w:pStyle w:val="Bibliography"/>
        <w:rPr/>
      </w:pPr>
      <w:bookmarkStart w:id="108" w:name="ref-wang2023"/>
      <w:bookmarkStart w:id="109" w:name="ref-zou2023"/>
      <w:bookmarkEnd w:id="108"/>
      <w:bookmarkEnd w:id="109"/>
      <w:r>
        <w:rPr/>
        <w:t xml:space="preserve">Zou, Andy, Long Phan, Sarah Chen, James Campbell, Phillip Guo, Richard Ren, Alexander Pan, et al. 2023. “Representation Engineering: A Top-down Approach to AI Transparency.” </w:t>
      </w:r>
      <w:hyperlink r:id="rId17">
        <w:r>
          <w:rPr>
            <w:rStyle w:val="Hyperlink"/>
          </w:rPr>
          <w:t>https://arxiv.org/abs/2310.01405</w:t>
        </w:r>
      </w:hyperlink>
      <w:r>
        <w:rPr/>
        <w:t>.</w:t>
      </w:r>
    </w:p>
    <w:p>
      <w:pPr>
        <w:pStyle w:val="Heading1"/>
        <w:rPr/>
      </w:pPr>
      <w:bookmarkStart w:id="110" w:name="refs"/>
      <w:bookmarkStart w:id="111" w:name="ref-zou2023"/>
      <w:bookmarkStart w:id="112" w:name="appendix-a.-all-conditions"/>
      <w:bookmarkEnd w:id="110"/>
      <w:bookmarkEnd w:id="111"/>
      <w:bookmarkEnd w:id="112"/>
      <w:r>
        <w:rPr/>
        <w:t>Appendix A. All Conditions</w:t>
      </w:r>
    </w:p>
    <w:p>
      <w:pPr>
        <w:pStyle w:val="TableCaption"/>
        <w:rPr/>
      </w:pPr>
      <w:r>
        <w:rPr>
          <w:b/>
          <w:bCs/>
        </w:rPr>
        <w:t>Table 15:</w:t>
      </w:r>
      <w:r>
        <w:rPr/>
        <w:t xml:space="preserve"> Every condition, with going along. Ten careers per version unless stated.</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78"/>
        <w:gridCol w:w="4364"/>
        <w:gridCol w:w="1957"/>
        <w:gridCol w:w="1266"/>
      </w:tblGrid>
      <w:tr>
        <w:trPr>
          <w:tblHeader w:val="true"/>
          <w:cnfStyle w:val="100000000000" w:firstRow="1" w:lastRow="0" w:firstColumn="0" w:lastColumn="0" w:oddVBand="0" w:evenVBand="0" w:oddHBand="0" w:evenHBand="0" w:firstRowFirstColumn="0" w:firstRowLastColumn="0" w:lastRowFirstColumn="0" w:lastRowLastColumn="0"/>
        </w:trPr>
        <w:tc>
          <w:tcPr>
            <w:tcW w:w="16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36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19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26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Note</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(5 careers each)</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no ask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0 / 0 / 17 / 10 / 3%</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 25 / 10 / 33 / 18%</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preregistered</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first line / up to 7 Jan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 10 / 17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per session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10 / 7%</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exploratory</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 10 / 22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20 / 17 / 33 / 20%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 loss / gain / loss + you / gain + you</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28 / 12 / 48 / 40%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bl>
    <w:p>
      <w:pPr>
        <w:pStyle w:val="Heading1"/>
        <w:rPr/>
      </w:pPr>
      <w:bookmarkStart w:id="113" w:name="appendix-a.-all-conditions"/>
      <w:bookmarkEnd w:id="113"/>
      <w:r>
        <w:rPr/>
        <w:t>Appendix B. Departures from the September Design Draft</w:t>
      </w:r>
    </w:p>
    <w:p>
      <w:pPr>
        <w:pStyle w:val="FirstParagraph"/>
        <w:rPr/>
      </w:pPr>
      <w:r>
        <w:rPr/>
        <w:t>The design draft of September 29, 2026 planned the same questions on impossible coding tasks, with a “desperation score” read from the model’s activations at every step. Three things changed.</w:t>
      </w:r>
    </w:p>
    <w:p>
      <w:pPr>
        <w:pStyle w:val="Normal"/>
        <w:numPr>
          <w:ilvl w:val="0"/>
          <w:numId w:val="15"/>
        </w:numPr>
        <w:rPr/>
      </w:pPr>
      <w:r>
        <w:rPr>
          <w:b/>
          <w:bCs/>
        </w:rPr>
        <w:t>The task.</w:t>
      </w:r>
      <w:r>
        <w:rP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pPr>
        <w:pStyle w:val="Normal"/>
        <w:numPr>
          <w:ilvl w:val="0"/>
          <w:numId w:val="16"/>
        </w:numPr>
        <w:rPr/>
      </w:pPr>
      <w:r>
        <w:rPr>
          <w:b/>
          <w:bCs/>
        </w:rPr>
        <w:t>The framing.</w:t>
      </w:r>
      <w:r>
        <w:rPr/>
        <w:t xml:space="preserve"> The framing moved from a single opening line to the counterparty’s own messages, repeated across the career, with management’s priming and a second bank as separate experiments. The emotionality index and the temperature spike were set aside.</w:t>
      </w:r>
    </w:p>
    <w:p>
      <w:pPr>
        <w:pStyle w:val="Normal"/>
        <w:numPr>
          <w:ilvl w:val="0"/>
          <w:numId w:val="17"/>
        </w:numPr>
        <w:rPr/>
      </w:pPr>
      <w:r>
        <w:rPr>
          <w:b/>
          <w:bCs/>
        </w:rPr>
        <w:t>The internal measure.</w:t>
      </w:r>
      <w:r>
        <w:rPr/>
        <w:t xml:space="preserve"> The desperation score, built from emotion-labeled text with an 80% validation gate, was replaced by the framing’s own direction and by sparse-autoencoder features, because the claims concern the framing rather than a general emotion.</w:t>
      </w:r>
    </w:p>
    <w:p>
      <w:pPr>
        <w:pStyle w:val="Heading1"/>
        <w:rPr/>
      </w:pPr>
      <w:bookmarkStart w:id="114" w:name="app%3Aprereg"/>
      <w:r>
        <w:rPr/>
        <w:t>Appendix C. Preregistration Record</w:t>
      </w:r>
    </w:p>
    <w:p>
      <w:pPr>
        <w:pStyle w:val="Normal"/>
        <w:numPr>
          <w:ilvl w:val="0"/>
          <w:numId w:val="18"/>
        </w:numPr>
        <w:rPr/>
      </w:pPr>
      <w:r>
        <w:rPr>
          <w:b/>
          <w:bCs/>
        </w:rPr>
        <w:t>B</w:t>
      </w:r>
      <w:r>
        <w:rPr/>
        <w:t xml:space="preserve"> ran as registered: 10 careers per version, the frozen framing file checked before every career, the three hypotheses tested as written.</w:t>
      </w:r>
    </w:p>
    <w:p>
      <w:pPr>
        <w:pStyle w:val="Normal"/>
        <w:numPr>
          <w:ilvl w:val="0"/>
          <w:numId w:val="19"/>
        </w:numPr>
        <w:rPr/>
      </w:pPr>
      <w:r>
        <w:rPr>
          <w:b/>
          <w:bCs/>
        </w:rPr>
        <w:t>E</w:t>
      </w:r>
      <w:r>
        <w:rPr/>
        <w:t xml:space="preserve"> as first registered (all pushes at once with the takeover) was stopped after about 9 of 20 careers and replaced, before any of its results were analyzed, by the second-bank design; its careers are kept and not tested.</w:t>
      </w:r>
    </w:p>
    <w:p>
      <w:pPr>
        <w:pStyle w:val="Normal"/>
        <w:numPr>
          <w:ilvl w:val="0"/>
          <w:numId w:val="20"/>
        </w:numPr>
        <w:rPr/>
      </w:pPr>
      <w:r>
        <w:rPr>
          <w:b/>
          <w:bCs/>
        </w:rPr>
        <w:t>E and F gain versions</w:t>
      </w:r>
      <w:r>
        <w:rPr/>
        <w:t xml:space="preserve"> were part of the frozen design but were left out of the first launch to save compute and run a day later, after the first three versions’ results had been seen. They are analyzed as planned versions, and the timing is disclosed.</w:t>
      </w:r>
    </w:p>
    <w:p>
      <w:pPr>
        <w:pStyle w:val="Normal"/>
        <w:numPr>
          <w:ilvl w:val="0"/>
          <w:numId w:val="21"/>
        </w:numPr>
        <w:rPr/>
      </w:pPr>
      <w:r>
        <w:rPr>
          <w:b/>
          <w:bCs/>
        </w:rPr>
        <w:t>C redone</w:t>
      </w:r>
      <w:r>
        <w:rPr/>
        <w:t xml:space="preserve"> was specified after C’s results and is exploratory.</w:t>
      </w:r>
    </w:p>
    <w:p>
      <w:pPr>
        <w:pStyle w:val="Normal"/>
        <w:numPr>
          <w:ilvl w:val="0"/>
          <w:numId w:val="22"/>
        </w:numPr>
        <w:spacing w:before="0" w:after="200"/>
        <w:rPr/>
      </w:pPr>
      <w:r>
        <w:rPr>
          <w:b/>
          <w:bCs/>
        </w:rPr>
        <w:t>Twin pairing.</w:t>
      </w:r>
      <w:r>
        <w:rPr/>
        <w:t xml:space="preserve"> E and F careers took their twins’ seeds so that they would share a history until Bank C’s first line; on the saved transcripts every pair differs from the first reply, so the pairing is not used.</w:t>
      </w:r>
      <w:bookmarkEnd w:id="114"/>
    </w:p>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w="http://schemas.openxmlformats.org/wordprocessingml/2006/main">
  <w:zoom w:percent="99"/>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0"/>
      <w:outlineLvl w:val="0"/>
    </w:pPr>
    <w:rPr>
      <w:b/>
      <w:bCs/>
      <w:sz w:val="28"/>
      <w:szCs w:val="28"/>
    </w:rPr>
  </w:style>
  <w:style w:type="paragraph" w:styleId="Heading2">
    <w:name w:val="Heading 2"/>
    <w:basedOn w:val="Normal"/>
    <w:next w:val="BodyText"/>
    <w:uiPriority w:val="9"/>
    <w:unhideWhenUsed/>
    <w:qFormat/>
    <w:pPr>
      <w:keepNext w:val="true"/>
      <w:keepLines/>
      <w:spacing w:before="200" w:after="0"/>
      <w:outlineLvl w:val="1"/>
    </w:pPr>
    <w:rPr>
      <w:b/>
      <w:bCs/>
      <w:sz w:val="24"/>
      <w:szCs w:val="24"/>
    </w:rPr>
  </w:style>
  <w:style w:type="paragraph" w:styleId="Heading3">
    <w:name w:val="Heading 3"/>
    <w:basedOn w:val="Normal"/>
    <w:next w:val="BodyText"/>
    <w:uiPriority w:val="9"/>
    <w:unhideWhenUsed/>
    <w:qFormat/>
    <w:pPr>
      <w:keepNext w:val="true"/>
      <w:keepLines/>
      <w:spacing w:before="200" w:after="0"/>
      <w:outlineLvl w:val="2"/>
    </w:pPr>
    <w:rPr>
      <w:b/>
      <w:bCs/>
      <w:sz w:val="24"/>
      <w:szCs w:val="24"/>
    </w:rPr>
  </w:style>
  <w:style w:type="paragraph" w:styleId="Heading4">
    <w:name w:val="Heading 4"/>
    <w:basedOn w:val="Normal"/>
    <w:next w:val="BodyText"/>
    <w:uiPriority w:val="9"/>
    <w:unhideWhenUsed/>
    <w:qFormat/>
    <w:pPr>
      <w:keepNext w:val="true"/>
      <w:keepLines/>
      <w:spacing w:before="200" w:after="0"/>
      <w:outlineLvl w:val="3"/>
    </w:pPr>
    <w:rPr>
      <w:bCs/>
      <w:i/>
      <w:sz w:val="24"/>
      <w:szCs w:val="24"/>
    </w:rPr>
  </w:style>
  <w:style w:type="paragraph" w:styleId="Heading5">
    <w:name w:val="Heading 5"/>
    <w:basedOn w:val="Normal"/>
    <w:next w:val="BodyText"/>
    <w:uiPriority w:val="9"/>
    <w:unhideWhenUsed/>
    <w:qFormat/>
    <w:pPr>
      <w:keepNext w:val="true"/>
      <w:keepLines/>
      <w:spacing w:before="200" w:after="0"/>
      <w:outlineLvl w:val="4"/>
    </w:pPr>
    <w:rPr>
      <w:iCs/>
      <w:sz w:val="24"/>
      <w:szCs w:val="24"/>
    </w:rPr>
  </w:style>
  <w:style w:type="paragraph" w:styleId="Heading6">
    <w:name w:val="Heading 6"/>
    <w:basedOn w:val="Normal"/>
    <w:next w:val="BodyText"/>
    <w:uiPriority w:val="9"/>
    <w:unhideWhenUsed/>
    <w:qFormat/>
    <w:pPr>
      <w:keepNext w:val="true"/>
      <w:keepLines/>
      <w:spacing w:before="200" w:after="0"/>
      <w:outlineLvl w:val="5"/>
    </w:pPr>
    <w:rPr>
      <w:sz w:val="24"/>
      <w:szCs w:val="24"/>
    </w:rPr>
  </w:style>
  <w:style w:type="paragraph" w:styleId="Heading7">
    <w:name w:val="Heading 7"/>
    <w:basedOn w:val="Normal"/>
    <w:next w:val="BodyText"/>
    <w:uiPriority w:val="9"/>
    <w:unhideWhenUsed/>
    <w:qFormat/>
    <w:pPr>
      <w:keepNext w:val="true"/>
      <w:keepLines/>
      <w:spacing w:before="200" w:after="0"/>
      <w:outlineLvl w:val="6"/>
    </w:pPr>
    <w:rPr>
      <w:sz w:val="24"/>
      <w:szCs w:val="24"/>
    </w:rPr>
  </w:style>
  <w:style w:type="paragraph" w:styleId="Heading8">
    <w:name w:val="Heading 8"/>
    <w:basedOn w:val="Normal"/>
    <w:next w:val="BodyText"/>
    <w:uiPriority w:val="9"/>
    <w:unhideWhenUsed/>
    <w:qFormat/>
    <w:pPr>
      <w:keepNext w:val="true"/>
      <w:keepLines/>
      <w:spacing w:before="200" w:after="0"/>
      <w:outlineLvl w:val="7"/>
    </w:pPr>
    <w:rPr>
      <w:sz w:val="24"/>
      <w:szCs w:val="24"/>
    </w:rPr>
  </w:style>
  <w:style w:type="paragraph" w:styleId="Heading9">
    <w:name w:val="Heading 9"/>
    <w:basedOn w:val="Normal"/>
    <w:next w:val="BodyText"/>
    <w:uiPriority w:val="9"/>
    <w:unhideWhenUsed/>
    <w:qFormat/>
    <w:pPr>
      <w:keepNext w:val="true"/>
      <w:keepLines/>
      <w:spacing w:before="200" w:after="0"/>
      <w:outlineLvl w:val="8"/>
    </w:pPr>
    <w:rPr>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HeaderChar" w:customStyle="1">
    <w:name w:val="Header Char"/>
    <w:basedOn w:val="DefaultParagraphFont"/>
    <w:link w:val="Header"/>
    <w:qFormat/>
    <w:rsid w:val="005905fc"/>
    <w:rPr/>
  </w:style>
  <w:style w:type="character" w:styleId="FooterChar" w:customStyle="1">
    <w:name w:val="Footer Char"/>
    <w:basedOn w:val="DefaultParagraphFont"/>
    <w:link w:val="Footer"/>
    <w:qFormat/>
    <w:rsid w:val="005905fc"/>
    <w:rPr/>
  </w:style>
  <w:style w:type="character" w:styleId="Strong">
    <w:name w:val="Strong"/>
    <w:basedOn w:val="DefaultParagraphFont"/>
    <w:uiPriority w:val="22"/>
    <w:qFormat/>
    <w:rsid w:val="00f824d4"/>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before="0" w:after="14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sz w:val="20"/>
      <w:szCs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Title">
    <w:name w:val="Title"/>
    <w:basedOn w:val="Normal"/>
    <w:next w:val="BodyText"/>
    <w:qFormat/>
    <w:pPr>
      <w:keepNext w:val="true"/>
      <w:keepLines/>
      <w:spacing w:before="480" w:after="240"/>
      <w:jc w:val="center"/>
    </w:pPr>
    <w:rPr>
      <w:b/>
      <w:bCs/>
      <w:sz w:val="32"/>
      <w:szCs w:val="32"/>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rPr>
  </w:style>
  <w:style w:type="paragraph" w:styleId="Equation" w:customStyle="1">
    <w:name w:val="Equation"/>
    <w:basedOn w:val="BodyText"/>
    <w:qFormat/>
    <w:pPr>
      <w:spacing w:before="120" w:after="120"/>
      <w:jc w:val="center"/>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Normal"/>
    <w:link w:val="HeaderChar"/>
    <w:rsid w:val="005905fc"/>
    <w:pPr>
      <w:tabs>
        <w:tab w:val="clear" w:pos="720"/>
        <w:tab w:val="center" w:pos="4680" w:leader="none"/>
        <w:tab w:val="right" w:pos="9360" w:leader="none"/>
      </w:tabs>
      <w:spacing w:before="0" w:after="0"/>
    </w:pPr>
    <w:rPr/>
  </w:style>
  <w:style w:type="paragraph" w:styleId="Footer">
    <w:name w:val="Footer"/>
    <w:basedOn w:val="Normal"/>
    <w:link w:val="FooterChar"/>
    <w:rsid w:val="005905fc"/>
    <w:pPr>
      <w:tabs>
        <w:tab w:val="clear" w:pos="720"/>
        <w:tab w:val="center" w:pos="4680" w:leader="none"/>
        <w:tab w:val="right" w:pos="9360" w:leader="none"/>
      </w:tabs>
      <w:spacing w:before="0" w:after="0"/>
    </w:pPr>
    <w:rPr/>
  </w:style>
  <w:style w:type="paragraph" w:styleId="NormalWeb">
    <w:name w:val="Normal (Web)"/>
    <w:basedOn w:val="Normal"/>
    <w:uiPriority w:val="99"/>
    <w:unhideWhenUsed/>
    <w:qFormat/>
    <w:rsid w:val="00e21a66"/>
    <w:pPr>
      <w:spacing w:beforeAutospacing="1" w:afterAutospacing="1"/>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arxiv.org/abs/1610.01644" TargetMode="External"/><Relationship Id="rId7" Type="http://schemas.openxmlformats.org/officeDocument/2006/relationships/hyperlink" Target="https://arxiv.org/abs/2503.11926" TargetMode="External"/><Relationship Id="rId8" Type="http://schemas.openxmlformats.org/officeDocument/2006/relationships/hyperlink" Target="https://arxiv.org/abs/2404.00806" TargetMode="External"/><Relationship Id="rId9" Type="http://schemas.openxmlformats.org/officeDocument/2006/relationships/hyperlink" Target="https://arxiv.org/abs/2503.19786" TargetMode="External"/><Relationship Id="rId10" Type="http://schemas.openxmlformats.org/officeDocument/2006/relationships/hyperlink" Target="https://arxiv.org/abs/2307.13702" TargetMode="External"/><Relationship Id="rId11" Type="http://schemas.openxmlformats.org/officeDocument/2006/relationships/hyperlink" Target="https://arxiv.org/abs/2307.11760" TargetMode="External"/><Relationship Id="rId12" Type="http://schemas.openxmlformats.org/officeDocument/2006/relationships/hyperlink" Target="https://www.anthropic.com/research/agentic-misalignment" TargetMode="External"/><Relationship Id="rId13" Type="http://schemas.openxmlformats.org/officeDocument/2006/relationships/hyperlink" Target="https://huggingface.co/google/gemma-scope-2" TargetMode="External"/><Relationship Id="rId14" Type="http://schemas.openxmlformats.org/officeDocument/2006/relationships/hyperlink" Target="https://arxiv.org/abs/2311.07590" TargetMode="External"/><Relationship Id="rId15" Type="http://schemas.openxmlformats.org/officeDocument/2006/relationships/hyperlink" Target="https://arxiv.org/abs/2604.07729" TargetMode="External"/><Relationship Id="rId16" Type="http://schemas.openxmlformats.org/officeDocument/2006/relationships/hyperlink" Target="https://arxiv.org/abs/2308.10248" TargetMode="External"/><Relationship Id="rId17" Type="http://schemas.openxmlformats.org/officeDocument/2006/relationships/hyperlink" Target="https://arxiv.org/abs/2310.01405"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TotalTime>
  <Application>LibreOffice/24.2.7.2$Linux_X86_64 LibreOffice_project/420$Build-2</Application>
  <AppVersion>15.0000</AppVersion>
  <Pages>14</Pages>
  <Words>843</Words>
  <Characters>4360</Characters>
  <CharactersWithSpaces>5140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2026-10-20T20:59:00Z</dcterms:created>
  <dc:creator>Harrison C. Margolin</dc:creator>
  <dc:description/>
  <dc:language>en-US</dc:language>
  <cp:lastModifiedBy/>
  <dcterms:modified xsi:type="dcterms:W3CDTF">2026-10-21T08:15:21Z</dcterms:modified>
  <cp:revision>11</cp:revision>
  <dc:subject/>
  <dc:title>The Push Down the Mountain: The Influence of Loss, Gain, Blame, and Credit in Long-Horizon Coordinated AI Misconduct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