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pPr>
      <w:r>
        <w:rPr>
          <w:b/>
          <w:bCs/>
          <w:color w:val="1A3A5C"/>
          <w:sz w:val="36"/>
          <w:szCs w:val="36"/>
        </w:rPr>
        <w:t xml:space="preserve">Residential Plan Check — Corrections Letter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7160"/>
      </w:tblGrid>
      <w:tr>
        <w:tc>
          <w:tcPr>
            <w:tcW w:type="dxa" w:w="2200"/>
            <w:tcBorders>
              <w:top w:val="none" w:color="FFFFFF" w:sz="0"/>
              <w:left w:val="none" w:color="FFFFFF" w:sz="0"/>
              <w:bottom w:val="none" w:color="FFFFFF" w:sz="0"/>
              <w:right w:val="none" w:color="FFFFFF" w:sz="0"/>
            </w:tcBorders>
          </w:tcPr>
          <w:p>
            <w:pPr>
              <w:spacing w:after="120"/>
            </w:pPr>
            <w:r>
              <w:rPr>
                <w:b/>
                <w:bCs/>
              </w:rPr>
              <w:t xml:space="preserve">Project Address:</w:t>
            </w:r>
          </w:p>
        </w:tc>
        <w:tc>
          <w:tcPr>
            <w:tcW w:type="dxa" w:w="7160"/>
            <w:tcBorders>
              <w:top w:val="none" w:color="FFFFFF" w:sz="0"/>
              <w:left w:val="none" w:color="FFFFFF" w:sz="0"/>
              <w:bottom w:val="none" w:color="FFFFFF" w:sz="0"/>
              <w:right w:val="none" w:color="FFFFFF" w:sz="0"/>
            </w:tcBorders>
          </w:tcPr>
          <w:p>
            <w:pPr>
              <w:spacing w:after="120"/>
            </w:pPr>
            <w:r>
              <w:t xml:space="preserve">2406 Euclid Avenue, Austin, TX 78722</w:t>
            </w:r>
          </w:p>
        </w:tc>
      </w:tr>
      <w:tr>
        <w:tc>
          <w:tcPr>
            <w:tcW w:type="dxa" w:w="2200"/>
            <w:tcBorders>
              <w:top w:val="none" w:color="FFFFFF" w:sz="0"/>
              <w:left w:val="none" w:color="FFFFFF" w:sz="0"/>
              <w:bottom w:val="none" w:color="FFFFFF" w:sz="0"/>
              <w:right w:val="none" w:color="FFFFFF" w:sz="0"/>
            </w:tcBorders>
          </w:tcPr>
          <w:p>
            <w:pPr>
              <w:spacing w:after="120"/>
            </w:pPr>
            <w:r>
              <w:rPr>
                <w:b/>
                <w:bCs/>
              </w:rPr>
              <w:t xml:space="preserve">Legal Description:</w:t>
            </w:r>
          </w:p>
        </w:tc>
        <w:tc>
          <w:tcPr>
            <w:tcW w:type="dxa" w:w="7160"/>
            <w:tcBorders>
              <w:top w:val="none" w:color="FFFFFF" w:sz="0"/>
              <w:left w:val="none" w:color="FFFFFF" w:sz="0"/>
              <w:bottom w:val="none" w:color="FFFFFF" w:sz="0"/>
              <w:right w:val="none" w:color="FFFFFF" w:sz="0"/>
            </w:tcBorders>
          </w:tcPr>
          <w:p>
            <w:pPr>
              <w:spacing w:after="120"/>
            </w:pPr>
            <w:r>
              <w:t xml:space="preserve">Lot 2, Block 2, Laprelle Place Extension  |  Tax ID: 305495</w:t>
            </w:r>
          </w:p>
        </w:tc>
      </w:tr>
      <w:tr>
        <w:tc>
          <w:tcPr>
            <w:tcW w:type="dxa" w:w="2200"/>
            <w:tcBorders>
              <w:top w:val="none" w:color="FFFFFF" w:sz="0"/>
              <w:left w:val="none" w:color="FFFFFF" w:sz="0"/>
              <w:bottom w:val="none" w:color="FFFFFF" w:sz="0"/>
              <w:right w:val="none" w:color="FFFFFF" w:sz="0"/>
            </w:tcBorders>
          </w:tcPr>
          <w:p>
            <w:pPr>
              <w:spacing w:after="120"/>
            </w:pPr>
            <w:r>
              <w:rPr>
                <w:b/>
                <w:bCs/>
              </w:rPr>
              <w:t xml:space="preserve">Zoning:</w:t>
            </w:r>
          </w:p>
        </w:tc>
        <w:tc>
          <w:tcPr>
            <w:tcW w:type="dxa" w:w="7160"/>
            <w:tcBorders>
              <w:top w:val="none" w:color="FFFFFF" w:sz="0"/>
              <w:left w:val="none" w:color="FFFFFF" w:sz="0"/>
              <w:bottom w:val="none" w:color="FFFFFF" w:sz="0"/>
              <w:right w:val="none" w:color="FFFFFF" w:sz="0"/>
            </w:tcBorders>
          </w:tcPr>
          <w:p>
            <w:pPr>
              <w:spacing w:after="120"/>
            </w:pPr>
            <w:r>
              <w:t xml:space="preserve">SF-3-NP (Dawson Neighborhood Plan)</w:t>
            </w:r>
          </w:p>
        </w:tc>
      </w:tr>
      <w:tr>
        <w:tc>
          <w:tcPr>
            <w:tcW w:type="dxa" w:w="2200"/>
            <w:tcBorders>
              <w:top w:val="none" w:color="FFFFFF" w:sz="0"/>
              <w:left w:val="none" w:color="FFFFFF" w:sz="0"/>
              <w:bottom w:val="none" w:color="FFFFFF" w:sz="0"/>
              <w:right w:val="none" w:color="FFFFFF" w:sz="0"/>
            </w:tcBorders>
          </w:tcPr>
          <w:p>
            <w:pPr>
              <w:spacing w:after="120"/>
            </w:pPr>
            <w:r>
              <w:rPr>
                <w:b/>
                <w:bCs/>
              </w:rPr>
              <w:t xml:space="preserve">Proposed Use:</w:t>
            </w:r>
          </w:p>
        </w:tc>
        <w:tc>
          <w:tcPr>
            <w:tcW w:type="dxa" w:w="7160"/>
            <w:tcBorders>
              <w:top w:val="none" w:color="FFFFFF" w:sz="0"/>
              <w:left w:val="none" w:color="FFFFFF" w:sz="0"/>
              <w:bottom w:val="none" w:color="FFFFFF" w:sz="0"/>
              <w:right w:val="none" w:color="FFFFFF" w:sz="0"/>
            </w:tcBorders>
          </w:tcPr>
          <w:p>
            <w:pPr>
              <w:spacing w:after="120"/>
            </w:pPr>
            <w:r>
              <w:t xml:space="preserve">Two-Unit Residential (HOME Phase I, §25-2-773)</w:t>
            </w:r>
          </w:p>
        </w:tc>
      </w:tr>
      <w:tr>
        <w:tc>
          <w:tcPr>
            <w:tcW w:type="dxa" w:w="2200"/>
            <w:tcBorders>
              <w:top w:val="none" w:color="FFFFFF" w:sz="0"/>
              <w:left w:val="none" w:color="FFFFFF" w:sz="0"/>
              <w:bottom w:val="none" w:color="FFFFFF" w:sz="0"/>
              <w:right w:val="none" w:color="FFFFFF" w:sz="0"/>
            </w:tcBorders>
          </w:tcPr>
          <w:p>
            <w:pPr>
              <w:spacing w:after="120"/>
            </w:pPr>
            <w:r>
              <w:rPr>
                <w:b/>
                <w:bCs/>
              </w:rPr>
              <w:t xml:space="preserve">Governing Ordinance:</w:t>
            </w:r>
          </w:p>
        </w:tc>
        <w:tc>
          <w:tcPr>
            <w:tcW w:type="dxa" w:w="7160"/>
            <w:tcBorders>
              <w:top w:val="none" w:color="FFFFFF" w:sz="0"/>
              <w:left w:val="none" w:color="FFFFFF" w:sz="0"/>
              <w:bottom w:val="none" w:color="FFFFFF" w:sz="0"/>
              <w:right w:val="none" w:color="FFFFFF" w:sz="0"/>
            </w:tcBorders>
          </w:tcPr>
          <w:p>
            <w:pPr>
              <w:spacing w:after="120"/>
            </w:pPr>
            <w:r>
              <w:t xml:space="preserve">HOME Phase I — Ord. 20231207-001</w:t>
            </w:r>
          </w:p>
        </w:tc>
      </w:tr>
      <w:tr>
        <w:tc>
          <w:tcPr>
            <w:tcW w:type="dxa" w:w="2200"/>
            <w:tcBorders>
              <w:top w:val="none" w:color="FFFFFF" w:sz="0"/>
              <w:left w:val="none" w:color="FFFFFF" w:sz="0"/>
              <w:bottom w:val="none" w:color="FFFFFF" w:sz="0"/>
              <w:right w:val="none" w:color="FFFFFF" w:sz="0"/>
            </w:tcBorders>
          </w:tcPr>
          <w:p>
            <w:pPr>
              <w:spacing w:after="120"/>
            </w:pPr>
            <w:r>
              <w:rPr>
                <w:b/>
                <w:bCs/>
              </w:rPr>
              <w:t xml:space="preserve">Plan Set Stamp:</w:t>
            </w:r>
          </w:p>
        </w:tc>
        <w:tc>
          <w:tcPr>
            <w:tcW w:type="dxa" w:w="7160"/>
            <w:tcBorders>
              <w:top w:val="none" w:color="FFFFFF" w:sz="0"/>
              <w:left w:val="none" w:color="FFFFFF" w:sz="0"/>
              <w:bottom w:val="none" w:color="FFFFFF" w:sz="0"/>
              <w:right w:val="none" w:color="FFFFFF" w:sz="0"/>
            </w:tcBorders>
          </w:tcPr>
          <w:p>
            <w:pPr>
              <w:spacing w:after="120"/>
            </w:pPr>
            <w:r>
              <w:t xml:space="preserve">10.25.2023  |  Heidi Goebel Architect, #12843</w:t>
            </w:r>
          </w:p>
        </w:tc>
      </w:tr>
      <w:tr>
        <w:tc>
          <w:tcPr>
            <w:tcW w:type="dxa" w:w="2200"/>
            <w:tcBorders>
              <w:top w:val="none" w:color="FFFFFF" w:sz="0"/>
              <w:left w:val="none" w:color="FFFFFF" w:sz="0"/>
              <w:bottom w:val="none" w:color="FFFFFF" w:sz="0"/>
              <w:right w:val="none" w:color="FFFFFF" w:sz="0"/>
            </w:tcBorders>
          </w:tcPr>
          <w:p>
            <w:pPr>
              <w:spacing w:after="120"/>
            </w:pPr>
            <w:r>
              <w:rPr>
                <w:b/>
                <w:bCs/>
              </w:rPr>
              <w:t xml:space="preserve">Review Date:</w:t>
            </w:r>
          </w:p>
        </w:tc>
        <w:tc>
          <w:tcPr>
            <w:tcW w:type="dxa" w:w="7160"/>
            <w:tcBorders>
              <w:top w:val="none" w:color="FFFFFF" w:sz="0"/>
              <w:left w:val="none" w:color="FFFFFF" w:sz="0"/>
              <w:bottom w:val="none" w:color="FFFFFF" w:sz="0"/>
              <w:right w:val="none" w:color="FFFFFF" w:sz="0"/>
            </w:tcBorders>
          </w:tcPr>
          <w:p>
            <w:pPr>
              <w:spacing w:after="120"/>
            </w:pPr>
            <w:r>
              <w:t xml:space="preserve">2026-03-01</w:t>
            </w:r>
          </w:p>
        </w:tc>
      </w:tr>
    </w:tbl>
    <w:p>
      <w:pPr>
        <w:spacing w:after="160" w:before="120"/>
      </w:pPr>
      <w:r>
        <w:rPr>
          <w:color w:val="333333"/>
          <w:sz w:val="20"/>
          <w:szCs w:val="20"/>
        </w:rPr>
        <w:t xml:space="preserve">The above-referenced permit application has been reviewed for compliance with the Austin Land Development Code (LDC), HOME Initiative Phase I (Ord. 20231207-001), and the 2021 IRC as locally adopted. The following corrections are required prior to approval. Please resubmit with a written response to each item.</w:t>
      </w:r>
    </w:p>
    <w:p>
      <w:pPr>
        <w:spacing w:after="200"/>
      </w:pPr>
      <w:r>
        <w:rPr>
          <w:i/>
          <w:iCs/>
          <w:color w:val="555555"/>
        </w:rPr>
        <w:t xml:space="preserve">Items marked </w:t>
      </w:r>
      <w:r>
        <w:rPr>
          <w:b/>
          <w:bCs/>
          <w:color w:val="884EA0"/>
        </w:rPr>
        <w:t xml:space="preserve">[VERIFY]</w:t>
      </w:r>
      <w:r>
        <w:rPr>
          <w:i/>
          <w:iCs/>
          <w:color w:val="555555"/>
        </w:rPr>
        <w:t xml:space="preserve"> require confirmation on the full-size plan set. Items marked </w:t>
      </w:r>
      <w:r>
        <w:rPr>
          <w:b/>
          <w:bCs/>
          <w:color w:val="1A5276"/>
        </w:rPr>
        <w:t xml:space="preserve">[REVIEWER]</w:t>
      </w:r>
      <w:r>
        <w:rPr>
          <w:i/>
          <w:iCs/>
          <w:color w:val="555555"/>
        </w:rPr>
        <w:t xml:space="preserve"> require determination by City staff.</w:t>
      </w:r>
    </w:p>
    <w:p>
      <w:pPr>
        <w:pStyle w:val="Heading1"/>
      </w:pPr>
      <w:r>
        <w:t xml:space="preserve">Section 1 — Administrative Corrections</w:t>
      </w:r>
    </w:p>
    <w:p>
      <w:pPr>
        <w:spacing w:after="80" w:before="240"/>
      </w:pPr>
      <w:r>
        <w:rPr>
          <w:b/>
          <w:bCs/>
          <w:sz w:val="24"/>
          <w:szCs w:val="24"/>
        </w:rPr>
        <w:t xml:space="preserve">Item 1  </w:t>
      </w:r>
      <w:r>
        <w:rPr>
          <w:b/>
          <w:bCs/>
          <w:color w:val="C0392B"/>
          <w:sz w:val="22"/>
          <w:szCs w:val="22"/>
        </w:rPr>
        <w:t xml:space="preserve">[FAIL]  </w:t>
      </w:r>
      <w:r>
        <w:rPr>
          <w:b/>
          <w:bCs/>
          <w:sz w:val="22"/>
          <w:szCs w:val="22"/>
        </w:rPr>
        <w:t xml:space="preserve">Lot area inconsistency across submittal documents</w:t>
      </w:r>
    </w:p>
    <w:p>
      <w:pPr>
        <w:spacing w:after="120"/>
        <w:ind w:left="360"/>
      </w:pPr>
      <w:r>
        <w:rPr>
          <w:i/>
          <w:iCs/>
          <w:color w:val="555555"/>
        </w:rPr>
        <w:t xml:space="preserve">Code: </w:t>
      </w:r>
      <w:r>
        <w:rPr>
          <w:rFonts w:ascii="Courier New" w:cs="Courier New" w:eastAsia="Courier New" w:hAnsi="Courier New"/>
          <w:color w:val="1A5276"/>
          <w:sz w:val="20"/>
          <w:szCs w:val="20"/>
        </w:rPr>
        <w:t xml:space="preserve">Austin LDC §25-1-21 — lot area must be determined by licensed survey; all permit documents must reflect the same verified measurement.</w:t>
      </w:r>
    </w:p>
    <w:p>
      <w:pPr>
        <w:spacing w:after="200"/>
        <w:ind w:left="360"/>
      </w:pPr>
      <w:r>
        <w:t xml:space="preserve">The permit application (page 4) states lot area = 7,330 sq ft. The site development data table states 7,730 sq ft — a discrepancy of 400 sq ft on the same submittal. Revise all documents to reflect a single, consistent lot area reconciled to the recorded plat or a current licensed survey. Note: both values exceed the 5,750 sq ft Phase I threshold, so the governing HOME phase (§25-2-773) is not affected. However, the correct lot area is critical for all FAR calculations (see Items 3 and 4).</w:t>
      </w:r>
    </w:p>
    <w:p>
      <w:pPr>
        <w:spacing w:after="80" w:before="240"/>
      </w:pPr>
      <w:r>
        <w:rPr>
          <w:b/>
          <w:bCs/>
          <w:sz w:val="24"/>
          <w:szCs w:val="24"/>
        </w:rPr>
        <w:t xml:space="preserve">Item 2  </w:t>
      </w:r>
      <w:r>
        <w:rPr>
          <w:b/>
          <w:bCs/>
          <w:color w:val="C0392B"/>
          <w:sz w:val="22"/>
          <w:szCs w:val="22"/>
        </w:rPr>
        <w:t xml:space="preserve">[FAIL]  </w:t>
      </w:r>
      <w:r>
        <w:rPr>
          <w:b/>
          <w:bCs/>
          <w:sz w:val="22"/>
          <w:szCs w:val="22"/>
        </w:rPr>
        <w:t xml:space="preserve">Use type must be designated as Two-Unit Residential</w:t>
      </w:r>
    </w:p>
    <w:p>
      <w:pPr>
        <w:spacing w:after="120"/>
        <w:ind w:left="360"/>
      </w:pPr>
      <w:r>
        <w:rPr>
          <w:i/>
          <w:iCs/>
          <w:color w:val="555555"/>
        </w:rPr>
        <w:t xml:space="preserve">Code: </w:t>
      </w:r>
      <w:r>
        <w:rPr>
          <w:rFonts w:ascii="Courier New" w:cs="Courier New" w:eastAsia="Courier New" w:hAnsi="Courier New"/>
          <w:color w:val="1A5276"/>
          <w:sz w:val="20"/>
          <w:szCs w:val="20"/>
        </w:rPr>
        <w:t xml:space="preserve">HOME Phase I, Ord. 20231207-001, §25-2-773 — Two-Unit Residential use governs; Austin LDC §25-2-901 (Accessory Apartments) repealed by Ord. 20231207-001.</w:t>
      </w:r>
    </w:p>
    <w:p>
      <w:pPr>
        <w:spacing w:after="200"/>
        <w:ind w:left="360"/>
      </w:pPr>
      <w:r>
        <w:t xml:space="preserve">The submittal title blocks describe the project as "House w/ Habitable Attic" with a separate ADU — framing consistent with the former Accessory Apartment use under §25-2-901, which was repealed by HOME Phase I. Two dwelling units on a single SF-3 lot now constitute Two-Unit Residential use under §25-2-773, regardless of how the units are described. Revise all title blocks, the permit application, and the Subchapter F GFA exhibits to explicitly designate the use type as Two-Unit Residential and confirm that all §25-2-773 development standards are applied to both structures.</w:t>
      </w:r>
    </w:p>
    <w:p>
      <w:pPr>
        <w:pStyle w:val="Heading1"/>
      </w:pPr>
      <w:r>
        <w:t xml:space="preserve">Section 2 — Floor Area Ratio / GFA Corrections</w:t>
      </w:r>
    </w:p>
    <w:p>
      <w:pPr>
        <w:spacing w:after="80" w:before="240"/>
      </w:pPr>
      <w:r>
        <w:rPr>
          <w:b/>
          <w:bCs/>
          <w:sz w:val="24"/>
          <w:szCs w:val="24"/>
        </w:rPr>
        <w:t xml:space="preserve">Item 3  </w:t>
      </w:r>
      <w:r>
        <w:rPr>
          <w:b/>
          <w:bCs/>
          <w:color w:val="C0392B"/>
          <w:sz w:val="22"/>
          <w:szCs w:val="22"/>
        </w:rPr>
        <w:t xml:space="preserve">[FAIL]  </w:t>
      </w:r>
      <w:r>
        <w:rPr>
          <w:b/>
          <w:bCs/>
          <w:sz w:val="22"/>
          <w:szCs w:val="22"/>
        </w:rPr>
        <w:t xml:space="preserve">ADU (Unit 2) GFA calculation not submitted</w:t>
      </w:r>
    </w:p>
    <w:p>
      <w:pPr>
        <w:spacing w:after="120"/>
        <w:ind w:left="360"/>
      </w:pPr>
      <w:r>
        <w:rPr>
          <w:i/>
          <w:iCs/>
          <w:color w:val="555555"/>
        </w:rPr>
        <w:t xml:space="preserve">Code: </w:t>
      </w:r>
      <w:r>
        <w:rPr>
          <w:rFonts w:ascii="Courier New" w:cs="Courier New" w:eastAsia="Courier New" w:hAnsi="Courier New"/>
          <w:color w:val="1A5276"/>
          <w:sz w:val="20"/>
          <w:szCs w:val="20"/>
        </w:rPr>
        <w:t xml:space="preserve">HOME Phase I, Ord. 20231207-001, §25-2-773(E) — within Subchapter F compatibility area, each unit in a Two-Unit Residential development must individually not exceed the greater of 0.4 FAR or 2,300 sq ft. Austin LDC Subchapter F §3.3.</w:t>
      </w:r>
    </w:p>
    <w:p>
      <w:pPr>
        <w:spacing w:after="200"/>
        <w:ind w:left="360"/>
      </w:pPr>
      <w:r>
        <w:t xml:space="preserve">The Subchapter F GFA calculation form (pages 7–8) covers Unit 1 (the house) only. No GFA calculation has been submitted for Unit 2 (the ADU). Under §25-2-773(E), each unit's GFA must be verified individually. Provide a Subchapter F GFA exhibit for the ADU following Subchapter F §3.3 methodology. Confirm ADU GFA does not exceed the greater of 0.4 × [verified lot area] or 2,300 sq ft. Using the lower lot area (7,330 sq ft): per-unit maximum = 2,932 sq ft.</w:t>
      </w:r>
    </w:p>
    <w:p>
      <w:pPr>
        <w:spacing w:after="80" w:before="240"/>
      </w:pPr>
      <w:r>
        <w:rPr>
          <w:b/>
          <w:bCs/>
          <w:sz w:val="24"/>
          <w:szCs w:val="24"/>
        </w:rPr>
        <w:t xml:space="preserve">Item 4  </w:t>
      </w:r>
      <w:r>
        <w:rPr>
          <w:b/>
          <w:bCs/>
          <w:color w:val="C0392B"/>
          <w:sz w:val="22"/>
          <w:szCs w:val="22"/>
        </w:rPr>
        <w:t xml:space="preserve">[FAIL]  </w:t>
      </w:r>
      <w:r>
        <w:rPr>
          <w:b/>
          <w:bCs/>
          <w:sz w:val="22"/>
          <w:szCs w:val="22"/>
        </w:rPr>
        <w:t xml:space="preserve">Combined site GFA not calculated</w:t>
      </w:r>
    </w:p>
    <w:p>
      <w:pPr>
        <w:spacing w:after="120"/>
        <w:ind w:left="360"/>
      </w:pPr>
      <w:r>
        <w:rPr>
          <w:i/>
          <w:iCs/>
          <w:color w:val="555555"/>
        </w:rPr>
        <w:t xml:space="preserve">Code: </w:t>
      </w:r>
      <w:r>
        <w:rPr>
          <w:rFonts w:ascii="Courier New" w:cs="Courier New" w:eastAsia="Courier New" w:hAnsi="Courier New"/>
          <w:color w:val="1A5276"/>
          <w:sz w:val="20"/>
          <w:szCs w:val="20"/>
        </w:rPr>
        <w:t xml:space="preserve">HOME Phase I, Ord. 20231207-001, §25-2-773(E) — within Subchapter F compatibility area, Two-Unit Residential: site maximum GFA is the greater of 0.55 FAR or 3,200 sq ft.</w:t>
      </w:r>
    </w:p>
    <w:p>
      <w:pPr>
        <w:spacing w:after="200"/>
        <w:ind w:left="360"/>
      </w:pPr>
      <w:r>
        <w:t xml:space="preserve">No combined site GFA exhibit has been submitted. The Subchapter F forms address Unit 1 only; Unit 2 GFA is unknown and the sum of both units has not been compared to the §25-2-773(E) site maximum. Using the lower lot area (7,330 sq ft): site maximum = 4,031 sq ft (greater of 0.55 × 7,330 or 3,200 sq ft). Provide a combined Subchapter F GFA summary showing Unit 1 GFA + Unit 2 GFA vs. the site maximum. Resolve Item 1 (lot area) first, as the correct lot area controls all FAR calculations.</w:t>
      </w:r>
    </w:p>
    <w:p>
      <w:pPr>
        <w:pStyle w:val="Heading1"/>
      </w:pPr>
      <w:r>
        <w:t xml:space="preserve">Section 3 — Architectural / Design Corrections</w:t>
      </w:r>
    </w:p>
    <w:p>
      <w:pPr>
        <w:spacing w:after="80" w:before="240"/>
      </w:pPr>
      <w:r>
        <w:rPr>
          <w:b/>
          <w:bCs/>
          <w:sz w:val="24"/>
          <w:szCs w:val="24"/>
        </w:rPr>
        <w:t xml:space="preserve">Item 5  </w:t>
      </w:r>
      <w:r>
        <w:rPr>
          <w:b/>
          <w:bCs/>
          <w:color w:val="C0392B"/>
          <w:sz w:val="22"/>
          <w:szCs w:val="22"/>
        </w:rPr>
        <w:t xml:space="preserve">[FAIL]  </w:t>
      </w:r>
      <w:r>
        <w:rPr>
          <w:b/>
          <w:bCs/>
          <w:sz w:val="22"/>
          <w:szCs w:val="22"/>
        </w:rPr>
        <w:t xml:space="preserve">ADU lacks a street-facing entrance</w:t>
      </w:r>
    </w:p>
    <w:p>
      <w:pPr>
        <w:spacing w:after="120"/>
        <w:ind w:left="360"/>
      </w:pPr>
      <w:r>
        <w:rPr>
          <w:i/>
          <w:iCs/>
          <w:color w:val="555555"/>
        </w:rPr>
        <w:t xml:space="preserve">Code: </w:t>
      </w:r>
      <w:r>
        <w:rPr>
          <w:rFonts w:ascii="Courier New" w:cs="Courier New" w:eastAsia="Courier New" w:hAnsi="Courier New"/>
          <w:color w:val="1A5276"/>
          <w:sz w:val="20"/>
          <w:szCs w:val="20"/>
        </w:rPr>
        <w:t xml:space="preserve">HOME Phase I, Ord. 20231207-001, §25-2-773(C) — minimum 1 street-facing entrance required.</w:t>
      </w:r>
    </w:p>
    <w:p>
      <w:pPr>
        <w:spacing w:after="200"/>
        <w:ind w:left="360"/>
      </w:pPr>
      <w:r>
        <w:t xml:space="preserve">The ADU's north elevation (facing Euclid Avenue — the primary street) does not show an entry door (sheet p.3b2). The ADU's primary entry appears on the east elevation, accessed by an exterior stair on the interior side yard. An interior side-yard entry does not constitute a street-facing entrance toward Euclid Avenue. Provide a street-facing entry door on the north elevation of the ADU. [VERIFY: If a compliant entry exists but was not legible at reduced scale, confirm on the full-size drawings and provide a note.]</w:t>
      </w:r>
    </w:p>
    <w:p>
      <w:pPr>
        <w:pStyle w:val="Heading1"/>
      </w:pPr>
      <w:r>
        <w:t xml:space="preserve">Section 4 — Items Requiring Field Verification</w:t>
      </w:r>
    </w:p>
    <w:p>
      <w:pPr>
        <w:spacing w:after="160"/>
      </w:pPr>
      <w:r>
        <w:rPr>
          <w:color w:val="444444"/>
          <w:sz w:val="20"/>
          <w:szCs w:val="20"/>
        </w:rPr>
        <w:t xml:space="preserve">The following items appear potentially compliant but could not be confirmed at the scale of plans reviewed. Provide a written response noting the sheet and dimension confirming compliance, or provide revised drawings if not compliant.</w:t>
      </w:r>
    </w:p>
    <w:p>
      <w:pPr>
        <w:spacing w:after="80" w:before="240"/>
      </w:pPr>
      <w:r>
        <w:rPr>
          <w:b/>
          <w:bCs/>
          <w:sz w:val="24"/>
          <w:szCs w:val="24"/>
        </w:rPr>
        <w:t xml:space="preserve">Item 6  </w:t>
      </w:r>
      <w:r>
        <w:rPr>
          <w:b/>
          <w:bCs/>
          <w:color w:val="884EA0"/>
          <w:sz w:val="22"/>
          <w:szCs w:val="22"/>
        </w:rPr>
        <w:t xml:space="preserve">[VERIFY]  </w:t>
      </w:r>
      <w:r>
        <w:rPr>
          <w:b/>
          <w:bCs/>
          <w:sz w:val="22"/>
          <w:szCs w:val="22"/>
        </w:rPr>
        <w:t xml:space="preserve">Unit 1 (House) per-unit GFA — near maximum limit</w:t>
      </w:r>
    </w:p>
    <w:p>
      <w:pPr>
        <w:spacing w:after="120"/>
        <w:ind w:left="360"/>
      </w:pPr>
      <w:r>
        <w:rPr>
          <w:i/>
          <w:iCs/>
          <w:color w:val="555555"/>
        </w:rPr>
        <w:t xml:space="preserve">Code: </w:t>
      </w:r>
      <w:r>
        <w:rPr>
          <w:rFonts w:ascii="Courier New" w:cs="Courier New" w:eastAsia="Courier New" w:hAnsi="Courier New"/>
          <w:color w:val="1A5276"/>
          <w:sz w:val="20"/>
          <w:szCs w:val="20"/>
        </w:rPr>
        <w:t xml:space="preserve">HOME Phase I, Ord. 20231207-001, §25-2-773(E) — per-unit maximum: greater of 0.4 FAR or 2,300 sq ft.</w:t>
      </w:r>
    </w:p>
    <w:p>
      <w:pPr>
        <w:spacing w:after="200"/>
        <w:ind w:left="360"/>
      </w:pPr>
      <w:r>
        <w:t xml:space="preserve">The Subchapter F GFA form shows Unit 1 FAR at approximately 39.86%. Using the lower lot area (7,330 sq ft): house GFA ≈ 2,922 sq ft vs. per-unit maximum ≈ 2,932 sq ft — a margin of ~10 sq ft, within reduced-sheet reading tolerance. Confirm the exact Unit 1 GFA on the full-size Subchapter F form. Note: if the verified lot area is 7,730 sq ft, the per-unit maximum becomes 3,092 sq ft and this is a clear pass.</w:t>
      </w:r>
    </w:p>
    <w:p>
      <w:pPr>
        <w:spacing w:after="80" w:before="240"/>
      </w:pPr>
      <w:r>
        <w:rPr>
          <w:b/>
          <w:bCs/>
          <w:sz w:val="24"/>
          <w:szCs w:val="24"/>
        </w:rPr>
        <w:t xml:space="preserve">Item 7  </w:t>
      </w:r>
      <w:r>
        <w:rPr>
          <w:b/>
          <w:bCs/>
          <w:color w:val="884EA0"/>
          <w:sz w:val="22"/>
          <w:szCs w:val="22"/>
        </w:rPr>
        <w:t xml:space="preserve">[VERIFY]  </w:t>
      </w:r>
      <w:r>
        <w:rPr>
          <w:b/>
          <w:bCs/>
          <w:sz w:val="22"/>
          <w:szCs w:val="22"/>
        </w:rPr>
        <w:t xml:space="preserve">Front yard impervious cover percentage not shown</w:t>
      </w:r>
    </w:p>
    <w:p>
      <w:pPr>
        <w:spacing w:after="120"/>
        <w:ind w:left="360"/>
      </w:pPr>
      <w:r>
        <w:rPr>
          <w:i/>
          <w:iCs/>
          <w:color w:val="555555"/>
        </w:rPr>
        <w:t xml:space="preserve">Code: </w:t>
      </w:r>
      <w:r>
        <w:rPr>
          <w:rFonts w:ascii="Courier New" w:cs="Courier New" w:eastAsia="Courier New" w:hAnsi="Courier New"/>
          <w:color w:val="1A5276"/>
          <w:sz w:val="20"/>
          <w:szCs w:val="20"/>
        </w:rPr>
        <w:t xml:space="preserve">HOME Phase I, Ord. 20231207-001, §25-2-773(B) — maximum front yard impervious cover: 40%.</w:t>
      </w:r>
    </w:p>
    <w:p>
      <w:pPr>
        <w:spacing w:after="200"/>
        <w:ind w:left="360"/>
      </w:pPr>
      <w:r>
        <w:t xml:space="preserve">A separate calculation of impervious cover within the front yard (between the front setback line and the Euclid Ave property line) is not visible on the submitted plans. Provide: (1) front yard area in sq ft, (2) impervious area within the front yard in sq ft, and (3) the resulting percentage. Confirm this does not exceed 40%.</w:t>
      </w:r>
    </w:p>
    <w:p>
      <w:pPr>
        <w:spacing w:after="80" w:before="240"/>
      </w:pPr>
      <w:r>
        <w:rPr>
          <w:b/>
          <w:bCs/>
          <w:sz w:val="24"/>
          <w:szCs w:val="24"/>
        </w:rPr>
        <w:t xml:space="preserve">Item 8  </w:t>
      </w:r>
      <w:r>
        <w:rPr>
          <w:b/>
          <w:bCs/>
          <w:color w:val="884EA0"/>
          <w:sz w:val="22"/>
          <w:szCs w:val="22"/>
        </w:rPr>
        <w:t xml:space="preserve">[VERIFY]  </w:t>
      </w:r>
      <w:r>
        <w:rPr>
          <w:b/>
          <w:bCs/>
          <w:sz w:val="22"/>
          <w:szCs w:val="22"/>
        </w:rPr>
        <w:t xml:space="preserve">Front setback — house dimension not confirmed</w:t>
      </w:r>
    </w:p>
    <w:p>
      <w:pPr>
        <w:spacing w:after="120"/>
        <w:ind w:left="360"/>
      </w:pPr>
      <w:r>
        <w:rPr>
          <w:i/>
          <w:iCs/>
          <w:color w:val="555555"/>
        </w:rPr>
        <w:t xml:space="preserve">Code: </w:t>
      </w:r>
      <w:r>
        <w:rPr>
          <w:rFonts w:ascii="Courier New" w:cs="Courier New" w:eastAsia="Courier New" w:hAnsi="Courier New"/>
          <w:color w:val="1A5276"/>
          <w:sz w:val="20"/>
          <w:szCs w:val="20"/>
        </w:rPr>
        <w:t xml:space="preserve">HOME Phase I, Ord. 20231207-001, §25-2-773(B) — minimum front yard setback: 15 ft.</w:t>
      </w:r>
    </w:p>
    <w:p>
      <w:pPr>
        <w:spacing w:after="200"/>
        <w:ind w:left="360"/>
      </w:pPr>
      <w:r>
        <w:t xml:space="preserve">The front setback of the house from the Euclid Avenue (north) property line is not clearly dimensioned at the scale reviewed. Confirm on the full-size site plan (p.1a) that the setback from the front lot line to the nearest exterior wall of the house is ≥ 15 ft.</w:t>
      </w:r>
    </w:p>
    <w:p>
      <w:pPr>
        <w:spacing w:after="80" w:before="240"/>
      </w:pPr>
      <w:r>
        <w:rPr>
          <w:b/>
          <w:bCs/>
          <w:sz w:val="24"/>
          <w:szCs w:val="24"/>
        </w:rPr>
        <w:t xml:space="preserve">Item 9  </w:t>
      </w:r>
      <w:r>
        <w:rPr>
          <w:b/>
          <w:bCs/>
          <w:color w:val="884EA0"/>
          <w:sz w:val="22"/>
          <w:szCs w:val="22"/>
        </w:rPr>
        <w:t xml:space="preserve">[VERIFY]  </w:t>
      </w:r>
      <w:r>
        <w:rPr>
          <w:b/>
          <w:bCs/>
          <w:sz w:val="22"/>
          <w:szCs w:val="22"/>
        </w:rPr>
        <w:t xml:space="preserve">Rear setback — ADU dimension not confirmed</w:t>
      </w:r>
    </w:p>
    <w:p>
      <w:pPr>
        <w:spacing w:after="120"/>
        <w:ind w:left="360"/>
      </w:pPr>
      <w:r>
        <w:rPr>
          <w:i/>
          <w:iCs/>
          <w:color w:val="555555"/>
        </w:rPr>
        <w:t xml:space="preserve">Code: </w:t>
      </w:r>
      <w:r>
        <w:rPr>
          <w:rFonts w:ascii="Courier New" w:cs="Courier New" w:eastAsia="Courier New" w:hAnsi="Courier New"/>
          <w:color w:val="1A5276"/>
          <w:sz w:val="20"/>
          <w:szCs w:val="20"/>
        </w:rPr>
        <w:t xml:space="preserve">HOME Phase I, Ord. 20231207-001, §25-2-773(B) — minimum rear setback: 5 ft if adjacent to alley.</w:t>
      </w:r>
    </w:p>
    <w:p>
      <w:pPr>
        <w:spacing w:after="200"/>
        <w:ind w:left="360"/>
      </w:pPr>
      <w:r>
        <w:t xml:space="preserve">The alley along the south property line is confirmed on the site plan, triggering the 5 ft minimum rear setback exception under §25-2-773(B). The exact dimension from the ADU's south wall to the south property line is not legible at scale. Confirm on the full-size site plan that the ADU rear setback is ≥ 5 ft from the south (alley-adjacent) property line.</w:t>
      </w:r>
    </w:p>
    <w:p>
      <w:pPr>
        <w:spacing w:after="80" w:before="240"/>
      </w:pPr>
      <w:r>
        <w:rPr>
          <w:b/>
          <w:bCs/>
          <w:sz w:val="24"/>
          <w:szCs w:val="24"/>
        </w:rPr>
        <w:t xml:space="preserve">Item 10  </w:t>
      </w:r>
      <w:r>
        <w:rPr>
          <w:b/>
          <w:bCs/>
          <w:color w:val="884EA0"/>
          <w:sz w:val="22"/>
          <w:szCs w:val="22"/>
        </w:rPr>
        <w:t xml:space="preserve">[VERIFY]  </w:t>
      </w:r>
      <w:r>
        <w:rPr>
          <w:b/>
          <w:bCs/>
          <w:sz w:val="22"/>
          <w:szCs w:val="22"/>
        </w:rPr>
        <w:t xml:space="preserve">Side / street-side setback condition not confirmed</w:t>
      </w:r>
    </w:p>
    <w:p>
      <w:pPr>
        <w:spacing w:after="120"/>
        <w:ind w:left="360"/>
      </w:pPr>
      <w:r>
        <w:rPr>
          <w:i/>
          <w:iCs/>
          <w:color w:val="555555"/>
        </w:rPr>
        <w:t xml:space="preserve">Code: </w:t>
      </w:r>
      <w:r>
        <w:rPr>
          <w:rFonts w:ascii="Courier New" w:cs="Courier New" w:eastAsia="Courier New" w:hAnsi="Courier New"/>
          <w:color w:val="1A5276"/>
          <w:sz w:val="20"/>
          <w:szCs w:val="20"/>
        </w:rPr>
        <w:t xml:space="preserve">HOME Phase I, Ord. 20231207-001, §25-2-773(B) — corner lot: Level 1 street ≥ greater of 5 ft from PL or 10 ft from curb; Level 2–4 street ≥ 10 ft from PL. SF-3 interior side: 5 ft.</w:t>
      </w:r>
    </w:p>
    <w:p>
      <w:pPr>
        <w:spacing w:after="200"/>
        <w:ind w:left="360"/>
      </w:pPr>
      <w:r>
        <w:t xml:space="preserve">The ADU ground floor plan (p.2b) notes '5' Street Side Setback' and '20' Front Street-Side Setback.' Confirm whether the lot is a corner lot or interior lot. If corner: verify the street-side setback meets the applicable Phase I minimum per street classification. If interior: confirm all side setbacks are ≥ 5 ft. Clearly dimension all setbacks on the full-size site plan.</w:t>
      </w:r>
    </w:p>
    <w:p>
      <w:pPr>
        <w:spacing w:after="80" w:before="240"/>
      </w:pPr>
      <w:r>
        <w:rPr>
          <w:b/>
          <w:bCs/>
          <w:sz w:val="24"/>
          <w:szCs w:val="24"/>
        </w:rPr>
        <w:t xml:space="preserve">Item 11  </w:t>
      </w:r>
      <w:r>
        <w:rPr>
          <w:b/>
          <w:bCs/>
          <w:color w:val="884EA0"/>
          <w:sz w:val="22"/>
          <w:szCs w:val="22"/>
        </w:rPr>
        <w:t xml:space="preserve">[VERIFY]  </w:t>
      </w:r>
      <w:r>
        <w:rPr>
          <w:b/>
          <w:bCs/>
          <w:sz w:val="22"/>
          <w:szCs w:val="22"/>
        </w:rPr>
        <w:t xml:space="preserve">Front porch setback from front lot line not confirmed</w:t>
      </w:r>
    </w:p>
    <w:p>
      <w:pPr>
        <w:spacing w:after="120"/>
        <w:ind w:left="360"/>
      </w:pPr>
      <w:r>
        <w:rPr>
          <w:i/>
          <w:iCs/>
          <w:color w:val="555555"/>
        </w:rPr>
        <w:t xml:space="preserve">Code: </w:t>
      </w:r>
      <w:r>
        <w:rPr>
          <w:rFonts w:ascii="Courier New" w:cs="Courier New" w:eastAsia="Courier New" w:hAnsi="Courier New"/>
          <w:color w:val="1A5276"/>
          <w:sz w:val="20"/>
          <w:szCs w:val="20"/>
        </w:rPr>
        <w:t xml:space="preserve">HOME Phase I, Ord. 20231207-001, §25-2-773(C) — porch ≥ 15 ft from front lot line; porch roof/overhang ≥ 13 ft.</w:t>
      </w:r>
    </w:p>
    <w:p>
      <w:pPr>
        <w:spacing w:after="200"/>
        <w:ind w:left="360"/>
      </w:pPr>
      <w:r>
        <w:t xml:space="preserve">The house north elevation shows a covered front porch projecting toward Euclid Avenue. The porch-to-lot-line dimension is not shown at scale. Confirm on the full-size site plan that: (1) the porch floor is ≥ 15 ft from the north lot line, and (2) the porch roof/overhang is ≥ 13 ft from the north lot line.</w:t>
      </w:r>
    </w:p>
    <w:p>
      <w:pPr>
        <w:spacing w:after="80" w:before="240"/>
      </w:pPr>
      <w:r>
        <w:rPr>
          <w:b/>
          <w:bCs/>
          <w:sz w:val="24"/>
          <w:szCs w:val="24"/>
        </w:rPr>
        <w:t xml:space="preserve">Item 12  </w:t>
      </w:r>
      <w:r>
        <w:rPr>
          <w:b/>
          <w:bCs/>
          <w:color w:val="884EA0"/>
          <w:sz w:val="22"/>
          <w:szCs w:val="22"/>
        </w:rPr>
        <w:t xml:space="preserve">[VERIFY]  </w:t>
      </w:r>
      <w:r>
        <w:rPr>
          <w:b/>
          <w:bCs/>
          <w:sz w:val="22"/>
          <w:szCs w:val="22"/>
        </w:rPr>
        <w:t xml:space="preserve">Parking spaces in front/street yard — count not confirmed</w:t>
      </w:r>
    </w:p>
    <w:p>
      <w:pPr>
        <w:spacing w:after="120"/>
        <w:ind w:left="360"/>
      </w:pPr>
      <w:r>
        <w:rPr>
          <w:i/>
          <w:iCs/>
          <w:color w:val="555555"/>
        </w:rPr>
        <w:t xml:space="preserve">Code: </w:t>
      </w:r>
      <w:r>
        <w:rPr>
          <w:rFonts w:ascii="Courier New" w:cs="Courier New" w:eastAsia="Courier New" w:hAnsi="Courier New"/>
          <w:color w:val="1A5276"/>
          <w:sz w:val="20"/>
          <w:szCs w:val="20"/>
        </w:rPr>
        <w:t xml:space="preserve">HOME Phase I, Ord. 20231207-001, §25-2-773(B) — maximum 4 parking spaces in front or street yard (combined for corner lots).</w:t>
      </w:r>
    </w:p>
    <w:p>
      <w:pPr>
        <w:spacing w:after="200"/>
        <w:ind w:left="360"/>
      </w:pPr>
      <w:r>
        <w:t xml:space="preserve">The number of parking spaces within the front or street yard is not confirmed at scale. Confirm on the full-size site plan that the total parking spaces within the front yard and/or street yard does not exceed 4.</w:t>
      </w:r>
    </w:p>
    <w:p>
      <w:pPr>
        <w:pStyle w:val="Heading1"/>
      </w:pPr>
      <w:r>
        <w:t xml:space="preserve">Section 5 — For City Reviewer Determination</w:t>
      </w:r>
    </w:p>
    <w:p>
      <w:pPr>
        <w:spacing w:after="80" w:before="240"/>
      </w:pPr>
      <w:r>
        <w:rPr>
          <w:b/>
          <w:bCs/>
          <w:sz w:val="24"/>
          <w:szCs w:val="24"/>
        </w:rPr>
        <w:t xml:space="preserve">Item 13  </w:t>
      </w:r>
      <w:r>
        <w:rPr>
          <w:b/>
          <w:bCs/>
          <w:color w:val="1A5276"/>
          <w:sz w:val="22"/>
          <w:szCs w:val="22"/>
        </w:rPr>
        <w:t xml:space="preserve">[REVIEWER]  </w:t>
      </w:r>
      <w:r>
        <w:rPr>
          <w:b/>
          <w:bCs/>
          <w:sz w:val="22"/>
          <w:szCs w:val="22"/>
        </w:rPr>
        <w:t xml:space="preserve">Structural design adequacy</w:t>
      </w:r>
    </w:p>
    <w:p>
      <w:pPr>
        <w:spacing w:after="120"/>
        <w:ind w:left="360"/>
      </w:pPr>
      <w:r>
        <w:rPr>
          <w:i/>
          <w:iCs/>
          <w:color w:val="555555"/>
        </w:rPr>
        <w:t xml:space="preserve">Code: </w:t>
      </w:r>
      <w:r>
        <w:rPr>
          <w:rFonts w:ascii="Courier New" w:cs="Courier New" w:eastAsia="Courier New" w:hAnsi="Courier New"/>
          <w:color w:val="1A5276"/>
          <w:sz w:val="20"/>
          <w:szCs w:val="20"/>
        </w:rPr>
        <w:t xml:space="preserve">2021 IBC Chapter 16 (structural loads), Chapter 18 (soils and foundations), Chapter 23 (wood frame construction).</w:t>
      </w:r>
    </w:p>
    <w:p>
      <w:pPr>
        <w:spacing w:after="200"/>
        <w:ind w:left="360"/>
      </w:pPr>
      <w:r>
        <w:t xml:space="preserve">Structural engineering documents (S200–S400, Greensmith Engineering, PE-stamped 10/27/23) show reinforced concrete footings with embedded plate connections, LVL beams, floor trusses at 24" o.c., CS-WSP shear walls, and lateral bracing for seismic Category A / 115 mph wind. Texas PE seal is present on all structural sheets. Adequacy of the foundation system for actual site soil conditions requires review by the City's structural plan checker.</w:t>
      </w:r>
    </w:p>
    <w:p>
      <w:pPr>
        <w:pStyle w:val="Heading1"/>
        <w:pageBreakBefore/>
      </w:pPr>
      <w:r>
        <w:t xml:space="preserve">Items Confirmed Compliant</w:t>
      </w:r>
    </w:p>
    <w:p>
      <w:pPr>
        <w:spacing w:after="160"/>
      </w:pPr>
      <w:r>
        <w:rPr>
          <w:color w:val="444444"/>
          <w:sz w:val="20"/>
          <w:szCs w:val="20"/>
        </w:rPr>
        <w:t xml:space="preserve">The following items were reviewed and found to comply. No corrections required.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800"/>
        <w:gridCol w:w="3000"/>
        <w:gridCol w:w="2360"/>
        <w:gridCol w:w="800"/>
      </w:tblGrid>
      <w:tr>
        <w:trPr>
          <w:tblHeader/>
        </w:trPr>
        <w:tc>
          <w:tcPr>
            <w:tcW w:type="dxa" w:w="2800"/>
            <w:tcBorders>
              <w:top w:val="single" w:color="CCCCCC" w:sz="1"/>
              <w:left w:val="single" w:color="CCCCCC" w:sz="1"/>
              <w:bottom w:val="single" w:color="CCCCCC" w:sz="1"/>
              <w:right w:val="single" w:color="CCCCCC" w:sz="1"/>
            </w:tcBorders>
            <w:shd w:fill="1A3A5C" w:val="clear"/>
          </w:tcPr>
          <w:p>
            <w:r>
              <w:rPr>
                <w:b/>
                <w:bCs/>
                <w:color w:val="FFFFFF"/>
                <w:sz w:val="20"/>
                <w:szCs w:val="20"/>
              </w:rPr>
              <w:t xml:space="preserve">Item</w:t>
            </w:r>
          </w:p>
        </w:tc>
        <w:tc>
          <w:tcPr>
            <w:tcW w:type="dxa" w:w="3000"/>
            <w:tcBorders>
              <w:top w:val="single" w:color="CCCCCC" w:sz="1"/>
              <w:left w:val="single" w:color="CCCCCC" w:sz="1"/>
              <w:bottom w:val="single" w:color="CCCCCC" w:sz="1"/>
              <w:right w:val="single" w:color="CCCCCC" w:sz="1"/>
            </w:tcBorders>
            <w:shd w:fill="1A3A5C" w:val="clear"/>
          </w:tcPr>
          <w:p>
            <w:r>
              <w:rPr>
                <w:b/>
                <w:bCs/>
                <w:color w:val="FFFFFF"/>
                <w:sz w:val="20"/>
                <w:szCs w:val="20"/>
              </w:rPr>
              <w:t xml:space="preserve">Standard</w:t>
            </w:r>
          </w:p>
        </w:tc>
        <w:tc>
          <w:tcPr>
            <w:tcW w:type="dxa" w:w="2360"/>
            <w:tcBorders>
              <w:top w:val="single" w:color="CCCCCC" w:sz="1"/>
              <w:left w:val="single" w:color="CCCCCC" w:sz="1"/>
              <w:bottom w:val="single" w:color="CCCCCC" w:sz="1"/>
              <w:right w:val="single" w:color="CCCCCC" w:sz="1"/>
            </w:tcBorders>
            <w:shd w:fill="1A3A5C" w:val="clear"/>
          </w:tcPr>
          <w:p>
            <w:r>
              <w:rPr>
                <w:b/>
                <w:bCs/>
                <w:color w:val="FFFFFF"/>
                <w:sz w:val="20"/>
                <w:szCs w:val="20"/>
              </w:rPr>
              <w:t xml:space="preserve">Finding</w:t>
            </w:r>
          </w:p>
        </w:tc>
        <w:tc>
          <w:tcPr>
            <w:tcW w:type="dxa" w:w="800"/>
            <w:tcBorders>
              <w:top w:val="single" w:color="CCCCCC" w:sz="1"/>
              <w:left w:val="single" w:color="CCCCCC" w:sz="1"/>
              <w:bottom w:val="single" w:color="CCCCCC" w:sz="1"/>
              <w:right w:val="single" w:color="CCCCCC" w:sz="1"/>
            </w:tcBorders>
            <w:shd w:fill="1A3A5C" w:val="clear"/>
          </w:tcPr>
          <w:p>
            <w:pPr>
              <w:jc w:val="center"/>
            </w:pPr>
            <w:r>
              <w:rPr>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Pr>
          <w:p>
            <w:pPr>
              <w:spacing w:after="60" w:before="60"/>
            </w:pPr>
            <w:r>
              <w:t xml:space="preserve">Building coverage</w:t>
            </w:r>
          </w:p>
        </w:tc>
        <w:tc>
          <w:tcPr>
            <w:tcW w:type="dxa" w:w="3000"/>
            <w:tcBorders>
              <w:top w:val="single" w:color="CCCCCC" w:sz="1"/>
              <w:left w:val="single" w:color="CCCCCC" w:sz="1"/>
              <w:bottom w:val="single" w:color="CCCCCC" w:sz="1"/>
              <w:right w:val="single" w:color="CCCCCC" w:sz="1"/>
            </w:tcBorders>
          </w:tcPr>
          <w:p>
            <w:pPr>
              <w:spacing w:after="60" w:before="60"/>
            </w:pPr>
            <w:r>
              <w:rPr>
                <w:i/>
                <w:iCs/>
                <w:color w:val="555555"/>
              </w:rPr>
              <w:t xml:space="preserve">HOME I §25-2-773(B) ≤ 40%</w:t>
            </w:r>
          </w:p>
        </w:tc>
        <w:tc>
          <w:tcPr>
            <w:tcW w:type="dxa" w:w="2360"/>
            <w:tcBorders>
              <w:top w:val="single" w:color="CCCCCC" w:sz="1"/>
              <w:left w:val="single" w:color="CCCCCC" w:sz="1"/>
              <w:bottom w:val="single" w:color="CCCCCC" w:sz="1"/>
              <w:right w:val="single" w:color="CCCCCC" w:sz="1"/>
            </w:tcBorders>
          </w:tcPr>
          <w:p>
            <w:pPr>
              <w:spacing w:after="60" w:before="60"/>
            </w:pPr>
            <w:r>
              <w:t xml:space="preserve">~29.88%</w:t>
            </w:r>
          </w:p>
        </w:tc>
        <w:tc>
          <w:tcPr>
            <w:tcW w:type="dxa" w:w="800"/>
            <w:tcBorders>
              <w:top w:val="single" w:color="CCCCCC" w:sz="1"/>
              <w:left w:val="single" w:color="CCCCCC" w:sz="1"/>
              <w:bottom w:val="single" w:color="CCCCCC" w:sz="1"/>
              <w:right w:val="single" w:color="CCCCCC" w:sz="1"/>
            </w:tcBorders>
            <w:shd w:fill="D5F5E3" w:val="clear"/>
            <w:vAlign w:val="center"/>
          </w:tcPr>
          <w:p>
            <w:pPr>
              <w:spacing w:after="60" w:before="60"/>
              <w:jc w:val="center"/>
            </w:pPr>
            <w:r>
              <w:rPr>
                <w:b/>
                <w:bCs/>
                <w:color w:val="1E8449"/>
                <w:sz w:val="18"/>
                <w:szCs w:val="18"/>
              </w:rPr>
              <w:t xml:space="preserve">PASS</w:t>
            </w:r>
          </w:p>
        </w:tc>
      </w:tr>
      <w:tr>
        <w:tc>
          <w:tcPr>
            <w:tcW w:type="dxa" w:w="2800"/>
            <w:tcBorders>
              <w:top w:val="single" w:color="CCCCCC" w:sz="1"/>
              <w:left w:val="single" w:color="CCCCCC" w:sz="1"/>
              <w:bottom w:val="single" w:color="CCCCCC" w:sz="1"/>
              <w:right w:val="single" w:color="CCCCCC" w:sz="1"/>
            </w:tcBorders>
          </w:tcPr>
          <w:p>
            <w:pPr>
              <w:spacing w:after="60" w:before="60"/>
            </w:pPr>
            <w:r>
              <w:t xml:space="preserve">Total impervious cover</w:t>
            </w:r>
          </w:p>
        </w:tc>
        <w:tc>
          <w:tcPr>
            <w:tcW w:type="dxa" w:w="3000"/>
            <w:tcBorders>
              <w:top w:val="single" w:color="CCCCCC" w:sz="1"/>
              <w:left w:val="single" w:color="CCCCCC" w:sz="1"/>
              <w:bottom w:val="single" w:color="CCCCCC" w:sz="1"/>
              <w:right w:val="single" w:color="CCCCCC" w:sz="1"/>
            </w:tcBorders>
          </w:tcPr>
          <w:p>
            <w:pPr>
              <w:spacing w:after="60" w:before="60"/>
            </w:pPr>
            <w:r>
              <w:rPr>
                <w:i/>
                <w:iCs/>
                <w:color w:val="555555"/>
              </w:rPr>
              <w:t xml:space="preserve">HOME I §25-2-773(B) ≤ 45%</w:t>
            </w:r>
          </w:p>
        </w:tc>
        <w:tc>
          <w:tcPr>
            <w:tcW w:type="dxa" w:w="2360"/>
            <w:tcBorders>
              <w:top w:val="single" w:color="CCCCCC" w:sz="1"/>
              <w:left w:val="single" w:color="CCCCCC" w:sz="1"/>
              <w:bottom w:val="single" w:color="CCCCCC" w:sz="1"/>
              <w:right w:val="single" w:color="CCCCCC" w:sz="1"/>
            </w:tcBorders>
          </w:tcPr>
          <w:p>
            <w:pPr>
              <w:spacing w:after="60" w:before="60"/>
            </w:pPr>
            <w:r>
              <w:t xml:space="preserve">~37.98%</w:t>
            </w:r>
          </w:p>
        </w:tc>
        <w:tc>
          <w:tcPr>
            <w:tcW w:type="dxa" w:w="800"/>
            <w:tcBorders>
              <w:top w:val="single" w:color="CCCCCC" w:sz="1"/>
              <w:left w:val="single" w:color="CCCCCC" w:sz="1"/>
              <w:bottom w:val="single" w:color="CCCCCC" w:sz="1"/>
              <w:right w:val="single" w:color="CCCCCC" w:sz="1"/>
            </w:tcBorders>
            <w:shd w:fill="D5F5E3" w:val="clear"/>
            <w:vAlign w:val="center"/>
          </w:tcPr>
          <w:p>
            <w:pPr>
              <w:spacing w:after="60" w:before="60"/>
              <w:jc w:val="center"/>
            </w:pPr>
            <w:r>
              <w:rPr>
                <w:b/>
                <w:bCs/>
                <w:color w:val="1E8449"/>
                <w:sz w:val="18"/>
                <w:szCs w:val="18"/>
              </w:rPr>
              <w:t xml:space="preserve">PASS</w:t>
            </w:r>
          </w:p>
        </w:tc>
      </w:tr>
      <w:tr>
        <w:tc>
          <w:tcPr>
            <w:tcW w:type="dxa" w:w="2800"/>
            <w:tcBorders>
              <w:top w:val="single" w:color="CCCCCC" w:sz="1"/>
              <w:left w:val="single" w:color="CCCCCC" w:sz="1"/>
              <w:bottom w:val="single" w:color="CCCCCC" w:sz="1"/>
              <w:right w:val="single" w:color="CCCCCC" w:sz="1"/>
            </w:tcBorders>
          </w:tcPr>
          <w:p>
            <w:pPr>
              <w:spacing w:after="60" w:before="60"/>
            </w:pPr>
            <w:r>
              <w:t xml:space="preserve">House height</w:t>
            </w:r>
          </w:p>
        </w:tc>
        <w:tc>
          <w:tcPr>
            <w:tcW w:type="dxa" w:w="3000"/>
            <w:tcBorders>
              <w:top w:val="single" w:color="CCCCCC" w:sz="1"/>
              <w:left w:val="single" w:color="CCCCCC" w:sz="1"/>
              <w:bottom w:val="single" w:color="CCCCCC" w:sz="1"/>
              <w:right w:val="single" w:color="CCCCCC" w:sz="1"/>
            </w:tcBorders>
          </w:tcPr>
          <w:p>
            <w:pPr>
              <w:spacing w:after="60" w:before="60"/>
            </w:pPr>
            <w:r>
              <w:rPr>
                <w:i/>
                <w:iCs/>
                <w:color w:val="555555"/>
              </w:rPr>
              <w:t xml:space="preserve">SF-3 base district ≤ 35 ft</w:t>
            </w:r>
          </w:p>
        </w:tc>
        <w:tc>
          <w:tcPr>
            <w:tcW w:type="dxa" w:w="2360"/>
            <w:tcBorders>
              <w:top w:val="single" w:color="CCCCCC" w:sz="1"/>
              <w:left w:val="single" w:color="CCCCCC" w:sz="1"/>
              <w:bottom w:val="single" w:color="CCCCCC" w:sz="1"/>
              <w:right w:val="single" w:color="CCCCCC" w:sz="1"/>
            </w:tcBorders>
          </w:tcPr>
          <w:p>
            <w:pPr>
              <w:spacing w:after="60" w:before="60"/>
            </w:pPr>
            <w:r>
              <w:t xml:space="preserve">30'-2"</w:t>
            </w:r>
          </w:p>
        </w:tc>
        <w:tc>
          <w:tcPr>
            <w:tcW w:type="dxa" w:w="800"/>
            <w:tcBorders>
              <w:top w:val="single" w:color="CCCCCC" w:sz="1"/>
              <w:left w:val="single" w:color="CCCCCC" w:sz="1"/>
              <w:bottom w:val="single" w:color="CCCCCC" w:sz="1"/>
              <w:right w:val="single" w:color="CCCCCC" w:sz="1"/>
            </w:tcBorders>
            <w:shd w:fill="D5F5E3" w:val="clear"/>
            <w:vAlign w:val="center"/>
          </w:tcPr>
          <w:p>
            <w:pPr>
              <w:spacing w:after="60" w:before="60"/>
              <w:jc w:val="center"/>
            </w:pPr>
            <w:r>
              <w:rPr>
                <w:b/>
                <w:bCs/>
                <w:color w:val="1E8449"/>
                <w:sz w:val="18"/>
                <w:szCs w:val="18"/>
              </w:rPr>
              <w:t xml:space="preserve">PASS</w:t>
            </w:r>
          </w:p>
        </w:tc>
      </w:tr>
      <w:tr>
        <w:tc>
          <w:tcPr>
            <w:tcW w:type="dxa" w:w="2800"/>
            <w:tcBorders>
              <w:top w:val="single" w:color="CCCCCC" w:sz="1"/>
              <w:left w:val="single" w:color="CCCCCC" w:sz="1"/>
              <w:bottom w:val="single" w:color="CCCCCC" w:sz="1"/>
              <w:right w:val="single" w:color="CCCCCC" w:sz="1"/>
            </w:tcBorders>
          </w:tcPr>
          <w:p>
            <w:pPr>
              <w:spacing w:after="60" w:before="60"/>
            </w:pPr>
            <w:r>
              <w:t xml:space="preserve">ADU height</w:t>
            </w:r>
          </w:p>
        </w:tc>
        <w:tc>
          <w:tcPr>
            <w:tcW w:type="dxa" w:w="3000"/>
            <w:tcBorders>
              <w:top w:val="single" w:color="CCCCCC" w:sz="1"/>
              <w:left w:val="single" w:color="CCCCCC" w:sz="1"/>
              <w:bottom w:val="single" w:color="CCCCCC" w:sz="1"/>
              <w:right w:val="single" w:color="CCCCCC" w:sz="1"/>
            </w:tcBorders>
          </w:tcPr>
          <w:p>
            <w:pPr>
              <w:spacing w:after="60" w:before="60"/>
            </w:pPr>
            <w:r>
              <w:rPr>
                <w:i/>
                <w:iCs/>
                <w:color w:val="555555"/>
              </w:rPr>
              <w:t xml:space="preserve">SF-3 base district ≤ 35 ft</w:t>
            </w:r>
          </w:p>
        </w:tc>
        <w:tc>
          <w:tcPr>
            <w:tcW w:type="dxa" w:w="2360"/>
            <w:tcBorders>
              <w:top w:val="single" w:color="CCCCCC" w:sz="1"/>
              <w:left w:val="single" w:color="CCCCCC" w:sz="1"/>
              <w:bottom w:val="single" w:color="CCCCCC" w:sz="1"/>
              <w:right w:val="single" w:color="CCCCCC" w:sz="1"/>
            </w:tcBorders>
          </w:tcPr>
          <w:p>
            <w:pPr>
              <w:spacing w:after="60" w:before="60"/>
            </w:pPr>
            <w:r>
              <w:t xml:space="preserve">25'-5"</w:t>
            </w:r>
          </w:p>
        </w:tc>
        <w:tc>
          <w:tcPr>
            <w:tcW w:type="dxa" w:w="800"/>
            <w:tcBorders>
              <w:top w:val="single" w:color="CCCCCC" w:sz="1"/>
              <w:left w:val="single" w:color="CCCCCC" w:sz="1"/>
              <w:bottom w:val="single" w:color="CCCCCC" w:sz="1"/>
              <w:right w:val="single" w:color="CCCCCC" w:sz="1"/>
            </w:tcBorders>
            <w:shd w:fill="D5F5E3" w:val="clear"/>
            <w:vAlign w:val="center"/>
          </w:tcPr>
          <w:p>
            <w:pPr>
              <w:spacing w:after="60" w:before="60"/>
              <w:jc w:val="center"/>
            </w:pPr>
            <w:r>
              <w:rPr>
                <w:b/>
                <w:bCs/>
                <w:color w:val="1E8449"/>
                <w:sz w:val="18"/>
                <w:szCs w:val="18"/>
              </w:rPr>
              <w:t xml:space="preserve">PASS</w:t>
            </w:r>
          </w:p>
        </w:tc>
      </w:tr>
      <w:tr>
        <w:tc>
          <w:tcPr>
            <w:tcW w:type="dxa" w:w="2800"/>
            <w:tcBorders>
              <w:top w:val="single" w:color="CCCCCC" w:sz="1"/>
              <w:left w:val="single" w:color="CCCCCC" w:sz="1"/>
              <w:bottom w:val="single" w:color="CCCCCC" w:sz="1"/>
              <w:right w:val="single" w:color="CCCCCC" w:sz="1"/>
            </w:tcBorders>
          </w:tcPr>
          <w:p>
            <w:pPr>
              <w:spacing w:after="60" w:before="60"/>
            </w:pPr>
            <w:r>
              <w:t xml:space="preserve">Street-facing entry — house</w:t>
            </w:r>
          </w:p>
        </w:tc>
        <w:tc>
          <w:tcPr>
            <w:tcW w:type="dxa" w:w="3000"/>
            <w:tcBorders>
              <w:top w:val="single" w:color="CCCCCC" w:sz="1"/>
              <w:left w:val="single" w:color="CCCCCC" w:sz="1"/>
              <w:bottom w:val="single" w:color="CCCCCC" w:sz="1"/>
              <w:right w:val="single" w:color="CCCCCC" w:sz="1"/>
            </w:tcBorders>
          </w:tcPr>
          <w:p>
            <w:pPr>
              <w:spacing w:after="60" w:before="60"/>
            </w:pPr>
            <w:r>
              <w:rPr>
                <w:i/>
                <w:iCs/>
                <w:color w:val="555555"/>
              </w:rPr>
              <w:t xml:space="preserve">HOME I §25-2-773(C)</w:t>
            </w:r>
          </w:p>
        </w:tc>
        <w:tc>
          <w:tcPr>
            <w:tcW w:type="dxa" w:w="2360"/>
            <w:tcBorders>
              <w:top w:val="single" w:color="CCCCCC" w:sz="1"/>
              <w:left w:val="single" w:color="CCCCCC" w:sz="1"/>
              <w:bottom w:val="single" w:color="CCCCCC" w:sz="1"/>
              <w:right w:val="single" w:color="CCCCCC" w:sz="1"/>
            </w:tcBorders>
          </w:tcPr>
          <w:p>
            <w:pPr>
              <w:spacing w:after="60" w:before="60"/>
            </w:pPr>
            <w:r>
              <w:t xml:space="preserve">North elev. entry ✓</w:t>
            </w:r>
          </w:p>
        </w:tc>
        <w:tc>
          <w:tcPr>
            <w:tcW w:type="dxa" w:w="800"/>
            <w:tcBorders>
              <w:top w:val="single" w:color="CCCCCC" w:sz="1"/>
              <w:left w:val="single" w:color="CCCCCC" w:sz="1"/>
              <w:bottom w:val="single" w:color="CCCCCC" w:sz="1"/>
              <w:right w:val="single" w:color="CCCCCC" w:sz="1"/>
            </w:tcBorders>
            <w:shd w:fill="D5F5E3" w:val="clear"/>
            <w:vAlign w:val="center"/>
          </w:tcPr>
          <w:p>
            <w:pPr>
              <w:spacing w:after="60" w:before="60"/>
              <w:jc w:val="center"/>
            </w:pPr>
            <w:r>
              <w:rPr>
                <w:b/>
                <w:bCs/>
                <w:color w:val="1E8449"/>
                <w:sz w:val="18"/>
                <w:szCs w:val="18"/>
              </w:rPr>
              <w:t xml:space="preserve">PASS</w:t>
            </w:r>
          </w:p>
        </w:tc>
      </w:tr>
      <w:tr>
        <w:tc>
          <w:tcPr>
            <w:tcW w:type="dxa" w:w="2800"/>
            <w:tcBorders>
              <w:top w:val="single" w:color="CCCCCC" w:sz="1"/>
              <w:left w:val="single" w:color="CCCCCC" w:sz="1"/>
              <w:bottom w:val="single" w:color="CCCCCC" w:sz="1"/>
              <w:right w:val="single" w:color="CCCCCC" w:sz="1"/>
            </w:tcBorders>
          </w:tcPr>
          <w:p>
            <w:pPr>
              <w:spacing w:after="60" w:before="60"/>
            </w:pPr>
            <w:r>
              <w:t xml:space="preserve">Habitable attic GFA method</w:t>
            </w:r>
          </w:p>
        </w:tc>
        <w:tc>
          <w:tcPr>
            <w:tcW w:type="dxa" w:w="3000"/>
            <w:tcBorders>
              <w:top w:val="single" w:color="CCCCCC" w:sz="1"/>
              <w:left w:val="single" w:color="CCCCCC" w:sz="1"/>
              <w:bottom w:val="single" w:color="CCCCCC" w:sz="1"/>
              <w:right w:val="single" w:color="CCCCCC" w:sz="1"/>
            </w:tcBorders>
          </w:tcPr>
          <w:p>
            <w:pPr>
              <w:spacing w:after="60" w:before="60"/>
            </w:pPr>
            <w:r>
              <w:rPr>
                <w:i/>
                <w:iCs/>
                <w:color w:val="555555"/>
              </w:rPr>
              <w:t xml:space="preserve">Subchapter F §3.3.4 A/B</w:t>
            </w:r>
          </w:p>
        </w:tc>
        <w:tc>
          <w:tcPr>
            <w:tcW w:type="dxa" w:w="2360"/>
            <w:tcBorders>
              <w:top w:val="single" w:color="CCCCCC" w:sz="1"/>
              <w:left w:val="single" w:color="CCCCCC" w:sz="1"/>
              <w:bottom w:val="single" w:color="CCCCCC" w:sz="1"/>
              <w:right w:val="single" w:color="CCCCCC" w:sz="1"/>
            </w:tcBorders>
          </w:tcPr>
          <w:p>
            <w:pPr>
              <w:spacing w:after="60" w:before="60"/>
            </w:pPr>
            <w:r>
              <w:t xml:space="preserve">514 sf per methodology ✓</w:t>
            </w:r>
          </w:p>
        </w:tc>
        <w:tc>
          <w:tcPr>
            <w:tcW w:type="dxa" w:w="800"/>
            <w:tcBorders>
              <w:top w:val="single" w:color="CCCCCC" w:sz="1"/>
              <w:left w:val="single" w:color="CCCCCC" w:sz="1"/>
              <w:bottom w:val="single" w:color="CCCCCC" w:sz="1"/>
              <w:right w:val="single" w:color="CCCCCC" w:sz="1"/>
            </w:tcBorders>
            <w:shd w:fill="D5F5E3" w:val="clear"/>
            <w:vAlign w:val="center"/>
          </w:tcPr>
          <w:p>
            <w:pPr>
              <w:spacing w:after="60" w:before="60"/>
              <w:jc w:val="center"/>
            </w:pPr>
            <w:r>
              <w:rPr>
                <w:b/>
                <w:bCs/>
                <w:color w:val="1E8449"/>
                <w:sz w:val="18"/>
                <w:szCs w:val="18"/>
              </w:rPr>
              <w:t xml:space="preserve">PASS</w:t>
            </w:r>
          </w:p>
        </w:tc>
      </w:tr>
      <w:tr>
        <w:tc>
          <w:tcPr>
            <w:tcW w:type="dxa" w:w="2800"/>
            <w:tcBorders>
              <w:top w:val="single" w:color="CCCCCC" w:sz="1"/>
              <w:left w:val="single" w:color="CCCCCC" w:sz="1"/>
              <w:bottom w:val="single" w:color="CCCCCC" w:sz="1"/>
              <w:right w:val="single" w:color="CCCCCC" w:sz="1"/>
            </w:tcBorders>
          </w:tcPr>
          <w:p>
            <w:pPr>
              <w:spacing w:after="60" w:before="60"/>
            </w:pPr>
            <w:r>
              <w:t xml:space="preserve">ADU garage placement</w:t>
            </w:r>
          </w:p>
        </w:tc>
        <w:tc>
          <w:tcPr>
            <w:tcW w:type="dxa" w:w="3000"/>
            <w:tcBorders>
              <w:top w:val="single" w:color="CCCCCC" w:sz="1"/>
              <w:left w:val="single" w:color="CCCCCC" w:sz="1"/>
              <w:bottom w:val="single" w:color="CCCCCC" w:sz="1"/>
              <w:right w:val="single" w:color="CCCCCC" w:sz="1"/>
            </w:tcBorders>
          </w:tcPr>
          <w:p>
            <w:pPr>
              <w:spacing w:after="60" w:before="60"/>
            </w:pPr>
            <w:r>
              <w:rPr>
                <w:i/>
                <w:iCs/>
                <w:color w:val="555555"/>
              </w:rPr>
              <w:t xml:space="preserve">HOME I §25-2-773(B)</w:t>
            </w:r>
          </w:p>
        </w:tc>
        <w:tc>
          <w:tcPr>
            <w:tcW w:type="dxa" w:w="2360"/>
            <w:tcBorders>
              <w:top w:val="single" w:color="CCCCCC" w:sz="1"/>
              <w:left w:val="single" w:color="CCCCCC" w:sz="1"/>
              <w:bottom w:val="single" w:color="CCCCCC" w:sz="1"/>
              <w:right w:val="single" w:color="CCCCCC" w:sz="1"/>
            </w:tcBorders>
          </w:tcPr>
          <w:p>
            <w:pPr>
              <w:spacing w:after="60" w:before="60"/>
            </w:pPr>
            <w:r>
              <w:t xml:space="preserve">Faces alley, not front yard ✓</w:t>
            </w:r>
          </w:p>
        </w:tc>
        <w:tc>
          <w:tcPr>
            <w:tcW w:type="dxa" w:w="800"/>
            <w:tcBorders>
              <w:top w:val="single" w:color="CCCCCC" w:sz="1"/>
              <w:left w:val="single" w:color="CCCCCC" w:sz="1"/>
              <w:bottom w:val="single" w:color="CCCCCC" w:sz="1"/>
              <w:right w:val="single" w:color="CCCCCC" w:sz="1"/>
            </w:tcBorders>
            <w:shd w:fill="D5F5E3" w:val="clear"/>
            <w:vAlign w:val="center"/>
          </w:tcPr>
          <w:p>
            <w:pPr>
              <w:spacing w:after="60" w:before="60"/>
              <w:jc w:val="center"/>
            </w:pPr>
            <w:r>
              <w:rPr>
                <w:b/>
                <w:bCs/>
                <w:color w:val="1E8449"/>
                <w:sz w:val="18"/>
                <w:szCs w:val="18"/>
              </w:rPr>
              <w:t xml:space="preserve">PASS</w:t>
            </w:r>
          </w:p>
        </w:tc>
      </w:tr>
      <w:tr>
        <w:tc>
          <w:tcPr>
            <w:tcW w:type="dxa" w:w="2800"/>
            <w:tcBorders>
              <w:top w:val="single" w:color="CCCCCC" w:sz="1"/>
              <w:left w:val="single" w:color="CCCCCC" w:sz="1"/>
              <w:bottom w:val="single" w:color="CCCCCC" w:sz="1"/>
              <w:right w:val="single" w:color="CCCCCC" w:sz="1"/>
            </w:tcBorders>
          </w:tcPr>
          <w:p>
            <w:pPr>
              <w:spacing w:after="60" w:before="60"/>
            </w:pPr>
            <w:r>
              <w:t xml:space="preserve">Egress windows</w:t>
            </w:r>
          </w:p>
        </w:tc>
        <w:tc>
          <w:tcPr>
            <w:tcW w:type="dxa" w:w="3000"/>
            <w:tcBorders>
              <w:top w:val="single" w:color="CCCCCC" w:sz="1"/>
              <w:left w:val="single" w:color="CCCCCC" w:sz="1"/>
              <w:bottom w:val="single" w:color="CCCCCC" w:sz="1"/>
              <w:right w:val="single" w:color="CCCCCC" w:sz="1"/>
            </w:tcBorders>
          </w:tcPr>
          <w:p>
            <w:pPr>
              <w:spacing w:after="60" w:before="60"/>
            </w:pPr>
            <w:r>
              <w:rPr>
                <w:i/>
                <w:iCs/>
                <w:color w:val="555555"/>
              </w:rPr>
              <w:t xml:space="preserve">2021 IRC R310</w:t>
            </w:r>
          </w:p>
        </w:tc>
        <w:tc>
          <w:tcPr>
            <w:tcW w:type="dxa" w:w="2360"/>
            <w:tcBorders>
              <w:top w:val="single" w:color="CCCCCC" w:sz="1"/>
              <w:left w:val="single" w:color="CCCCCC" w:sz="1"/>
              <w:bottom w:val="single" w:color="CCCCCC" w:sz="1"/>
              <w:right w:val="single" w:color="CCCCCC" w:sz="1"/>
            </w:tcBorders>
          </w:tcPr>
          <w:p>
            <w:pPr>
              <w:spacing w:after="60" w:before="60"/>
            </w:pPr>
            <w:r>
              <w:t xml:space="preserve">All bedrooms labeled ✓</w:t>
            </w:r>
          </w:p>
        </w:tc>
        <w:tc>
          <w:tcPr>
            <w:tcW w:type="dxa" w:w="800"/>
            <w:tcBorders>
              <w:top w:val="single" w:color="CCCCCC" w:sz="1"/>
              <w:left w:val="single" w:color="CCCCCC" w:sz="1"/>
              <w:bottom w:val="single" w:color="CCCCCC" w:sz="1"/>
              <w:right w:val="single" w:color="CCCCCC" w:sz="1"/>
            </w:tcBorders>
            <w:shd w:fill="D5F5E3" w:val="clear"/>
            <w:vAlign w:val="center"/>
          </w:tcPr>
          <w:p>
            <w:pPr>
              <w:spacing w:after="60" w:before="60"/>
              <w:jc w:val="center"/>
            </w:pPr>
            <w:r>
              <w:rPr>
                <w:b/>
                <w:bCs/>
                <w:color w:val="1E8449"/>
                <w:sz w:val="18"/>
                <w:szCs w:val="18"/>
              </w:rPr>
              <w:t xml:space="preserve">PASS</w:t>
            </w:r>
          </w:p>
        </w:tc>
      </w:tr>
      <w:tr>
        <w:tc>
          <w:tcPr>
            <w:tcW w:type="dxa" w:w="2800"/>
            <w:tcBorders>
              <w:top w:val="single" w:color="CCCCCC" w:sz="1"/>
              <w:left w:val="single" w:color="CCCCCC" w:sz="1"/>
              <w:bottom w:val="single" w:color="CCCCCC" w:sz="1"/>
              <w:right w:val="single" w:color="CCCCCC" w:sz="1"/>
            </w:tcBorders>
          </w:tcPr>
          <w:p>
            <w:pPr>
              <w:spacing w:after="60" w:before="60"/>
            </w:pPr>
            <w:r>
              <w:t xml:space="preserve">Smoke/CO alarms</w:t>
            </w:r>
          </w:p>
        </w:tc>
        <w:tc>
          <w:tcPr>
            <w:tcW w:type="dxa" w:w="3000"/>
            <w:tcBorders>
              <w:top w:val="single" w:color="CCCCCC" w:sz="1"/>
              <w:left w:val="single" w:color="CCCCCC" w:sz="1"/>
              <w:bottom w:val="single" w:color="CCCCCC" w:sz="1"/>
              <w:right w:val="single" w:color="CCCCCC" w:sz="1"/>
            </w:tcBorders>
          </w:tcPr>
          <w:p>
            <w:pPr>
              <w:spacing w:after="60" w:before="60"/>
            </w:pPr>
            <w:r>
              <w:rPr>
                <w:i/>
                <w:iCs/>
                <w:color w:val="555555"/>
              </w:rPr>
              <w:t xml:space="preserve">2021 IRC R314/R315</w:t>
            </w:r>
          </w:p>
        </w:tc>
        <w:tc>
          <w:tcPr>
            <w:tcW w:type="dxa" w:w="2360"/>
            <w:tcBorders>
              <w:top w:val="single" w:color="CCCCCC" w:sz="1"/>
              <w:left w:val="single" w:color="CCCCCC" w:sz="1"/>
              <w:bottom w:val="single" w:color="CCCCCC" w:sz="1"/>
              <w:right w:val="single" w:color="CCCCCC" w:sz="1"/>
            </w:tcBorders>
          </w:tcPr>
          <w:p>
            <w:pPr>
              <w:spacing w:after="60" w:before="60"/>
            </w:pPr>
            <w:r>
              <w:t xml:space="preserve">Noted in plan notes ✓</w:t>
            </w:r>
          </w:p>
        </w:tc>
        <w:tc>
          <w:tcPr>
            <w:tcW w:type="dxa" w:w="800"/>
            <w:tcBorders>
              <w:top w:val="single" w:color="CCCCCC" w:sz="1"/>
              <w:left w:val="single" w:color="CCCCCC" w:sz="1"/>
              <w:bottom w:val="single" w:color="CCCCCC" w:sz="1"/>
              <w:right w:val="single" w:color="CCCCCC" w:sz="1"/>
            </w:tcBorders>
            <w:shd w:fill="D5F5E3" w:val="clear"/>
            <w:vAlign w:val="center"/>
          </w:tcPr>
          <w:p>
            <w:pPr>
              <w:spacing w:after="60" w:before="60"/>
              <w:jc w:val="center"/>
            </w:pPr>
            <w:r>
              <w:rPr>
                <w:b/>
                <w:bCs/>
                <w:color w:val="1E8449"/>
                <w:sz w:val="18"/>
                <w:szCs w:val="18"/>
              </w:rPr>
              <w:t xml:space="preserve">PASS</w:t>
            </w:r>
          </w:p>
        </w:tc>
      </w:tr>
      <w:tr>
        <w:tc>
          <w:tcPr>
            <w:tcW w:type="dxa" w:w="2800"/>
            <w:tcBorders>
              <w:top w:val="single" w:color="CCCCCC" w:sz="1"/>
              <w:left w:val="single" w:color="CCCCCC" w:sz="1"/>
              <w:bottom w:val="single" w:color="CCCCCC" w:sz="1"/>
              <w:right w:val="single" w:color="CCCCCC" w:sz="1"/>
            </w:tcBorders>
          </w:tcPr>
          <w:p>
            <w:pPr>
              <w:spacing w:after="60" w:before="60"/>
            </w:pPr>
            <w:r>
              <w:t xml:space="preserve">Architect stamp</w:t>
            </w:r>
          </w:p>
        </w:tc>
        <w:tc>
          <w:tcPr>
            <w:tcW w:type="dxa" w:w="3000"/>
            <w:tcBorders>
              <w:top w:val="single" w:color="CCCCCC" w:sz="1"/>
              <w:left w:val="single" w:color="CCCCCC" w:sz="1"/>
              <w:bottom w:val="single" w:color="CCCCCC" w:sz="1"/>
              <w:right w:val="single" w:color="CCCCCC" w:sz="1"/>
            </w:tcBorders>
          </w:tcPr>
          <w:p>
            <w:pPr>
              <w:spacing w:after="60" w:before="60"/>
            </w:pPr>
            <w:r>
              <w:rPr>
                <w:i/>
                <w:iCs/>
                <w:color w:val="555555"/>
              </w:rPr>
              <w:t xml:space="preserve">Texas Occ. Code §1051.701</w:t>
            </w:r>
          </w:p>
        </w:tc>
        <w:tc>
          <w:tcPr>
            <w:tcW w:type="dxa" w:w="2360"/>
            <w:tcBorders>
              <w:top w:val="single" w:color="CCCCCC" w:sz="1"/>
              <w:left w:val="single" w:color="CCCCCC" w:sz="1"/>
              <w:bottom w:val="single" w:color="CCCCCC" w:sz="1"/>
              <w:right w:val="single" w:color="CCCCCC" w:sz="1"/>
            </w:tcBorders>
          </w:tcPr>
          <w:p>
            <w:pPr>
              <w:spacing w:after="60" w:before="60"/>
            </w:pPr>
            <w:r>
              <w:t xml:space="preserve">Heidi Goebel #12843 ✓</w:t>
            </w:r>
          </w:p>
        </w:tc>
        <w:tc>
          <w:tcPr>
            <w:tcW w:type="dxa" w:w="800"/>
            <w:tcBorders>
              <w:top w:val="single" w:color="CCCCCC" w:sz="1"/>
              <w:left w:val="single" w:color="CCCCCC" w:sz="1"/>
              <w:bottom w:val="single" w:color="CCCCCC" w:sz="1"/>
              <w:right w:val="single" w:color="CCCCCC" w:sz="1"/>
            </w:tcBorders>
            <w:shd w:fill="D5F5E3" w:val="clear"/>
            <w:vAlign w:val="center"/>
          </w:tcPr>
          <w:p>
            <w:pPr>
              <w:spacing w:after="60" w:before="60"/>
              <w:jc w:val="center"/>
            </w:pPr>
            <w:r>
              <w:rPr>
                <w:b/>
                <w:bCs/>
                <w:color w:val="1E8449"/>
                <w:sz w:val="18"/>
                <w:szCs w:val="18"/>
              </w:rPr>
              <w:t xml:space="preserve">PASS</w:t>
            </w:r>
          </w:p>
        </w:tc>
      </w:tr>
      <w:tr>
        <w:tc>
          <w:tcPr>
            <w:tcW w:type="dxa" w:w="2800"/>
            <w:tcBorders>
              <w:top w:val="single" w:color="CCCCCC" w:sz="1"/>
              <w:left w:val="single" w:color="CCCCCC" w:sz="1"/>
              <w:bottom w:val="single" w:color="CCCCCC" w:sz="1"/>
              <w:right w:val="single" w:color="CCCCCC" w:sz="1"/>
            </w:tcBorders>
          </w:tcPr>
          <w:p>
            <w:pPr>
              <w:spacing w:after="60" w:before="60"/>
            </w:pPr>
            <w:r>
              <w:t xml:space="preserve">Structural PE stamp</w:t>
            </w:r>
          </w:p>
        </w:tc>
        <w:tc>
          <w:tcPr>
            <w:tcW w:type="dxa" w:w="3000"/>
            <w:tcBorders>
              <w:top w:val="single" w:color="CCCCCC" w:sz="1"/>
              <w:left w:val="single" w:color="CCCCCC" w:sz="1"/>
              <w:bottom w:val="single" w:color="CCCCCC" w:sz="1"/>
              <w:right w:val="single" w:color="CCCCCC" w:sz="1"/>
            </w:tcBorders>
          </w:tcPr>
          <w:p>
            <w:pPr>
              <w:spacing w:after="60" w:before="60"/>
            </w:pPr>
            <w:r>
              <w:rPr>
                <w:i/>
                <w:iCs/>
                <w:color w:val="555555"/>
              </w:rPr>
              <w:t xml:space="preserve">Texas Occ. Code §1001</w:t>
            </w:r>
          </w:p>
        </w:tc>
        <w:tc>
          <w:tcPr>
            <w:tcW w:type="dxa" w:w="2360"/>
            <w:tcBorders>
              <w:top w:val="single" w:color="CCCCCC" w:sz="1"/>
              <w:left w:val="single" w:color="CCCCCC" w:sz="1"/>
              <w:bottom w:val="single" w:color="CCCCCC" w:sz="1"/>
              <w:right w:val="single" w:color="CCCCCC" w:sz="1"/>
            </w:tcBorders>
          </w:tcPr>
          <w:p>
            <w:pPr>
              <w:spacing w:after="60" w:before="60"/>
            </w:pPr>
            <w:r>
              <w:t xml:space="preserve">Greensmith Engineering ✓</w:t>
            </w:r>
          </w:p>
        </w:tc>
        <w:tc>
          <w:tcPr>
            <w:tcW w:type="dxa" w:w="800"/>
            <w:tcBorders>
              <w:top w:val="single" w:color="CCCCCC" w:sz="1"/>
              <w:left w:val="single" w:color="CCCCCC" w:sz="1"/>
              <w:bottom w:val="single" w:color="CCCCCC" w:sz="1"/>
              <w:right w:val="single" w:color="CCCCCC" w:sz="1"/>
            </w:tcBorders>
            <w:shd w:fill="D5F5E3" w:val="clear"/>
            <w:vAlign w:val="center"/>
          </w:tcPr>
          <w:p>
            <w:pPr>
              <w:spacing w:after="60" w:before="60"/>
              <w:jc w:val="center"/>
            </w:pPr>
            <w:r>
              <w:rPr>
                <w:b/>
                <w:bCs/>
                <w:color w:val="1E8449"/>
                <w:sz w:val="18"/>
                <w:szCs w:val="18"/>
              </w:rPr>
              <w:t xml:space="preserve">PASS</w:t>
            </w:r>
          </w:p>
        </w:tc>
      </w:tr>
    </w:tbl>
    <w:p>
      <w:pPr>
        <w:pStyle w:val="Heading1"/>
      </w:pPr>
      <w:r>
        <w:t xml:space="preserve">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5500"/>
        <w:gridCol w:w="3860"/>
      </w:tblGrid>
      <w:tr>
        <w:tc>
          <w:tcPr>
            <w:tcW w:type="dxa" w:w="5500"/>
            <w:tcBorders>
              <w:top w:val="single" w:color="CCCCCC" w:sz="1"/>
              <w:left w:val="single" w:color="CCCCCC" w:sz="1"/>
              <w:bottom w:val="single" w:color="CCCCCC" w:sz="1"/>
              <w:right w:val="single" w:color="CCCCCC" w:sz="1"/>
            </w:tcBorders>
          </w:tcPr>
          <w:p>
            <w:r>
              <w:rPr>
                <w:b/>
                <w:bCs/>
              </w:rPr>
              <w:t xml:space="preserve">Hard corrections required (Items 1–5)</w:t>
            </w:r>
          </w:p>
        </w:tc>
        <w:tc>
          <w:tcPr>
            <w:tcW w:type="dxa" w:w="3860"/>
            <w:tcBorders>
              <w:top w:val="single" w:color="CCCCCC" w:sz="1"/>
              <w:left w:val="single" w:color="CCCCCC" w:sz="1"/>
              <w:bottom w:val="single" w:color="CCCCCC" w:sz="1"/>
              <w:right w:val="single" w:color="CCCCCC" w:sz="1"/>
            </w:tcBorders>
            <w:shd w:fill="FDEDEC" w:val="clear"/>
          </w:tcPr>
          <w:p>
            <w:pPr>
              <w:jc w:val="center"/>
            </w:pPr>
            <w:r>
              <w:rPr>
                <w:b/>
                <w:bCs/>
                <w:color w:val="C0392B"/>
                <w:sz w:val="24"/>
                <w:szCs w:val="24"/>
              </w:rPr>
              <w:t xml:space="preserve">5</w:t>
            </w:r>
          </w:p>
        </w:tc>
      </w:tr>
      <w:tr>
        <w:tc>
          <w:tcPr>
            <w:tcW w:type="dxa" w:w="5500"/>
            <w:tcBorders>
              <w:top w:val="single" w:color="CCCCCC" w:sz="1"/>
              <w:left w:val="single" w:color="CCCCCC" w:sz="1"/>
              <w:bottom w:val="single" w:color="CCCCCC" w:sz="1"/>
              <w:right w:val="single" w:color="CCCCCC" w:sz="1"/>
            </w:tcBorders>
          </w:tcPr>
          <w:p>
            <w:r>
              <w:rPr>
                <w:b/>
                <w:bCs/>
              </w:rPr>
              <w:t xml:space="preserve">[VERIFY] items (Items 6–12)</w:t>
            </w:r>
          </w:p>
        </w:tc>
        <w:tc>
          <w:tcPr>
            <w:tcW w:type="dxa" w:w="3860"/>
            <w:tcBorders>
              <w:top w:val="single" w:color="CCCCCC" w:sz="1"/>
              <w:left w:val="single" w:color="CCCCCC" w:sz="1"/>
              <w:bottom w:val="single" w:color="CCCCCC" w:sz="1"/>
              <w:right w:val="single" w:color="CCCCCC" w:sz="1"/>
            </w:tcBorders>
            <w:shd w:fill="F4ECF7" w:val="clear"/>
          </w:tcPr>
          <w:p>
            <w:pPr>
              <w:jc w:val="center"/>
            </w:pPr>
            <w:r>
              <w:rPr>
                <w:b/>
                <w:bCs/>
                <w:color w:val="884EA0"/>
                <w:sz w:val="24"/>
                <w:szCs w:val="24"/>
              </w:rPr>
              <w:t xml:space="preserve">7</w:t>
            </w:r>
          </w:p>
        </w:tc>
      </w:tr>
      <w:tr>
        <w:tc>
          <w:tcPr>
            <w:tcW w:type="dxa" w:w="5500"/>
            <w:tcBorders>
              <w:top w:val="single" w:color="CCCCCC" w:sz="1"/>
              <w:left w:val="single" w:color="CCCCCC" w:sz="1"/>
              <w:bottom w:val="single" w:color="CCCCCC" w:sz="1"/>
              <w:right w:val="single" w:color="CCCCCC" w:sz="1"/>
            </w:tcBorders>
          </w:tcPr>
          <w:p>
            <w:r>
              <w:rPr>
                <w:b/>
                <w:bCs/>
              </w:rPr>
              <w:t xml:space="preserve">[REVIEWER] blanks (Item 13)</w:t>
            </w:r>
          </w:p>
        </w:tc>
        <w:tc>
          <w:tcPr>
            <w:tcW w:type="dxa" w:w="3860"/>
            <w:tcBorders>
              <w:top w:val="single" w:color="CCCCCC" w:sz="1"/>
              <w:left w:val="single" w:color="CCCCCC" w:sz="1"/>
              <w:bottom w:val="single" w:color="CCCCCC" w:sz="1"/>
              <w:right w:val="single" w:color="CCCCCC" w:sz="1"/>
            </w:tcBorders>
          </w:tcPr>
          <w:p>
            <w:pPr>
              <w:jc w:val="center"/>
            </w:pPr>
            <w:r>
              <w:rPr>
                <w:b/>
                <w:bCs/>
                <w:sz w:val="24"/>
                <w:szCs w:val="24"/>
              </w:rPr>
              <w:t xml:space="preserve">1</w:t>
            </w:r>
          </w:p>
        </w:tc>
      </w:tr>
      <w:tr>
        <w:tc>
          <w:tcPr>
            <w:tcW w:type="dxa" w:w="5500"/>
            <w:tcBorders>
              <w:top w:val="single" w:color="CCCCCC" w:sz="1"/>
              <w:left w:val="single" w:color="CCCCCC" w:sz="1"/>
              <w:bottom w:val="single" w:color="CCCCCC" w:sz="1"/>
              <w:right w:val="single" w:color="CCCCCC" w:sz="1"/>
            </w:tcBorders>
          </w:tcPr>
          <w:p>
            <w:r>
              <w:rPr>
                <w:b/>
                <w:bCs/>
              </w:rPr>
              <w:t xml:space="preserve">Confirmed compliant</w:t>
            </w:r>
          </w:p>
        </w:tc>
        <w:tc>
          <w:tcPr>
            <w:tcW w:type="dxa" w:w="3860"/>
            <w:tcBorders>
              <w:top w:val="single" w:color="CCCCCC" w:sz="1"/>
              <w:left w:val="single" w:color="CCCCCC" w:sz="1"/>
              <w:bottom w:val="single" w:color="CCCCCC" w:sz="1"/>
              <w:right w:val="single" w:color="CCCCCC" w:sz="1"/>
            </w:tcBorders>
            <w:shd w:fill="D5F5E3" w:val="clear"/>
          </w:tcPr>
          <w:p>
            <w:pPr>
              <w:jc w:val="center"/>
            </w:pPr>
            <w:r>
              <w:rPr>
                <w:b/>
                <w:bCs/>
                <w:color w:val="1E8449"/>
                <w:sz w:val="24"/>
                <w:szCs w:val="24"/>
              </w:rPr>
              <w:t xml:space="preserve">11</w:t>
            </w:r>
          </w:p>
        </w:tc>
      </w:tr>
      <w:tr>
        <w:tc>
          <w:tcPr>
            <w:tcW w:type="dxa" w:w="5500"/>
            <w:tcBorders>
              <w:top w:val="single" w:color="CCCCCC" w:sz="1"/>
              <w:left w:val="single" w:color="CCCCCC" w:sz="1"/>
              <w:bottom w:val="single" w:color="CCCCCC" w:sz="1"/>
              <w:right w:val="single" w:color="CCCCCC" w:sz="1"/>
            </w:tcBorders>
          </w:tcPr>
          <w:p>
            <w:r>
              <w:rPr>
                <w:b/>
                <w:bCs/>
              </w:rPr>
              <w:t xml:space="preserve">State law preemption triggered</w:t>
            </w:r>
          </w:p>
        </w:tc>
        <w:tc>
          <w:tcPr>
            <w:tcW w:type="dxa" w:w="3860"/>
            <w:tcBorders>
              <w:top w:val="single" w:color="CCCCCC" w:sz="1"/>
              <w:left w:val="single" w:color="CCCCCC" w:sz="1"/>
              <w:bottom w:val="single" w:color="CCCCCC" w:sz="1"/>
              <w:right w:val="single" w:color="CCCCCC" w:sz="1"/>
            </w:tcBorders>
            <w:shd w:fill="D5F5E3" w:val="clear"/>
          </w:tcPr>
          <w:p>
            <w:pPr>
              <w:jc w:val="center"/>
            </w:pPr>
            <w:r>
              <w:rPr>
                <w:b/>
                <w:bCs/>
                <w:color w:val="1E8449"/>
                <w:sz w:val="24"/>
                <w:szCs w:val="24"/>
              </w:rPr>
              <w:t xml:space="preserve">None</w:t>
            </w:r>
          </w:p>
        </w:tc>
      </w:tr>
      <w:tr>
        <w:tc>
          <w:tcPr>
            <w:tcW w:type="dxa" w:w="5500"/>
            <w:tcBorders>
              <w:top w:val="single" w:color="CCCCCC" w:sz="1"/>
              <w:left w:val="single" w:color="CCCCCC" w:sz="1"/>
              <w:bottom w:val="single" w:color="CCCCCC" w:sz="1"/>
              <w:right w:val="single" w:color="CCCCCC" w:sz="1"/>
            </w:tcBorders>
          </w:tcPr>
          <w:p>
            <w:r>
              <w:rPr>
                <w:b/>
                <w:bCs/>
              </w:rPr>
              <w:t xml:space="preserve">HOME Phase II applicable</w:t>
            </w:r>
          </w:p>
        </w:tc>
        <w:tc>
          <w:tcPr>
            <w:tcW w:type="dxa" w:w="3860"/>
            <w:tcBorders>
              <w:top w:val="single" w:color="CCCCCC" w:sz="1"/>
              <w:left w:val="single" w:color="CCCCCC" w:sz="1"/>
              <w:bottom w:val="single" w:color="CCCCCC" w:sz="1"/>
              <w:right w:val="single" w:color="CCCCCC" w:sz="1"/>
            </w:tcBorders>
            <w:shd w:fill="D5F5E3" w:val="clear"/>
          </w:tcPr>
          <w:p>
            <w:pPr>
              <w:jc w:val="center"/>
            </w:pPr>
            <w:r>
              <w:rPr>
                <w:b/>
                <w:bCs/>
                <w:color w:val="1E8449"/>
                <w:sz w:val="24"/>
                <w:szCs w:val="24"/>
              </w:rPr>
              <w:t xml:space="preserve">No (lot ≥ 5,750 sq ft)</w:t>
            </w:r>
          </w:p>
        </w:tc>
      </w:tr>
    </w:tbl>
    <w:p>
      <w:pPr>
        <w:spacing w:after="60" w:before="240"/>
      </w:pPr>
      <w:r>
        <w:rPr>
          <w:b/>
          <w:bCs/>
        </w:rPr>
        <w:t xml:space="preserve">Priority before resubmittal: </w:t>
      </w:r>
    </w:p>
    <w:p>
      <w:pPr>
        <w:pStyle w:val="ListParagraph"/>
        <w:numPr>
          <w:ilvl w:val="0"/>
          <w:numId w:val="2"/>
        </w:numPr>
      </w:pPr>
      <w:r>
        <w:t xml:space="preserve">Item 1 — Resolve lot area discrepancy (controls all FAR limits)</w:t>
      </w:r>
    </w:p>
    <w:p>
      <w:pPr>
        <w:pStyle w:val="ListParagraph"/>
        <w:numPr>
          <w:ilvl w:val="0"/>
          <w:numId w:val="2"/>
        </w:numPr>
      </w:pPr>
      <w:r>
        <w:t xml:space="preserve">Items 3 &amp; 4 — Submit ADU GFA calculation and combined site GFA summary</w:t>
      </w:r>
    </w:p>
    <w:p>
      <w:pPr>
        <w:pStyle w:val="ListParagraph"/>
        <w:numPr>
          <w:ilvl w:val="0"/>
          <w:numId w:val="2"/>
        </w:numPr>
      </w:pPr>
      <w:r>
        <w:t xml:space="preserve">Item 5 — Add street-facing entry to ADU north elevation</w:t>
      </w:r>
    </w:p>
    <w:p>
      <w:pPr>
        <w:pStyle w:val="ListParagraph"/>
        <w:numPr>
          <w:ilvl w:val="0"/>
          <w:numId w:val="2"/>
        </w:numPr>
        <w:spacing w:after="200"/>
      </w:pPr>
      <w:r>
        <w:t xml:space="preserve">Item 2 — Update all title blocks and application to Two-Unit Residential use type</w:t>
      </w:r>
    </w:p>
    <w:p>
      <w:pPr>
        <w:spacing w:after="80" w:before="240"/>
      </w:pPr>
      <w:r>
        <w:rPr>
          <w:i/>
          <w:iCs/>
          <w:color w:val="555555"/>
        </w:rPr>
        <w:t xml:space="preserve">This letter was generated as a draft plan check review using the Austin HOME Phase I (Ord. 20231207-001) and applicable LDC/IRC standards. All findings are subject to final determination by a licensed City of Austin plan reviewer.</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spacing w:before="80"/>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r>
      <w:rPr>
        <w:color w:val="AAAAAA"/>
        <w:sz w:val="16"/>
        <w:szCs w:val="16"/>
      </w:rPr>
      <w:t xml:space="preserve">   |   2406 Euclid Avenue, Austin TX — HOME Phase I Plan Check — 2026-03-01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300"/>
      <w:gridCol w:w="3060"/>
    </w:tblGrid>
    <w:tr>
      <w:tc>
        <w:tcPr>
          <w:tcW w:type="dxa" w:w="6300"/>
          <w:tcBorders>
            <w:top w:val="none" w:color="FFFFFF" w:sz="0"/>
            <w:left w:val="none" w:color="FFFFFF" w:sz="0"/>
            <w:bottom w:val="none" w:color="FFFFFF" w:sz="0"/>
            <w:right w:val="none" w:color="FFFFFF" w:sz="0"/>
          </w:tcBorders>
        </w:tcPr>
        <w:p>
          <w:r>
            <w:rPr>
              <w:b/>
              <w:bCs/>
              <w:color w:val="1A3A5C"/>
              <w:sz w:val="20"/>
              <w:szCs w:val="20"/>
            </w:rPr>
            <w:t xml:space="preserve">City of Austin — Development Services Department</w:t>
          </w:r>
        </w:p>
        <w:p>
          <w:r>
            <w:rPr>
              <w:color w:val="666666"/>
              <w:sz w:val="18"/>
              <w:szCs w:val="18"/>
            </w:rPr>
            <w:t xml:space="preserve">Residential Plan Check</w:t>
          </w:r>
        </w:p>
      </w:tc>
      <w:tc>
        <w:tcPr>
          <w:tcW w:type="dxa" w:w="3060"/>
          <w:tcBorders>
            <w:top w:val="none" w:color="FFFFFF" w:sz="0"/>
            <w:left w:val="none" w:color="FFFFFF" w:sz="0"/>
            <w:bottom w:val="none" w:color="FFFFFF" w:sz="0"/>
            <w:right w:val="none" w:color="FFFFFF" w:sz="0"/>
          </w:tcBorders>
          <w:vAlign w:val="center"/>
        </w:tcPr>
        <w:p>
          <w:pPr>
            <w:jc w:val="right"/>
          </w:pPr>
          <w:r>
            <w:rPr>
              <w:b/>
              <w:bCs/>
              <w:color w:val="C0392B"/>
              <w:sz w:val="18"/>
              <w:szCs w:val="18"/>
            </w:rPr>
            <w:t xml:space="preserve">DRAFT CORRECTIONS LETTER</w:t>
          </w:r>
        </w:p>
      </w:tc>
    </w:tr>
  </w:tbl>
  <w:p>
    <w:pPr>
      <w:pBdr>
        <w:bottom w:val="single" w:color="1A3A5C" w:sz="2"/>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CCCC" w:sz="1" w:space="4"/>
      </w:pBdr>
      <w:spacing w:after="160" w:before="32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2026-03-02T04:02:50.361Z</dcterms:created>
  <dcterms:modified xsi:type="dcterms:W3CDTF">2026-03-02T04:02:50.362Z</dcterms:modified>
</cp:coreProperties>
</file>

<file path=docProps/custom.xml><?xml version="1.0" encoding="utf-8"?>
<Properties xmlns="http://schemas.openxmlformats.org/officeDocument/2006/custom-properties" xmlns:vt="http://schemas.openxmlformats.org/officeDocument/2006/docPropsVTypes"/>
</file>