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pPr>
      <w:r>
        <w:rPr>
          <w:b/>
          <w:bCs/>
          <w:color w:val="1A3A5C"/>
          <w:sz w:val="40"/>
          <w:szCs w:val="40"/>
        </w:rPr>
        <w:t xml:space="preserve">Technical Review Package</w:t>
      </w:r>
    </w:p>
    <w:p>
      <w:pPr>
        <w:spacing w:after="280"/>
      </w:pPr>
      <w:r>
        <w:rPr>
          <w:color w:val="555555"/>
          <w:sz w:val="22"/>
          <w:szCs w:val="22"/>
        </w:rPr>
        <w:t xml:space="preserve">Austin Residential Plan Check  ·  HOME Phase I  ·  2406 Euclid Avenue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7680"/>
      </w:tblGrid>
      <w:tr>
        <w:tc>
          <w:tcPr>
            <w:tcW w:type="dxa" w:w="2400"/>
            <w:tcBorders>
              <w:top w:val="none" w:color="FFFFFF" w:sz="0"/>
              <w:left w:val="none" w:color="FFFFFF" w:sz="0"/>
              <w:bottom w:val="none" w:color="FFFFFF" w:sz="0"/>
              <w:right w:val="none" w:color="FFFFFF" w:sz="0"/>
            </w:tcBorders>
          </w:tcPr>
          <w:p>
            <w:pPr>
              <w:spacing w:after="40" w:before="40"/>
            </w:pPr>
            <w:r>
              <w:rPr>
                <w:b/>
                <w:bCs/>
              </w:rPr>
              <w:t xml:space="preserve">Project</w:t>
            </w:r>
          </w:p>
        </w:tc>
        <w:tc>
          <w:tcPr>
            <w:tcW w:type="dxa" w:w="7680"/>
            <w:tcBorders>
              <w:top w:val="none" w:color="FFFFFF" w:sz="0"/>
              <w:left w:val="none" w:color="FFFFFF" w:sz="0"/>
              <w:bottom w:val="none" w:color="FFFFFF" w:sz="0"/>
              <w:right w:val="none" w:color="FFFFFF" w:sz="0"/>
            </w:tcBorders>
          </w:tcPr>
          <w:p>
            <w:pPr>
              <w:spacing w:after="40" w:before="40"/>
            </w:pPr>
            <w:r>
              <w:t xml:space="preserve">2406 Euclid Avenue, Austin TX 78722</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Review Date</w:t>
            </w:r>
          </w:p>
        </w:tc>
        <w:tc>
          <w:tcPr>
            <w:tcW w:type="dxa" w:w="7680"/>
            <w:tcBorders>
              <w:top w:val="none" w:color="FFFFFF" w:sz="0"/>
              <w:left w:val="none" w:color="FFFFFF" w:sz="0"/>
              <w:bottom w:val="none" w:color="FFFFFF" w:sz="0"/>
              <w:right w:val="none" w:color="FFFFFF" w:sz="0"/>
            </w:tcBorders>
          </w:tcPr>
          <w:p>
            <w:pPr>
              <w:spacing w:after="40" w:before="40"/>
            </w:pPr>
            <w:r>
              <w:t xml:space="preserve">2026-03-01</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Governing Phase</w:t>
            </w:r>
          </w:p>
        </w:tc>
        <w:tc>
          <w:tcPr>
            <w:tcW w:type="dxa" w:w="7680"/>
            <w:tcBorders>
              <w:top w:val="none" w:color="FFFFFF" w:sz="0"/>
              <w:left w:val="none" w:color="FFFFFF" w:sz="0"/>
              <w:bottom w:val="none" w:color="FFFFFF" w:sz="0"/>
              <w:right w:val="none" w:color="FFFFFF" w:sz="0"/>
            </w:tcBorders>
          </w:tcPr>
          <w:p>
            <w:pPr>
              <w:spacing w:after="40" w:before="40"/>
            </w:pPr>
            <w:r>
              <w:t xml:space="preserve">PHASE_I — HOME Phase I, Ord. 20231207-001</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Use Type</w:t>
            </w:r>
          </w:p>
        </w:tc>
        <w:tc>
          <w:tcPr>
            <w:tcW w:type="dxa" w:w="7680"/>
            <w:tcBorders>
              <w:top w:val="none" w:color="FFFFFF" w:sz="0"/>
              <w:left w:val="none" w:color="FFFFFF" w:sz="0"/>
              <w:bottom w:val="none" w:color="FFFFFF" w:sz="0"/>
              <w:right w:val="none" w:color="FFFFFF" w:sz="0"/>
            </w:tcBorders>
          </w:tcPr>
          <w:p>
            <w:pPr>
              <w:spacing w:after="40" w:before="40"/>
            </w:pPr>
            <w:r>
              <w:t xml:space="preserve">TWO UNIT RESIDENTIAL</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Sheets Reviewed</w:t>
            </w:r>
          </w:p>
        </w:tc>
        <w:tc>
          <w:tcPr>
            <w:tcW w:type="dxa" w:w="7680"/>
            <w:tcBorders>
              <w:top w:val="none" w:color="FFFFFF" w:sz="0"/>
              <w:left w:val="none" w:color="FFFFFF" w:sz="0"/>
              <w:bottom w:val="none" w:color="FFFFFF" w:sz="0"/>
              <w:right w:val="none" w:color="FFFFFF" w:sz="0"/>
            </w:tcBorders>
          </w:tcPr>
          <w:p>
            <w:pPr>
              <w:spacing w:after="40" w:before="40"/>
            </w:pPr>
            <w:r>
              <w:t xml:space="preserve">32</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State Preemption</w:t>
            </w:r>
          </w:p>
        </w:tc>
        <w:tc>
          <w:tcPr>
            <w:tcW w:type="dxa" w:w="7680"/>
            <w:tcBorders>
              <w:top w:val="none" w:color="FFFFFF" w:sz="0"/>
              <w:left w:val="none" w:color="FFFFFF" w:sz="0"/>
              <w:bottom w:val="none" w:color="FFFFFF" w:sz="0"/>
              <w:right w:val="none" w:color="FFFFFF" w:sz="0"/>
            </w:tcBorders>
          </w:tcPr>
          <w:p>
            <w:pPr>
              <w:spacing w:after="40" w:before="40"/>
            </w:pPr>
            <w:r>
              <w:t xml:space="preserve">None triggered</w:t>
            </w:r>
          </w:p>
        </w:tc>
      </w:tr>
    </w:tbl>
    <w:p>
      <w:pPr>
        <w:spacing w:after="120"/>
      </w:pPr>
    </w:p>
    <w:p>
      <w:pPr>
        <w:pStyle w:val="Heading2"/>
      </w:pPr>
      <w:r>
        <w:t xml:space="preserve">Key Issues</w:t>
      </w:r>
    </w:p>
    <w:p>
      <w:pPr>
        <w:pStyle w:val="ListParagraph"/>
        <w:numPr>
          <w:ilvl w:val="0"/>
          <w:numId w:val="2"/>
        </w:numPr>
        <w:spacing w:after="60"/>
      </w:pPr>
      <w:r>
        <w:t xml:space="preserve">Lot area inconsistency (7,330 vs 7,730 sq ft) — affects all FAR calculations</w:t>
      </w:r>
    </w:p>
    <w:p>
      <w:pPr>
        <w:pStyle w:val="ListParagraph"/>
        <w:numPr>
          <w:ilvl w:val="0"/>
          <w:numId w:val="2"/>
        </w:numPr>
        <w:spacing w:after="60"/>
      </w:pPr>
      <w:r>
        <w:t xml:space="preserve">ADU GFA not submitted — cannot confirm per-unit or site FAR compliance</w:t>
      </w:r>
    </w:p>
    <w:p>
      <w:pPr>
        <w:pStyle w:val="ListParagraph"/>
        <w:numPr>
          <w:ilvl w:val="0"/>
          <w:numId w:val="2"/>
        </w:numPr>
        <w:spacing w:after="60"/>
      </w:pPr>
      <w:r>
        <w:t xml:space="preserve">ADU lacks street-facing entrance toward Euclid Ave</w:t>
      </w:r>
    </w:p>
    <w:p>
      <w:pPr>
        <w:pStyle w:val="ListParagraph"/>
        <w:numPr>
          <w:ilvl w:val="0"/>
          <w:numId w:val="2"/>
        </w:numPr>
        <w:spacing w:after="60"/>
      </w:pPr>
      <w:r>
        <w:t xml:space="preserve">Use type must be formally designated as Two-Unit Residential (§25-2-901 repealed)</w:t>
      </w:r>
    </w:p>
    <w:p>
      <w:pPr>
        <w:spacing w:after="120"/>
      </w:pPr>
    </w:p>
    <w:p>
      <w:pPr>
        <w:pStyle w:val="Heading2"/>
      </w:pPr>
      <w:r>
        <w:t xml:space="preserve">At a Glance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160"/>
        <w:gridCol w:w="2160"/>
        <w:gridCol w:w="2160"/>
        <w:gridCol w:w="2160"/>
        <w:gridCol w:w="1440"/>
      </w:tblGrid>
      <w:tr>
        <w:tc>
          <w:tcPr>
            <w:tcW w:type="dxa" w:w="2160"/>
            <w:tcBorders>
              <w:top w:val="single" w:color="888888" w:sz="1"/>
              <w:left w:val="single" w:color="888888" w:sz="1"/>
              <w:bottom w:val="single" w:color="888888" w:sz="1"/>
              <w:right w:val="single" w:color="888888" w:sz="1"/>
            </w:tcBorders>
            <w:shd w:fill="1E8449" w:val="clear"/>
            <w:vAlign w:val="center"/>
          </w:tcPr>
          <w:p>
            <w:pPr>
              <w:spacing w:after="60" w:before="60"/>
            </w:pPr>
            <w:r>
              <w:rPr>
                <w:b/>
                <w:bCs/>
                <w:color w:val="FFFFFF"/>
                <w:sz w:val="19"/>
                <w:szCs w:val="19"/>
              </w:rPr>
              <w:t xml:space="preserve">PASS</w:t>
            </w:r>
          </w:p>
        </w:tc>
        <w:tc>
          <w:tcPr>
            <w:tcW w:type="dxa" w:w="2160"/>
            <w:tcBorders>
              <w:top w:val="single" w:color="888888" w:sz="1"/>
              <w:left w:val="single" w:color="888888" w:sz="1"/>
              <w:bottom w:val="single" w:color="888888" w:sz="1"/>
              <w:right w:val="single" w:color="888888" w:sz="1"/>
            </w:tcBorders>
            <w:shd w:fill="C0392B" w:val="clear"/>
            <w:vAlign w:val="center"/>
          </w:tcPr>
          <w:p>
            <w:pPr>
              <w:spacing w:after="60" w:before="60"/>
            </w:pPr>
            <w:r>
              <w:rPr>
                <w:b/>
                <w:bCs/>
                <w:color w:val="FFFFFF"/>
                <w:sz w:val="19"/>
                <w:szCs w:val="19"/>
              </w:rPr>
              <w:t xml:space="preserve">FAIL</w:t>
            </w:r>
          </w:p>
        </w:tc>
        <w:tc>
          <w:tcPr>
            <w:tcW w:type="dxa" w:w="2160"/>
            <w:tcBorders>
              <w:top w:val="single" w:color="888888" w:sz="1"/>
              <w:left w:val="single" w:color="888888" w:sz="1"/>
              <w:bottom w:val="single" w:color="888888" w:sz="1"/>
              <w:right w:val="single" w:color="888888" w:sz="1"/>
            </w:tcBorders>
            <w:shd w:fill="9A7D0A" w:val="clear"/>
            <w:vAlign w:val="center"/>
          </w:tcPr>
          <w:p>
            <w:pPr>
              <w:spacing w:after="60" w:before="60"/>
            </w:pPr>
            <w:r>
              <w:rPr>
                <w:b/>
                <w:bCs/>
                <w:color w:val="FFFFFF"/>
                <w:sz w:val="19"/>
                <w:szCs w:val="19"/>
              </w:rPr>
              <w:t xml:space="preserve">UNCLEAR</w:t>
            </w:r>
          </w:p>
        </w:tc>
        <w:tc>
          <w:tcPr>
            <w:tcW w:type="dxa" w:w="216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Corrections</w:t>
            </w:r>
          </w:p>
        </w:tc>
        <w:tc>
          <w:tcPr>
            <w:tcW w:type="dxa" w:w="1440"/>
            <w:tcBorders>
              <w:top w:val="single" w:color="888888" w:sz="1"/>
              <w:left w:val="single" w:color="888888" w:sz="1"/>
              <w:bottom w:val="single" w:color="888888" w:sz="1"/>
              <w:right w:val="single" w:color="888888" w:sz="1"/>
            </w:tcBorders>
            <w:shd w:fill="884EA0" w:val="clear"/>
            <w:vAlign w:val="center"/>
          </w:tcPr>
          <w:p>
            <w:pPr>
              <w:spacing w:after="60" w:before="60"/>
            </w:pPr>
            <w:r>
              <w:rPr>
                <w:b/>
                <w:bCs/>
                <w:color w:val="FFFFFF"/>
                <w:sz w:val="19"/>
                <w:szCs w:val="19"/>
              </w:rPr>
              <w:t xml:space="preserve">[VERIFY]</w:t>
            </w:r>
          </w:p>
        </w:tc>
      </w:tr>
      <w:tr>
        <w:tc>
          <w:tcPr>
            <w:tcW w:type="dxa" w:w="2160"/>
            <w:tcBorders>
              <w:top w:val="single" w:color="CCCCCC" w:sz="1"/>
              <w:left w:val="single" w:color="CCCCCC" w:sz="1"/>
              <w:bottom w:val="single" w:color="CCCCCC" w:sz="1"/>
              <w:right w:val="single" w:color="CCCCCC" w:sz="1"/>
            </w:tcBorders>
            <w:shd w:fill="D5F5E3" w:val="clear"/>
          </w:tcPr>
          <w:p>
            <w:pPr>
              <w:spacing w:after="80"/>
              <w:jc w:val="center"/>
            </w:pPr>
            <w:r>
              <w:rPr>
                <w:b/>
                <w:bCs/>
                <w:color w:val="1E8449"/>
                <w:sz w:val="36"/>
                <w:szCs w:val="36"/>
              </w:rPr>
              <w:t xml:space="preserve">11</w:t>
            </w:r>
          </w:p>
        </w:tc>
        <w:tc>
          <w:tcPr>
            <w:tcW w:type="dxa" w:w="2160"/>
            <w:tcBorders>
              <w:top w:val="single" w:color="CCCCCC" w:sz="1"/>
              <w:left w:val="single" w:color="CCCCCC" w:sz="1"/>
              <w:bottom w:val="single" w:color="CCCCCC" w:sz="1"/>
              <w:right w:val="single" w:color="CCCCCC" w:sz="1"/>
            </w:tcBorders>
            <w:shd w:fill="FDEDEC" w:val="clear"/>
          </w:tcPr>
          <w:p>
            <w:pPr>
              <w:spacing w:after="80"/>
              <w:jc w:val="center"/>
            </w:pPr>
            <w:r>
              <w:rPr>
                <w:b/>
                <w:bCs/>
                <w:color w:val="C0392B"/>
                <w:sz w:val="36"/>
                <w:szCs w:val="36"/>
              </w:rPr>
              <w:t xml:space="preserve">5</w:t>
            </w:r>
          </w:p>
        </w:tc>
        <w:tc>
          <w:tcPr>
            <w:tcW w:type="dxa" w:w="2160"/>
            <w:tcBorders>
              <w:top w:val="single" w:color="CCCCCC" w:sz="1"/>
              <w:left w:val="single" w:color="CCCCCC" w:sz="1"/>
              <w:bottom w:val="single" w:color="CCCCCC" w:sz="1"/>
              <w:right w:val="single" w:color="CCCCCC" w:sz="1"/>
            </w:tcBorders>
            <w:shd w:fill="FEF9E7" w:val="clear"/>
          </w:tcPr>
          <w:p>
            <w:pPr>
              <w:spacing w:after="80"/>
              <w:jc w:val="center"/>
            </w:pPr>
            <w:r>
              <w:rPr>
                <w:b/>
                <w:bCs/>
                <w:color w:val="B7770D"/>
                <w:sz w:val="36"/>
                <w:szCs w:val="36"/>
              </w:rPr>
              <w:t xml:space="preserve">8</w:t>
            </w:r>
          </w:p>
        </w:tc>
        <w:tc>
          <w:tcPr>
            <w:tcW w:type="dxa" w:w="2160"/>
            <w:tcBorders>
              <w:top w:val="single" w:color="CCCCCC" w:sz="1"/>
              <w:left w:val="single" w:color="CCCCCC" w:sz="1"/>
              <w:bottom w:val="single" w:color="CCCCCC" w:sz="1"/>
              <w:right w:val="single" w:color="CCCCCC" w:sz="1"/>
            </w:tcBorders>
          </w:tcPr>
          <w:p>
            <w:pPr>
              <w:spacing w:after="80"/>
              <w:jc w:val="center"/>
            </w:pPr>
            <w:r>
              <w:rPr>
                <w:b/>
                <w:bCs/>
                <w:sz w:val="36"/>
                <w:szCs w:val="36"/>
              </w:rPr>
              <w:t xml:space="preserve">5</w:t>
            </w:r>
          </w:p>
        </w:tc>
        <w:tc>
          <w:tcPr>
            <w:tcW w:type="dxa" w:w="1440"/>
            <w:tcBorders>
              <w:top w:val="single" w:color="CCCCCC" w:sz="1"/>
              <w:left w:val="single" w:color="CCCCCC" w:sz="1"/>
              <w:bottom w:val="single" w:color="CCCCCC" w:sz="1"/>
              <w:right w:val="single" w:color="CCCCCC" w:sz="1"/>
            </w:tcBorders>
            <w:shd w:fill="F4ECF7" w:val="clear"/>
          </w:tcPr>
          <w:p>
            <w:pPr>
              <w:spacing w:after="80"/>
              <w:jc w:val="center"/>
            </w:pPr>
            <w:r>
              <w:rPr>
                <w:b/>
                <w:bCs/>
                <w:color w:val="884EA0"/>
                <w:sz w:val="36"/>
                <w:szCs w:val="36"/>
              </w:rPr>
              <w:t xml:space="preserve">7</w:t>
            </w:r>
          </w:p>
        </w:tc>
      </w:tr>
    </w:tbl>
    <w:p>
      <w:pPr>
        <w:spacing w:after="120"/>
      </w:pPr>
    </w:p>
    <w:p>
      <w:pPr>
        <w:pStyle w:val="Heading2"/>
      </w:pPr>
      <w:r>
        <w:t xml:space="preserve">Findings by Code Basis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600"/>
        <w:gridCol w:w="3600"/>
        <w:gridCol w:w="2880"/>
      </w:tblGrid>
      <w:tr>
        <w:tc>
          <w:tcPr>
            <w:tcW w:type="dxa" w:w="36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Code Basis</w:t>
            </w:r>
          </w:p>
        </w:tc>
        <w:tc>
          <w:tcPr>
            <w:tcW w:type="dxa" w:w="36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Findings</w:t>
            </w:r>
          </w:p>
        </w:tc>
        <w:tc>
          <w:tcPr>
            <w:tcW w:type="dxa" w:w="28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Confidence Breakdown</w:t>
            </w:r>
          </w:p>
        </w:tc>
      </w:tr>
      <w:tr>
        <w:tc>
          <w:tcPr>
            <w:tcW w:type="dxa" w:w="3600"/>
            <w:tcBorders>
              <w:top w:val="single" w:color="CCCCCC" w:sz="1"/>
              <w:left w:val="single" w:color="CCCCCC" w:sz="1"/>
              <w:bottom w:val="single" w:color="CCCCCC" w:sz="1"/>
              <w:right w:val="single" w:color="CCCCCC" w:sz="1"/>
            </w:tcBorders>
          </w:tcPr>
          <w:p>
            <w:pPr>
              <w:spacing w:after="80"/>
            </w:pPr>
            <w:r>
              <w:rPr>
                <w:b/>
                <w:bCs/>
              </w:rPr>
              <w:t xml:space="preserve">HOME Phase I: </w:t>
            </w:r>
            <w:r>
              <w:t xml:space="preserve">9</w:t>
            </w:r>
          </w:p>
          <w:p>
            <w:pPr>
              <w:spacing w:after="80"/>
            </w:pPr>
            <w:r>
              <w:rPr>
                <w:b/>
                <w:bCs/>
              </w:rPr>
              <w:t xml:space="preserve">Subchapter F: </w:t>
            </w:r>
            <w:r>
              <w:t xml:space="preserve">2</w:t>
            </w:r>
          </w:p>
          <w:p>
            <w:pPr>
              <w:spacing w:after="80"/>
            </w:pPr>
            <w:r>
              <w:rPr>
                <w:b/>
                <w:bCs/>
              </w:rPr>
              <w:t xml:space="preserve">LDC Base District: </w:t>
            </w:r>
            <w:r>
              <w:t xml:space="preserve">2</w:t>
            </w:r>
          </w:p>
          <w:p>
            <w:pPr>
              <w:spacing w:after="80"/>
            </w:pPr>
            <w:r>
              <w:rPr>
                <w:b/>
                <w:bCs/>
              </w:rPr>
              <w:t xml:space="preserve">IRC 2021: </w:t>
            </w:r>
            <w:r>
              <w:t xml:space="preserve">2</w:t>
            </w:r>
          </w:p>
          <w:p>
            <w:pPr>
              <w:spacing w:after="80"/>
            </w:pPr>
            <w:r>
              <w:rPr>
                <w:b/>
                <w:bCs/>
              </w:rPr>
              <w:t xml:space="preserve">IBC 2021: </w:t>
            </w:r>
            <w:r>
              <w:t xml:space="preserve">1</w:t>
            </w:r>
          </w:p>
          <w:p>
            <w:pPr>
              <w:spacing w:after="80"/>
            </w:pPr>
            <w:r>
              <w:rPr>
                <w:b/>
                <w:bCs/>
              </w:rPr>
              <w:t xml:space="preserve">TX State: </w:t>
            </w:r>
            <w:r>
              <w:t xml:space="preserve">1</w:t>
            </w:r>
          </w:p>
        </w:tc>
        <w:tc>
          <w:tcPr>
            <w:tcW w:type="dxa" w:w="3600"/>
            <w:tcBorders>
              <w:top w:val="single" w:color="CCCCCC" w:sz="1"/>
              <w:left w:val="single" w:color="CCCCCC" w:sz="1"/>
              <w:bottom w:val="single" w:color="CCCCCC" w:sz="1"/>
              <w:right w:val="single" w:color="CCCCCC" w:sz="1"/>
            </w:tcBorders>
          </w:tcPr>
          <w:p>
            <w:pPr>
              <w:spacing w:after="80"/>
            </w:pPr>
            <w:r>
              <w:rPr>
                <w:b/>
                <w:bCs/>
              </w:rPr>
              <w:t xml:space="preserve">Total: </w:t>
            </w:r>
            <w:r>
              <w:t xml:space="preserve">23</w:t>
            </w:r>
          </w:p>
          <w:p>
            <w:pPr>
              <w:spacing w:after="80"/>
            </w:pPr>
            <w:r>
              <w:rPr>
                <w:color w:val="1E8449"/>
              </w:rPr>
              <w:t xml:space="preserve">Pass: 11</w:t>
            </w:r>
          </w:p>
          <w:p>
            <w:pPr>
              <w:spacing w:after="80"/>
            </w:pPr>
            <w:r>
              <w:rPr>
                <w:color w:val="C0392B"/>
              </w:rPr>
              <w:t xml:space="preserve">Fail: 5</w:t>
            </w:r>
          </w:p>
          <w:p>
            <w:pPr>
              <w:spacing w:after="80"/>
            </w:pPr>
            <w:r>
              <w:rPr>
                <w:color w:val="B7770D"/>
              </w:rPr>
              <w:t xml:space="preserve">Unclear: 8</w:t>
            </w:r>
          </w:p>
        </w:tc>
        <w:tc>
          <w:tcPr>
            <w:tcW w:type="dxa" w:w="2880"/>
            <w:tcBorders>
              <w:top w:val="single" w:color="CCCCCC" w:sz="1"/>
              <w:left w:val="single" w:color="CCCCCC" w:sz="1"/>
              <w:bottom w:val="single" w:color="CCCCCC" w:sz="1"/>
              <w:right w:val="single" w:color="CCCCCC" w:sz="1"/>
            </w:tcBorders>
          </w:tcPr>
          <w:p>
            <w:pPr>
              <w:spacing w:after="80"/>
            </w:pPr>
            <w:r>
              <w:rPr>
                <w:b/>
                <w:bCs/>
              </w:rPr>
              <w:t xml:space="preserve">HIGH: </w:t>
            </w:r>
            <w:r>
              <w:t xml:space="preserve">7</w:t>
            </w:r>
          </w:p>
          <w:p>
            <w:pPr>
              <w:spacing w:after="80"/>
            </w:pPr>
            <w:r>
              <w:rPr>
                <w:b/>
                <w:bCs/>
              </w:rPr>
              <w:t xml:space="preserve">MEDIUM: </w:t>
            </w:r>
            <w:r>
              <w:t xml:space="preserve">11</w:t>
            </w:r>
          </w:p>
          <w:p>
            <w:pPr>
              <w:spacing w:after="80"/>
            </w:pPr>
            <w:r>
              <w:rPr>
                <w:b/>
                <w:bCs/>
              </w:rPr>
              <w:t xml:space="preserve">LOW: </w:t>
            </w:r>
            <w:r>
              <w:t xml:space="preserve">5</w:t>
            </w:r>
          </w:p>
        </w:tc>
      </w:tr>
    </w:tbl>
    <w:p>
      <w:pPr>
        <w:pStyle w:val="Heading1"/>
        <w:pageBreakBefore/>
      </w:pPr>
      <w:r>
        <w:t xml:space="preserve">Lot Classification</w:t>
      </w:r>
    </w:p>
    <w:p>
      <w:pPr>
        <w:spacing w:after="120"/>
      </w:pPr>
      <w:r>
        <w:rPr>
          <w:i/>
          <w:iCs/>
          <w:color w:val="555555"/>
        </w:rPr>
        <w:t xml:space="preserve">Source: lot_classification.json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7680"/>
      </w:tblGrid>
      <w:tr>
        <w:tc>
          <w:tcPr>
            <w:tcW w:type="dxa" w:w="2400"/>
            <w:tcBorders>
              <w:top w:val="none" w:color="FFFFFF" w:sz="0"/>
              <w:left w:val="none" w:color="FFFFFF" w:sz="0"/>
              <w:bottom w:val="none" w:color="FFFFFF" w:sz="0"/>
              <w:right w:val="none" w:color="FFFFFF" w:sz="0"/>
            </w:tcBorders>
          </w:tcPr>
          <w:p>
            <w:pPr>
              <w:spacing w:after="40" w:before="40"/>
            </w:pPr>
            <w:r>
              <w:rPr>
                <w:b/>
                <w:bCs/>
              </w:rPr>
              <w:t xml:space="preserve">Lot Area (permit app)</w:t>
            </w:r>
          </w:p>
        </w:tc>
        <w:tc>
          <w:tcPr>
            <w:tcW w:type="dxa" w:w="7680"/>
            <w:tcBorders>
              <w:top w:val="none" w:color="FFFFFF" w:sz="0"/>
              <w:left w:val="none" w:color="FFFFFF" w:sz="0"/>
              <w:bottom w:val="none" w:color="FFFFFF" w:sz="0"/>
              <w:right w:val="none" w:color="FFFFFF" w:sz="0"/>
            </w:tcBorders>
          </w:tcPr>
          <w:p>
            <w:pPr>
              <w:spacing w:after="40" w:before="40"/>
            </w:pPr>
            <w:r>
              <w:t xml:space="preserve">7330 sq ft</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Lot Area (site table)</w:t>
            </w:r>
          </w:p>
        </w:tc>
        <w:tc>
          <w:tcPr>
            <w:tcW w:type="dxa" w:w="7680"/>
            <w:tcBorders>
              <w:top w:val="none" w:color="FFFFFF" w:sz="0"/>
              <w:left w:val="none" w:color="FFFFFF" w:sz="0"/>
              <w:bottom w:val="none" w:color="FFFFFF" w:sz="0"/>
              <w:right w:val="none" w:color="FFFFFF" w:sz="0"/>
            </w:tcBorders>
          </w:tcPr>
          <w:p>
            <w:pPr>
              <w:spacing w:after="40" w:before="40"/>
            </w:pPr>
            <w:r>
              <w:t xml:space="preserve">7730 sq ft  ⚠ DISCREPANCY</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Lot Area Used</w:t>
            </w:r>
          </w:p>
        </w:tc>
        <w:tc>
          <w:tcPr>
            <w:tcW w:type="dxa" w:w="7680"/>
            <w:tcBorders>
              <w:top w:val="none" w:color="FFFFFF" w:sz="0"/>
              <w:left w:val="none" w:color="FFFFFF" w:sz="0"/>
              <w:bottom w:val="none" w:color="FFFFFF" w:sz="0"/>
              <w:right w:val="none" w:color="FFFFFF" w:sz="0"/>
            </w:tcBorders>
          </w:tcPr>
          <w:p>
            <w:pPr>
              <w:spacing w:after="40" w:before="40"/>
            </w:pPr>
            <w:r>
              <w:t xml:space="preserve">7330 sq ft (lower value, conservative)</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Lot Width (est.)</w:t>
            </w:r>
          </w:p>
        </w:tc>
        <w:tc>
          <w:tcPr>
            <w:tcW w:type="dxa" w:w="7680"/>
            <w:tcBorders>
              <w:top w:val="none" w:color="FFFFFF" w:sz="0"/>
              <w:left w:val="none" w:color="FFFFFF" w:sz="0"/>
              <w:bottom w:val="none" w:color="FFFFFF" w:sz="0"/>
              <w:right w:val="none" w:color="FFFFFF" w:sz="0"/>
            </w:tcBorders>
          </w:tcPr>
          <w:p>
            <w:pPr>
              <w:spacing w:after="40" w:before="40"/>
            </w:pPr>
            <w:r>
              <w:t xml:space="preserve">~55 ft (approximate, from site plan visual read — exact dimension not confirmed)</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Flag Lot</w:t>
            </w:r>
          </w:p>
        </w:tc>
        <w:tc>
          <w:tcPr>
            <w:tcW w:type="dxa" w:w="7680"/>
            <w:tcBorders>
              <w:top w:val="none" w:color="FFFFFF" w:sz="0"/>
              <w:left w:val="none" w:color="FFFFFF" w:sz="0"/>
              <w:bottom w:val="none" w:color="FFFFFF" w:sz="0"/>
              <w:right w:val="none" w:color="FFFFFF" w:sz="0"/>
            </w:tcBorders>
          </w:tcPr>
          <w:p>
            <w:pPr>
              <w:spacing w:after="40" w:before="40"/>
            </w:pPr>
            <w:r>
              <w:t xml:space="preserve">false</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Zoning</w:t>
            </w:r>
          </w:p>
        </w:tc>
        <w:tc>
          <w:tcPr>
            <w:tcW w:type="dxa" w:w="7680"/>
            <w:tcBorders>
              <w:top w:val="none" w:color="FFFFFF" w:sz="0"/>
              <w:left w:val="none" w:color="FFFFFF" w:sz="0"/>
              <w:bottom w:val="none" w:color="FFFFFF" w:sz="0"/>
              <w:right w:val="none" w:color="FFFFFF" w:sz="0"/>
            </w:tcBorders>
          </w:tcPr>
          <w:p>
            <w:pPr>
              <w:spacing w:after="40" w:before="40"/>
            </w:pPr>
            <w:r>
              <w:t xml:space="preserve">SF-3-NP — Dawson Neighborhood Plan</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Units Proposed</w:t>
            </w:r>
          </w:p>
        </w:tc>
        <w:tc>
          <w:tcPr>
            <w:tcW w:type="dxa" w:w="7680"/>
            <w:tcBorders>
              <w:top w:val="none" w:color="FFFFFF" w:sz="0"/>
              <w:left w:val="none" w:color="FFFFFF" w:sz="0"/>
              <w:bottom w:val="none" w:color="FFFFFF" w:sz="0"/>
              <w:right w:val="none" w:color="FFFFFF" w:sz="0"/>
            </w:tcBorders>
          </w:tcPr>
          <w:p>
            <w:pPr>
              <w:spacing w:after="40" w:before="40"/>
            </w:pPr>
            <w:r>
              <w:t xml:space="preserve">2</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Use Type</w:t>
            </w:r>
          </w:p>
        </w:tc>
        <w:tc>
          <w:tcPr>
            <w:tcW w:type="dxa" w:w="7680"/>
            <w:tcBorders>
              <w:top w:val="none" w:color="FFFFFF" w:sz="0"/>
              <w:left w:val="none" w:color="FFFFFF" w:sz="0"/>
              <w:bottom w:val="none" w:color="FFFFFF" w:sz="0"/>
              <w:right w:val="none" w:color="FFFFFF" w:sz="0"/>
            </w:tcBorders>
          </w:tcPr>
          <w:p>
            <w:pPr>
              <w:spacing w:after="40" w:before="40"/>
            </w:pPr>
            <w:r>
              <w:t xml:space="preserve">TWO UNIT RESIDENTIAL</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Governing Phase</w:t>
            </w:r>
          </w:p>
        </w:tc>
        <w:tc>
          <w:tcPr>
            <w:tcW w:type="dxa" w:w="7680"/>
            <w:tcBorders>
              <w:top w:val="none" w:color="FFFFFF" w:sz="0"/>
              <w:left w:val="none" w:color="FFFFFF" w:sz="0"/>
              <w:bottom w:val="none" w:color="FFFFFF" w:sz="0"/>
              <w:right w:val="none" w:color="FFFFFF" w:sz="0"/>
            </w:tcBorders>
          </w:tcPr>
          <w:p>
            <w:pPr>
              <w:spacing w:after="40" w:before="40"/>
            </w:pPr>
            <w:r>
              <w:t xml:space="preserve">PHASE_I</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Governing Section</w:t>
            </w:r>
          </w:p>
        </w:tc>
        <w:tc>
          <w:tcPr>
            <w:tcW w:type="dxa" w:w="7680"/>
            <w:tcBorders>
              <w:top w:val="none" w:color="FFFFFF" w:sz="0"/>
              <w:left w:val="none" w:color="FFFFFF" w:sz="0"/>
              <w:bottom w:val="none" w:color="FFFFFF" w:sz="0"/>
              <w:right w:val="none" w:color="FFFFFF" w:sz="0"/>
            </w:tcBorders>
          </w:tcPr>
          <w:p>
            <w:pPr>
              <w:spacing w:after="40" w:before="40"/>
            </w:pPr>
            <w:r>
              <w:t xml:space="preserve">Austin LDC §25-2-773, HOME Phase I, Ord. 20231207-001 (eff. Dec 18 2023; applies to apps filed on/after Feb 5 2024)</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Phase II Applicable</w:t>
            </w:r>
          </w:p>
        </w:tc>
        <w:tc>
          <w:tcPr>
            <w:tcW w:type="dxa" w:w="7680"/>
            <w:tcBorders>
              <w:top w:val="none" w:color="FFFFFF" w:sz="0"/>
              <w:left w:val="none" w:color="FFFFFF" w:sz="0"/>
              <w:bottom w:val="none" w:color="FFFFFF" w:sz="0"/>
              <w:right w:val="none" w:color="FFFFFF" w:sz="0"/>
            </w:tcBorders>
          </w:tcPr>
          <w:p>
            <w:pPr>
              <w:spacing w:after="40" w:before="40"/>
            </w:pPr>
            <w:r>
              <w:t xml:space="preserve">No — Phase II (§25-2-779, Ord. 20240516-006) governs lots between 1,800–5,749 sq ft. This lot exceeds 5,750 sq ft</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Subchapter F</w:t>
            </w:r>
          </w:p>
        </w:tc>
        <w:tc>
          <w:tcPr>
            <w:tcW w:type="dxa" w:w="7680"/>
            <w:tcBorders>
              <w:top w:val="none" w:color="FFFFFF" w:sz="0"/>
              <w:left w:val="none" w:color="FFFFFF" w:sz="0"/>
              <w:bottom w:val="none" w:color="FFFFFF" w:sz="0"/>
              <w:right w:val="none" w:color="FFFFFF" w:sz="0"/>
            </w:tcBorders>
          </w:tcPr>
          <w:p>
            <w:pPr>
              <w:spacing w:after="40" w:before="40"/>
            </w:pPr>
            <w:r>
              <w:t xml:space="preserve">Yes — FAR limits of §25-2-773(E) apply</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Confidence</w:t>
            </w:r>
          </w:p>
        </w:tc>
        <w:tc>
          <w:tcPr>
            <w:tcW w:type="dxa" w:w="7680"/>
            <w:tcBorders>
              <w:top w:val="none" w:color="FFFFFF" w:sz="0"/>
              <w:left w:val="none" w:color="FFFFFF" w:sz="0"/>
              <w:bottom w:val="none" w:color="FFFFFF" w:sz="0"/>
              <w:right w:val="none" w:color="FFFFFF" w:sz="0"/>
            </w:tcBorders>
          </w:tcPr>
          <w:p>
            <w:pPr>
              <w:spacing w:after="40" w:before="40"/>
            </w:pPr>
            <w:r>
              <w:t xml:space="preserve">MEDIUM</w:t>
            </w:r>
          </w:p>
        </w:tc>
      </w:tr>
    </w:tbl>
    <w:p>
      <w:pPr>
        <w:spacing w:after="120"/>
      </w:pPr>
    </w:p>
    <w:p>
      <w:pPr>
        <w:pStyle w:val="Heading2"/>
      </w:pPr>
      <w:r>
        <w:t xml:space="preserve">Unit Descriptions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900"/>
        <w:gridCol w:w="9180"/>
      </w:tblGrid>
      <w:tr>
        <w:tc>
          <w:tcPr>
            <w:tcW w:type="dxa" w:w="9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Unit</w:t>
            </w:r>
          </w:p>
        </w:tc>
        <w:tc>
          <w:tcPr>
            <w:tcW w:type="dxa" w:w="91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Description</w:t>
            </w:r>
          </w:p>
        </w:tc>
      </w:tr>
      <w:tr>
        <w:tc>
          <w:tcPr>
            <w:tcW w:type="dxa" w:w="900"/>
            <w:tcBorders>
              <w:top w:val="single" w:color="CCCCCC" w:sz="1"/>
              <w:left w:val="single" w:color="CCCCCC" w:sz="1"/>
              <w:bottom w:val="single" w:color="CCCCCC" w:sz="1"/>
              <w:right w:val="single" w:color="CCCCCC" w:sz="1"/>
            </w:tcBorders>
          </w:tcPr>
          <w:p>
            <w:pPr>
              <w:spacing w:after="80"/>
            </w:pPr>
            <w:r>
              <w:rPr>
                <w:b/>
                <w:bCs/>
              </w:rPr>
              <w:t xml:space="preserve">Unit 1</w:t>
            </w:r>
          </w:p>
        </w:tc>
        <w:tc>
          <w:tcPr>
            <w:tcW w:type="dxa" w:w="9180"/>
            <w:tcBorders>
              <w:top w:val="single" w:color="CCCCCC" w:sz="1"/>
              <w:left w:val="single" w:color="CCCCCC" w:sz="1"/>
              <w:bottom w:val="single" w:color="CCCCCC" w:sz="1"/>
              <w:right w:val="single" w:color="CCCCCC" w:sz="1"/>
            </w:tcBorders>
          </w:tcPr>
          <w:p>
            <w:pPr>
              <w:spacing w:after="60" w:before="60"/>
            </w:pPr>
            <w:r>
              <w:t xml:space="preserve">2-story house w/ habitable attic, fronting Euclid Ave (north)</w:t>
            </w:r>
          </w:p>
        </w:tc>
      </w:tr>
      <w:tr>
        <w:tc>
          <w:tcPr>
            <w:tcW w:type="dxa" w:w="900"/>
            <w:tcBorders>
              <w:top w:val="single" w:color="CCCCCC" w:sz="1"/>
              <w:left w:val="single" w:color="CCCCCC" w:sz="1"/>
              <w:bottom w:val="single" w:color="CCCCCC" w:sz="1"/>
              <w:right w:val="single" w:color="CCCCCC" w:sz="1"/>
            </w:tcBorders>
          </w:tcPr>
          <w:p>
            <w:pPr>
              <w:spacing w:after="80"/>
            </w:pPr>
            <w:r>
              <w:rPr>
                <w:b/>
                <w:bCs/>
              </w:rPr>
              <w:t xml:space="preserve">Unit 2</w:t>
            </w:r>
          </w:p>
        </w:tc>
        <w:tc>
          <w:tcPr>
            <w:tcW w:type="dxa" w:w="9180"/>
            <w:tcBorders>
              <w:top w:val="single" w:color="CCCCCC" w:sz="1"/>
              <w:left w:val="single" w:color="CCCCCC" w:sz="1"/>
              <w:bottom w:val="single" w:color="CCCCCC" w:sz="1"/>
              <w:right w:val="single" w:color="CCCCCC" w:sz="1"/>
            </w:tcBorders>
          </w:tcPr>
          <w:p>
            <w:pPr>
              <w:spacing w:after="60" w:before="60"/>
            </w:pPr>
            <w:r>
              <w:t xml:space="preserve">2-story ADU w/ attached single-car garage, at rear of lot (south, adjacent to alley)</w:t>
            </w:r>
          </w:p>
        </w:tc>
      </w:tr>
    </w:tbl>
    <w:p>
      <w:pPr>
        <w:spacing w:after="120"/>
      </w:pPr>
    </w:p>
    <w:p>
      <w:pPr>
        <w:spacing w:after="80"/>
        <w:ind w:left="360"/>
      </w:pPr>
      <w:r>
        <w:rPr>
          <w:b/>
          <w:bCs/>
        </w:rPr>
        <w:t xml:space="preserve">Lot Area Discrepancy Note:  </w:t>
      </w:r>
      <w:r>
        <w:rPr>
          <w:i/>
          <w:iCs/>
          <w:color w:val="555555"/>
        </w:rPr>
        <w:t xml:space="preserve">Permit application (page 4) states 7,330 sq ft; site development data table (pages 5-6) states 7,730 sq ft. Difference: 400 sq ft. Both values exceed the 5,750 sq ft Phase I threshold — governing phase is PHASE_I regardless. Discrepancy must be resolved by licensed surveyor and corrected in all submittal documents.</w:t>
      </w:r>
    </w:p>
    <w:p>
      <w:pPr>
        <w:pStyle w:val="Heading1"/>
        <w:pageBreakBefore/>
      </w:pPr>
      <w:r>
        <w:t xml:space="preserve">Sheet Manifest</w:t>
      </w:r>
    </w:p>
    <w:p>
      <w:pPr>
        <w:spacing w:after="120"/>
      </w:pPr>
      <w:r>
        <w:rPr>
          <w:i/>
          <w:iCs/>
          <w:color w:val="555555"/>
        </w:rPr>
        <w:t xml:space="preserve">Source: sheet-manifest.json  ·  32 pages  ·  Stamp date: 10.25.2023</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100"/>
          <w:bottom w:type="dxa" w:w="40"/>
          <w:right w:type="dxa" w:w="100"/>
        </w:tblCellMar>
      </w:tblPr>
      <w:tblGrid>
        <w:gridCol w:w="600"/>
        <w:gridCol w:w="1400"/>
        <w:gridCol w:w="8080"/>
      </w:tblGrid>
      <w:tr>
        <w:tc>
          <w:tcPr>
            <w:tcW w:type="dxa" w:w="6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Pg</w:t>
            </w:r>
          </w:p>
        </w:tc>
        <w:tc>
          <w:tcPr>
            <w:tcW w:type="dxa" w:w="14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Sheet ID</w:t>
            </w:r>
          </w:p>
        </w:tc>
        <w:tc>
          <w:tcPr>
            <w:tcW w:type="dxa" w:w="80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Description</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1</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BSPA-1</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Austin Energy BSPA Application Form</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2</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BSPA-2</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Austin Energy BSPA / Owner Authorization</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3</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AUTH</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Owner Authorization / AE forms continuation</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4</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APP</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City of Austin Permit Application</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5</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SDE-1</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Site Development Info — project data table</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6</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SDE-2</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Site Development Info — building coverage / impervious cover calculations</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7</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SubF-1</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Subchapter F GFA Calculation Form — House w/ Habitable Attic (page 1)</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8</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SubF-2</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Subchapter F GFA Calculation Form — House w/ Habitable Attic (page 2)</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9</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p.1a</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Site Plan — overall site with setbacks, coverage, impervious</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10</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p.1a-2</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Site Plan — continuation / enlarged view</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11</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p.1b</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Tree / Demolition Plan</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12</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p.1c</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Impervious Cover Exhibit</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13</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p.2a1</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First Floor Plan — House</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14</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6.105</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Tree Protection Standard Details (6.105-1 through 6.105-4)</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15</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p.1d</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Proposed Site Plan — AE Review version</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16</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UNKNOWN-16</w:t>
            </w:r>
          </w:p>
        </w:tc>
        <w:tc>
          <w:tcPr>
            <w:tcW w:type="dxa" w:w="8080"/>
            <w:tcBorders>
              <w:top w:val="single" w:color="CCCCCC" w:sz="1"/>
              <w:left w:val="single" w:color="CCCCCC" w:sz="1"/>
              <w:bottom w:val="single" w:color="CCCCCC" w:sz="1"/>
              <w:right w:val="single" w:color="CCCCCC" w:sz="1"/>
            </w:tcBorders>
          </w:tcPr>
          <w:p>
            <w:pPr>
              <w:spacing w:after="60" w:before="60"/>
            </w:pPr>
            <w:r>
              <w:rPr>
                <w:color w:val="B7770D"/>
                <w:sz w:val="18"/>
                <w:szCs w:val="18"/>
              </w:rPr>
              <w:t xml:space="preserve">Sheet not re-read in current session — see prior session notes</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17</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p.2a2</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Upper (Second) Floor Plan — House</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18</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p.2a3</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Habitable Attic Floor Plan + Sections A-A, B-B, C-C + Attic Area Calculations — House</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19</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p.2b</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Ground Floor Plan + Upper Floor Plan — ADU (with attached garage)</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20</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UNKNOWN-20</w:t>
            </w:r>
          </w:p>
        </w:tc>
        <w:tc>
          <w:tcPr>
            <w:tcW w:type="dxa" w:w="8080"/>
            <w:tcBorders>
              <w:top w:val="single" w:color="CCCCCC" w:sz="1"/>
              <w:left w:val="single" w:color="CCCCCC" w:sz="1"/>
              <w:bottom w:val="single" w:color="CCCCCC" w:sz="1"/>
              <w:right w:val="single" w:color="CCCCCC" w:sz="1"/>
            </w:tcBorders>
          </w:tcPr>
          <w:p>
            <w:pPr>
              <w:spacing w:after="60" w:before="60"/>
            </w:pPr>
            <w:r>
              <w:rPr>
                <w:color w:val="B7770D"/>
                <w:sz w:val="18"/>
                <w:szCs w:val="18"/>
              </w:rPr>
              <w:t xml:space="preserve">Sheet not re-read in current session — see prior session notes</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21</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p.3e1</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East Elevation + North Elevation (street-facing) + Setback Tent Diagram — House</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22</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p.3a2</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West Elevation + South Elevation + Roof Plan — House</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23</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p.3e1-ADU</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South Elevation + East Elevation + Sections AA &amp; BB + Setback Tent Diagram — ADU</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24</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p.3b2</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North Elevation + West Elevation — ADU</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25</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UNKNOWN-25</w:t>
            </w:r>
          </w:p>
        </w:tc>
        <w:tc>
          <w:tcPr>
            <w:tcW w:type="dxa" w:w="8080"/>
            <w:tcBorders>
              <w:top w:val="single" w:color="CCCCCC" w:sz="1"/>
              <w:left w:val="single" w:color="CCCCCC" w:sz="1"/>
              <w:bottom w:val="single" w:color="CCCCCC" w:sz="1"/>
              <w:right w:val="single" w:color="CCCCCC" w:sz="1"/>
            </w:tcBorders>
          </w:tcPr>
          <w:p>
            <w:pPr>
              <w:spacing w:after="60" w:before="60"/>
            </w:pPr>
            <w:r>
              <w:rPr>
                <w:color w:val="B7770D"/>
                <w:sz w:val="18"/>
                <w:szCs w:val="18"/>
              </w:rPr>
              <w:t xml:space="preserve">Sheet not re-read in current session — see prior session notes</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26</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S200</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Structural Foundation Details — Greensmith Engineering, signed PE, dated 10/27/23</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27</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S300</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2nd Floor Framing Plans — House and ADU</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28</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S301</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Attic Floor / Roof Framing Plans — House and ADU</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29</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S302</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House Roof Framing Plan</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30</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UNKNOWN-30</w:t>
            </w:r>
          </w:p>
        </w:tc>
        <w:tc>
          <w:tcPr>
            <w:tcW w:type="dxa" w:w="8080"/>
            <w:tcBorders>
              <w:top w:val="single" w:color="CCCCCC" w:sz="1"/>
              <w:left w:val="single" w:color="CCCCCC" w:sz="1"/>
              <w:bottom w:val="single" w:color="CCCCCC" w:sz="1"/>
              <w:right w:val="single" w:color="CCCCCC" w:sz="1"/>
            </w:tcBorders>
          </w:tcPr>
          <w:p>
            <w:pPr>
              <w:spacing w:after="60" w:before="60"/>
            </w:pPr>
            <w:r>
              <w:rPr>
                <w:color w:val="B7770D"/>
                <w:sz w:val="18"/>
                <w:szCs w:val="18"/>
              </w:rPr>
              <w:t xml:space="preserve">Sheet not re-read in current session — see prior session notes</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31</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S304</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2nd Floor Wall Bracing Plans — House and ADU</w:t>
            </w:r>
          </w:p>
        </w:tc>
      </w:tr>
      <w:tr>
        <w:tc>
          <w:tcPr>
            <w:tcW w:type="dxa" w:w="600"/>
            <w:tcBorders>
              <w:top w:val="single" w:color="CCCCCC" w:sz="1"/>
              <w:left w:val="single" w:color="CCCCCC" w:sz="1"/>
              <w:bottom w:val="single" w:color="CCCCCC" w:sz="1"/>
              <w:right w:val="single" w:color="CCCCCC" w:sz="1"/>
            </w:tcBorders>
          </w:tcPr>
          <w:p>
            <w:pPr>
              <w:spacing w:after="60" w:before="60"/>
            </w:pPr>
            <w:r>
              <w:rPr>
                <w:sz w:val="18"/>
                <w:szCs w:val="18"/>
              </w:rPr>
              <w:t xml:space="preserve">32</w:t>
            </w:r>
          </w:p>
        </w:tc>
        <w:tc>
          <w:tcPr>
            <w:tcW w:type="dxa" w:w="14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S400</w:t>
            </w:r>
          </w:p>
        </w:tc>
        <w:tc>
          <w:tcPr>
            <w:tcW w:type="dxa" w:w="8080"/>
            <w:tcBorders>
              <w:top w:val="single" w:color="CCCCCC" w:sz="1"/>
              <w:left w:val="single" w:color="CCCCCC" w:sz="1"/>
              <w:bottom w:val="single" w:color="CCCCCC" w:sz="1"/>
              <w:right w:val="single" w:color="CCCCCC" w:sz="1"/>
            </w:tcBorders>
          </w:tcPr>
          <w:p>
            <w:pPr>
              <w:spacing w:after="60" w:before="60"/>
            </w:pPr>
            <w:r>
              <w:rPr>
                <w:color w:val="000000"/>
                <w:sz w:val="18"/>
                <w:szCs w:val="18"/>
              </w:rPr>
              <w:t xml:space="preserve">Structural General Notes + Wall Section Details + Typical Wall Bracing</w:t>
            </w:r>
          </w:p>
        </w:tc>
      </w:tr>
    </w:tbl>
    <w:p>
      <w:pPr>
        <w:pStyle w:val="Heading1"/>
        <w:pageBreakBefore/>
      </w:pPr>
      <w:r>
        <w:t xml:space="preserve">Full Findings — All 23 Checks</w:t>
      </w:r>
    </w:p>
    <w:p>
      <w:pPr>
        <w:spacing w:after="80"/>
      </w:pPr>
      <w:r>
        <w:rPr>
          <w:i/>
          <w:iCs/>
          <w:color w:val="555555"/>
        </w:rPr>
        <w:t xml:space="preserve">Source: sheet_findings.json</w:t>
      </w:r>
    </w:p>
    <w:p>
      <w:pPr>
        <w:pStyle w:val="Heading2"/>
      </w:pPr>
      <w:r>
        <w:t xml:space="preserve">Administrative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580"/>
        <w:gridCol w:w="3200"/>
        <w:gridCol w:w="780"/>
        <w:gridCol w:w="780"/>
        <w:gridCol w:w="1700"/>
        <w:gridCol w:w="1040"/>
      </w:tblGrid>
      <w:tr>
        <w:tc>
          <w:tcPr>
            <w:tcW w:type="dxa" w:w="5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ID</w:t>
            </w:r>
          </w:p>
        </w:tc>
        <w:tc>
          <w:tcPr>
            <w:tcW w:type="dxa" w:w="32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Check</w:t>
            </w:r>
          </w:p>
        </w:tc>
        <w:tc>
          <w:tcPr>
            <w:tcW w:type="dxa" w:w="7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Status</w:t>
            </w:r>
          </w:p>
        </w:tc>
        <w:tc>
          <w:tcPr>
            <w:tcW w:type="dxa" w:w="7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Conf</w:t>
            </w:r>
          </w:p>
        </w:tc>
        <w:tc>
          <w:tcPr>
            <w:tcW w:type="dxa" w:w="17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Sheet</w:t>
            </w:r>
          </w:p>
        </w:tc>
        <w:tc>
          <w:tcPr>
            <w:tcW w:type="dxa" w:w="104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Page</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A-01</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Lot area — consistency across submittal documents</w:t>
            </w:r>
          </w:p>
        </w:tc>
        <w:tc>
          <w:tcPr>
            <w:tcW w:type="dxa" w:w="780"/>
            <w:tcBorders>
              <w:top w:val="single" w:color="CCCCCC" w:sz="1"/>
              <w:left w:val="single" w:color="CCCCCC" w:sz="1"/>
              <w:bottom w:val="single" w:color="CCCCCC" w:sz="1"/>
              <w:right w:val="single" w:color="CCCCCC" w:sz="1"/>
            </w:tcBorders>
            <w:shd w:fill="FDEDEC" w:val="clear"/>
            <w:vAlign w:val="center"/>
          </w:tcPr>
          <w:p>
            <w:pPr>
              <w:spacing w:after="60" w:before="60"/>
              <w:jc w:val="center"/>
            </w:pPr>
            <w:r>
              <w:rPr>
                <w:b/>
                <w:bCs/>
                <w:color w:val="C0392B"/>
                <w:sz w:val="18"/>
                <w:szCs w:val="18"/>
              </w:rPr>
              <w:t xml:space="preserve">FAIL</w:t>
            </w:r>
          </w:p>
        </w:tc>
        <w:tc>
          <w:tcPr>
            <w:tcW w:type="dxa" w:w="780"/>
            <w:tcBorders>
              <w:top w:val="single" w:color="CCCCCC" w:sz="1"/>
              <w:left w:val="single" w:color="CCCCCC" w:sz="1"/>
              <w:bottom w:val="single" w:color="CCCCCC" w:sz="1"/>
              <w:right w:val="single" w:color="CCCCCC" w:sz="1"/>
            </w:tcBorders>
          </w:tcPr>
          <w:p>
            <w:pPr>
              <w:spacing w:after="60" w:before="60"/>
            </w:pPr>
            <w:r>
              <w:rPr>
                <w:color w:val="1E8449"/>
                <w:sz w:val="18"/>
                <w:szCs w:val="18"/>
              </w:rPr>
              <w:t xml:space="preserve">HIGH</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APP, SDE-1</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4, 5</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A-02</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Use type designation — Two-Unit Residential vs. SFR+ADU</w:t>
            </w:r>
          </w:p>
        </w:tc>
        <w:tc>
          <w:tcPr>
            <w:tcW w:type="dxa" w:w="780"/>
            <w:tcBorders>
              <w:top w:val="single" w:color="CCCCCC" w:sz="1"/>
              <w:left w:val="single" w:color="CCCCCC" w:sz="1"/>
              <w:bottom w:val="single" w:color="CCCCCC" w:sz="1"/>
              <w:right w:val="single" w:color="CCCCCC" w:sz="1"/>
            </w:tcBorders>
            <w:shd w:fill="FDEDEC" w:val="clear"/>
            <w:vAlign w:val="center"/>
          </w:tcPr>
          <w:p>
            <w:pPr>
              <w:spacing w:after="60" w:before="60"/>
              <w:jc w:val="center"/>
            </w:pPr>
            <w:r>
              <w:rPr>
                <w:b/>
                <w:bCs/>
                <w:color w:val="C0392B"/>
                <w:sz w:val="18"/>
                <w:szCs w:val="18"/>
              </w:rPr>
              <w:t xml:space="preserve">FAIL</w:t>
            </w:r>
          </w:p>
        </w:tc>
        <w:tc>
          <w:tcPr>
            <w:tcW w:type="dxa" w:w="780"/>
            <w:tcBorders>
              <w:top w:val="single" w:color="CCCCCC" w:sz="1"/>
              <w:left w:val="single" w:color="CCCCCC" w:sz="1"/>
              <w:bottom w:val="single" w:color="CCCCCC" w:sz="1"/>
              <w:right w:val="single" w:color="CCCCCC" w:sz="1"/>
            </w:tcBorders>
          </w:tcPr>
          <w:p>
            <w:pPr>
              <w:spacing w:after="60" w:before="60"/>
            </w:pPr>
            <w:r>
              <w:rPr>
                <w:color w:val="1E8449"/>
                <w:sz w:val="18"/>
                <w:szCs w:val="18"/>
              </w:rPr>
              <w:t xml:space="preserve">HIGH</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APP, SubF-1</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4, 7</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A-03</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HOME Phase I ordinance number — cited in applicable codes list</w:t>
            </w:r>
          </w:p>
        </w:tc>
        <w:tc>
          <w:tcPr>
            <w:tcW w:type="dxa" w:w="780"/>
            <w:tcBorders>
              <w:top w:val="single" w:color="CCCCCC" w:sz="1"/>
              <w:left w:val="single" w:color="CCCCCC" w:sz="1"/>
              <w:bottom w:val="single" w:color="CCCCCC" w:sz="1"/>
              <w:right w:val="single" w:color="CCCCCC" w:sz="1"/>
            </w:tcBorders>
            <w:shd w:fill="FEF9E7" w:val="clear"/>
            <w:vAlign w:val="center"/>
          </w:tcPr>
          <w:p>
            <w:pPr>
              <w:spacing w:after="60" w:before="60"/>
              <w:jc w:val="center"/>
            </w:pPr>
            <w:r>
              <w:rPr>
                <w:b/>
                <w:bCs/>
                <w:color w:val="B7770D"/>
                <w:sz w:val="18"/>
                <w:szCs w:val="18"/>
              </w:rPr>
              <w:t xml:space="preserve">UNCLEAR</w:t>
            </w:r>
          </w:p>
        </w:tc>
        <w:tc>
          <w:tcPr>
            <w:tcW w:type="dxa" w:w="780"/>
            <w:tcBorders>
              <w:top w:val="single" w:color="CCCCCC" w:sz="1"/>
              <w:left w:val="single" w:color="CCCCCC" w:sz="1"/>
              <w:bottom w:val="single" w:color="CCCCCC" w:sz="1"/>
              <w:right w:val="single" w:color="CCCCCC" w:sz="1"/>
            </w:tcBorders>
          </w:tcPr>
          <w:p>
            <w:pPr>
              <w:spacing w:after="60" w:before="60"/>
            </w:pPr>
            <w:r>
              <w:rPr>
                <w:color w:val="B7770D"/>
                <w:sz w:val="18"/>
                <w:szCs w:val="18"/>
              </w:rPr>
              <w:t xml:space="preserve">MEDIUM</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APP, SDE-1</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4, 5</w:t>
            </w:r>
          </w:p>
        </w:tc>
      </w:tr>
    </w:tbl>
    <w:p>
      <w:pPr>
        <w:spacing w:after="120"/>
      </w:pPr>
    </w:p>
    <w:p>
      <w:pPr>
        <w:pStyle w:val="Heading2"/>
      </w:pPr>
      <w:r>
        <w:t xml:space="preserve">Site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580"/>
        <w:gridCol w:w="3200"/>
        <w:gridCol w:w="780"/>
        <w:gridCol w:w="780"/>
        <w:gridCol w:w="1700"/>
        <w:gridCol w:w="1040"/>
      </w:tblGrid>
      <w:tr>
        <w:tc>
          <w:tcPr>
            <w:tcW w:type="dxa" w:w="5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ID</w:t>
            </w:r>
          </w:p>
        </w:tc>
        <w:tc>
          <w:tcPr>
            <w:tcW w:type="dxa" w:w="32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Check</w:t>
            </w:r>
          </w:p>
        </w:tc>
        <w:tc>
          <w:tcPr>
            <w:tcW w:type="dxa" w:w="7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Status</w:t>
            </w:r>
          </w:p>
        </w:tc>
        <w:tc>
          <w:tcPr>
            <w:tcW w:type="dxa" w:w="7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Conf</w:t>
            </w:r>
          </w:p>
        </w:tc>
        <w:tc>
          <w:tcPr>
            <w:tcW w:type="dxa" w:w="17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Sheet</w:t>
            </w:r>
          </w:p>
        </w:tc>
        <w:tc>
          <w:tcPr>
            <w:tcW w:type="dxa" w:w="104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Page</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A-04</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Building coverage — Phase I maximum 40%</w:t>
            </w:r>
          </w:p>
        </w:tc>
        <w:tc>
          <w:tcPr>
            <w:tcW w:type="dxa" w:w="78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c>
          <w:tcPr>
            <w:tcW w:type="dxa" w:w="780"/>
            <w:tcBorders>
              <w:top w:val="single" w:color="CCCCCC" w:sz="1"/>
              <w:left w:val="single" w:color="CCCCCC" w:sz="1"/>
              <w:bottom w:val="single" w:color="CCCCCC" w:sz="1"/>
              <w:right w:val="single" w:color="CCCCCC" w:sz="1"/>
            </w:tcBorders>
          </w:tcPr>
          <w:p>
            <w:pPr>
              <w:spacing w:after="60" w:before="60"/>
            </w:pPr>
            <w:r>
              <w:rPr>
                <w:color w:val="1E8449"/>
                <w:sz w:val="18"/>
                <w:szCs w:val="18"/>
              </w:rPr>
              <w:t xml:space="preserve">HIGH</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SDE-2, p.1a</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6, 9</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A-05</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Impervious cover — Phase I maximum 45%</w:t>
            </w:r>
          </w:p>
        </w:tc>
        <w:tc>
          <w:tcPr>
            <w:tcW w:type="dxa" w:w="78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c>
          <w:tcPr>
            <w:tcW w:type="dxa" w:w="780"/>
            <w:tcBorders>
              <w:top w:val="single" w:color="CCCCCC" w:sz="1"/>
              <w:left w:val="single" w:color="CCCCCC" w:sz="1"/>
              <w:bottom w:val="single" w:color="CCCCCC" w:sz="1"/>
              <w:right w:val="single" w:color="CCCCCC" w:sz="1"/>
            </w:tcBorders>
          </w:tcPr>
          <w:p>
            <w:pPr>
              <w:spacing w:after="60" w:before="60"/>
            </w:pPr>
            <w:r>
              <w:rPr>
                <w:color w:val="1E8449"/>
                <w:sz w:val="18"/>
                <w:szCs w:val="18"/>
              </w:rPr>
              <w:t xml:space="preserve">HIGH</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SDE-2, p.1c</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6, 12</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A-06</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Front yard impervious cover — Phase I maximum 40%</w:t>
            </w:r>
          </w:p>
        </w:tc>
        <w:tc>
          <w:tcPr>
            <w:tcW w:type="dxa" w:w="780"/>
            <w:tcBorders>
              <w:top w:val="single" w:color="CCCCCC" w:sz="1"/>
              <w:left w:val="single" w:color="CCCCCC" w:sz="1"/>
              <w:bottom w:val="single" w:color="CCCCCC" w:sz="1"/>
              <w:right w:val="single" w:color="CCCCCC" w:sz="1"/>
            </w:tcBorders>
            <w:shd w:fill="FEF9E7" w:val="clear"/>
            <w:vAlign w:val="center"/>
          </w:tcPr>
          <w:p>
            <w:pPr>
              <w:spacing w:after="60" w:before="60"/>
              <w:jc w:val="center"/>
            </w:pPr>
            <w:r>
              <w:rPr>
                <w:b/>
                <w:bCs/>
                <w:color w:val="B7770D"/>
                <w:sz w:val="18"/>
                <w:szCs w:val="18"/>
              </w:rPr>
              <w:t xml:space="preserve">UNCLEAR</w:t>
            </w:r>
          </w:p>
        </w:tc>
        <w:tc>
          <w:tcPr>
            <w:tcW w:type="dxa" w:w="780"/>
            <w:tcBorders>
              <w:top w:val="single" w:color="CCCCCC" w:sz="1"/>
              <w:left w:val="single" w:color="CCCCCC" w:sz="1"/>
              <w:bottom w:val="single" w:color="CCCCCC" w:sz="1"/>
              <w:right w:val="single" w:color="CCCCCC" w:sz="1"/>
            </w:tcBorders>
          </w:tcPr>
          <w:p>
            <w:pPr>
              <w:spacing w:after="60" w:before="60"/>
            </w:pPr>
            <w:r>
              <w:rPr>
                <w:color w:val="C0392B"/>
                <w:sz w:val="18"/>
                <w:szCs w:val="18"/>
              </w:rPr>
              <w:t xml:space="preserve">LOW</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p.1a, p.1c</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9, 12</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A-07</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Front setback — house (primary building)</w:t>
            </w:r>
          </w:p>
        </w:tc>
        <w:tc>
          <w:tcPr>
            <w:tcW w:type="dxa" w:w="780"/>
            <w:tcBorders>
              <w:top w:val="single" w:color="CCCCCC" w:sz="1"/>
              <w:left w:val="single" w:color="CCCCCC" w:sz="1"/>
              <w:bottom w:val="single" w:color="CCCCCC" w:sz="1"/>
              <w:right w:val="single" w:color="CCCCCC" w:sz="1"/>
            </w:tcBorders>
            <w:shd w:fill="FEF9E7" w:val="clear"/>
            <w:vAlign w:val="center"/>
          </w:tcPr>
          <w:p>
            <w:pPr>
              <w:spacing w:after="60" w:before="60"/>
              <w:jc w:val="center"/>
            </w:pPr>
            <w:r>
              <w:rPr>
                <w:b/>
                <w:bCs/>
                <w:color w:val="B7770D"/>
                <w:sz w:val="18"/>
                <w:szCs w:val="18"/>
              </w:rPr>
              <w:t xml:space="preserve">UNCLEAR</w:t>
            </w:r>
          </w:p>
        </w:tc>
        <w:tc>
          <w:tcPr>
            <w:tcW w:type="dxa" w:w="780"/>
            <w:tcBorders>
              <w:top w:val="single" w:color="CCCCCC" w:sz="1"/>
              <w:left w:val="single" w:color="CCCCCC" w:sz="1"/>
              <w:bottom w:val="single" w:color="CCCCCC" w:sz="1"/>
              <w:right w:val="single" w:color="CCCCCC" w:sz="1"/>
            </w:tcBorders>
          </w:tcPr>
          <w:p>
            <w:pPr>
              <w:spacing w:after="60" w:before="60"/>
            </w:pPr>
            <w:r>
              <w:rPr>
                <w:color w:val="B7770D"/>
                <w:sz w:val="18"/>
                <w:szCs w:val="18"/>
              </w:rPr>
              <w:t xml:space="preserve">MEDIUM</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p.1a, p.3e1</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9, 21</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A-08</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Rear setback — ADU (adjacent to alley)</w:t>
            </w:r>
          </w:p>
        </w:tc>
        <w:tc>
          <w:tcPr>
            <w:tcW w:type="dxa" w:w="780"/>
            <w:tcBorders>
              <w:top w:val="single" w:color="CCCCCC" w:sz="1"/>
              <w:left w:val="single" w:color="CCCCCC" w:sz="1"/>
              <w:bottom w:val="single" w:color="CCCCCC" w:sz="1"/>
              <w:right w:val="single" w:color="CCCCCC" w:sz="1"/>
            </w:tcBorders>
            <w:shd w:fill="FEF9E7" w:val="clear"/>
            <w:vAlign w:val="center"/>
          </w:tcPr>
          <w:p>
            <w:pPr>
              <w:spacing w:after="60" w:before="60"/>
              <w:jc w:val="center"/>
            </w:pPr>
            <w:r>
              <w:rPr>
                <w:b/>
                <w:bCs/>
                <w:color w:val="B7770D"/>
                <w:sz w:val="18"/>
                <w:szCs w:val="18"/>
              </w:rPr>
              <w:t xml:space="preserve">UNCLEAR</w:t>
            </w:r>
          </w:p>
        </w:tc>
        <w:tc>
          <w:tcPr>
            <w:tcW w:type="dxa" w:w="780"/>
            <w:tcBorders>
              <w:top w:val="single" w:color="CCCCCC" w:sz="1"/>
              <w:left w:val="single" w:color="CCCCCC" w:sz="1"/>
              <w:bottom w:val="single" w:color="CCCCCC" w:sz="1"/>
              <w:right w:val="single" w:color="CCCCCC" w:sz="1"/>
            </w:tcBorders>
          </w:tcPr>
          <w:p>
            <w:pPr>
              <w:spacing w:after="60" w:before="60"/>
            </w:pPr>
            <w:r>
              <w:rPr>
                <w:color w:val="B7770D"/>
                <w:sz w:val="18"/>
                <w:szCs w:val="18"/>
              </w:rPr>
              <w:t xml:space="preserve">MEDIUM</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p.1a, p.2b</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9, 19</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A-09</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Side setbacks — both buildings</w:t>
            </w:r>
          </w:p>
        </w:tc>
        <w:tc>
          <w:tcPr>
            <w:tcW w:type="dxa" w:w="780"/>
            <w:tcBorders>
              <w:top w:val="single" w:color="CCCCCC" w:sz="1"/>
              <w:left w:val="single" w:color="CCCCCC" w:sz="1"/>
              <w:bottom w:val="single" w:color="CCCCCC" w:sz="1"/>
              <w:right w:val="single" w:color="CCCCCC" w:sz="1"/>
            </w:tcBorders>
            <w:shd w:fill="FEF9E7" w:val="clear"/>
            <w:vAlign w:val="center"/>
          </w:tcPr>
          <w:p>
            <w:pPr>
              <w:spacing w:after="60" w:before="60"/>
              <w:jc w:val="center"/>
            </w:pPr>
            <w:r>
              <w:rPr>
                <w:b/>
                <w:bCs/>
                <w:color w:val="B7770D"/>
                <w:sz w:val="18"/>
                <w:szCs w:val="18"/>
              </w:rPr>
              <w:t xml:space="preserve">UNCLEAR</w:t>
            </w:r>
          </w:p>
        </w:tc>
        <w:tc>
          <w:tcPr>
            <w:tcW w:type="dxa" w:w="780"/>
            <w:tcBorders>
              <w:top w:val="single" w:color="CCCCCC" w:sz="1"/>
              <w:left w:val="single" w:color="CCCCCC" w:sz="1"/>
              <w:bottom w:val="single" w:color="CCCCCC" w:sz="1"/>
              <w:right w:val="single" w:color="CCCCCC" w:sz="1"/>
            </w:tcBorders>
          </w:tcPr>
          <w:p>
            <w:pPr>
              <w:spacing w:after="60" w:before="60"/>
            </w:pPr>
            <w:r>
              <w:rPr>
                <w:color w:val="B7770D"/>
                <w:sz w:val="18"/>
                <w:szCs w:val="18"/>
              </w:rPr>
              <w:t xml:space="preserve">MEDIUM</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p.1a, p.2b</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9, 19</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A-10</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Front porch setback — house</w:t>
            </w:r>
          </w:p>
        </w:tc>
        <w:tc>
          <w:tcPr>
            <w:tcW w:type="dxa" w:w="780"/>
            <w:tcBorders>
              <w:top w:val="single" w:color="CCCCCC" w:sz="1"/>
              <w:left w:val="single" w:color="CCCCCC" w:sz="1"/>
              <w:bottom w:val="single" w:color="CCCCCC" w:sz="1"/>
              <w:right w:val="single" w:color="CCCCCC" w:sz="1"/>
            </w:tcBorders>
            <w:shd w:fill="FEF9E7" w:val="clear"/>
            <w:vAlign w:val="center"/>
          </w:tcPr>
          <w:p>
            <w:pPr>
              <w:spacing w:after="60" w:before="60"/>
              <w:jc w:val="center"/>
            </w:pPr>
            <w:r>
              <w:rPr>
                <w:b/>
                <w:bCs/>
                <w:color w:val="B7770D"/>
                <w:sz w:val="18"/>
                <w:szCs w:val="18"/>
              </w:rPr>
              <w:t xml:space="preserve">UNCLEAR</w:t>
            </w:r>
          </w:p>
        </w:tc>
        <w:tc>
          <w:tcPr>
            <w:tcW w:type="dxa" w:w="780"/>
            <w:tcBorders>
              <w:top w:val="single" w:color="CCCCCC" w:sz="1"/>
              <w:left w:val="single" w:color="CCCCCC" w:sz="1"/>
              <w:bottom w:val="single" w:color="CCCCCC" w:sz="1"/>
              <w:right w:val="single" w:color="CCCCCC" w:sz="1"/>
            </w:tcBorders>
          </w:tcPr>
          <w:p>
            <w:pPr>
              <w:spacing w:after="60" w:before="60"/>
            </w:pPr>
            <w:r>
              <w:rPr>
                <w:color w:val="B7770D"/>
                <w:sz w:val="18"/>
                <w:szCs w:val="18"/>
              </w:rPr>
              <w:t xml:space="preserve">MEDIUM</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p.1a, p.3e1</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9, 21</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A-11</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Parking — front/street yard spaces</w:t>
            </w:r>
          </w:p>
        </w:tc>
        <w:tc>
          <w:tcPr>
            <w:tcW w:type="dxa" w:w="780"/>
            <w:tcBorders>
              <w:top w:val="single" w:color="CCCCCC" w:sz="1"/>
              <w:left w:val="single" w:color="CCCCCC" w:sz="1"/>
              <w:bottom w:val="single" w:color="CCCCCC" w:sz="1"/>
              <w:right w:val="single" w:color="CCCCCC" w:sz="1"/>
            </w:tcBorders>
            <w:shd w:fill="FEF9E7" w:val="clear"/>
            <w:vAlign w:val="center"/>
          </w:tcPr>
          <w:p>
            <w:pPr>
              <w:spacing w:after="60" w:before="60"/>
              <w:jc w:val="center"/>
            </w:pPr>
            <w:r>
              <w:rPr>
                <w:b/>
                <w:bCs/>
                <w:color w:val="B7770D"/>
                <w:sz w:val="18"/>
                <w:szCs w:val="18"/>
              </w:rPr>
              <w:t xml:space="preserve">UNCLEAR</w:t>
            </w:r>
          </w:p>
        </w:tc>
        <w:tc>
          <w:tcPr>
            <w:tcW w:type="dxa" w:w="780"/>
            <w:tcBorders>
              <w:top w:val="single" w:color="CCCCCC" w:sz="1"/>
              <w:left w:val="single" w:color="CCCCCC" w:sz="1"/>
              <w:bottom w:val="single" w:color="CCCCCC" w:sz="1"/>
              <w:right w:val="single" w:color="CCCCCC" w:sz="1"/>
            </w:tcBorders>
          </w:tcPr>
          <w:p>
            <w:pPr>
              <w:spacing w:after="60" w:before="60"/>
            </w:pPr>
            <w:r>
              <w:rPr>
                <w:color w:val="B7770D"/>
                <w:sz w:val="18"/>
                <w:szCs w:val="18"/>
              </w:rPr>
              <w:t xml:space="preserve">MEDIUM</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p.1a, p.1d</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9, 15</w:t>
            </w:r>
          </w:p>
        </w:tc>
      </w:tr>
    </w:tbl>
    <w:p>
      <w:pPr>
        <w:spacing w:after="120"/>
      </w:pPr>
    </w:p>
    <w:p>
      <w:pPr>
        <w:pStyle w:val="Heading2"/>
      </w:pPr>
      <w:r>
        <w:t xml:space="preserve">Architectural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580"/>
        <w:gridCol w:w="3200"/>
        <w:gridCol w:w="780"/>
        <w:gridCol w:w="780"/>
        <w:gridCol w:w="1700"/>
        <w:gridCol w:w="1040"/>
      </w:tblGrid>
      <w:tr>
        <w:tc>
          <w:tcPr>
            <w:tcW w:type="dxa" w:w="5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ID</w:t>
            </w:r>
          </w:p>
        </w:tc>
        <w:tc>
          <w:tcPr>
            <w:tcW w:type="dxa" w:w="32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Check</w:t>
            </w:r>
          </w:p>
        </w:tc>
        <w:tc>
          <w:tcPr>
            <w:tcW w:type="dxa" w:w="7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Status</w:t>
            </w:r>
          </w:p>
        </w:tc>
        <w:tc>
          <w:tcPr>
            <w:tcW w:type="dxa" w:w="7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Conf</w:t>
            </w:r>
          </w:p>
        </w:tc>
        <w:tc>
          <w:tcPr>
            <w:tcW w:type="dxa" w:w="17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Sheet</w:t>
            </w:r>
          </w:p>
        </w:tc>
        <w:tc>
          <w:tcPr>
            <w:tcW w:type="dxa" w:w="104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Page</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B-01</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House per-unit GFA — Subchapter F FAR limit (Two-Unit Residential)</w:t>
            </w:r>
          </w:p>
        </w:tc>
        <w:tc>
          <w:tcPr>
            <w:tcW w:type="dxa" w:w="780"/>
            <w:tcBorders>
              <w:top w:val="single" w:color="CCCCCC" w:sz="1"/>
              <w:left w:val="single" w:color="CCCCCC" w:sz="1"/>
              <w:bottom w:val="single" w:color="CCCCCC" w:sz="1"/>
              <w:right w:val="single" w:color="CCCCCC" w:sz="1"/>
            </w:tcBorders>
            <w:shd w:fill="FEF9E7" w:val="clear"/>
            <w:vAlign w:val="center"/>
          </w:tcPr>
          <w:p>
            <w:pPr>
              <w:spacing w:after="60" w:before="60"/>
              <w:jc w:val="center"/>
            </w:pPr>
            <w:r>
              <w:rPr>
                <w:b/>
                <w:bCs/>
                <w:color w:val="B7770D"/>
                <w:sz w:val="18"/>
                <w:szCs w:val="18"/>
              </w:rPr>
              <w:t xml:space="preserve">UNCLEAR</w:t>
            </w:r>
          </w:p>
        </w:tc>
        <w:tc>
          <w:tcPr>
            <w:tcW w:type="dxa" w:w="780"/>
            <w:tcBorders>
              <w:top w:val="single" w:color="CCCCCC" w:sz="1"/>
              <w:left w:val="single" w:color="CCCCCC" w:sz="1"/>
              <w:bottom w:val="single" w:color="CCCCCC" w:sz="1"/>
              <w:right w:val="single" w:color="CCCCCC" w:sz="1"/>
            </w:tcBorders>
          </w:tcPr>
          <w:p>
            <w:pPr>
              <w:spacing w:after="60" w:before="60"/>
            </w:pPr>
            <w:r>
              <w:rPr>
                <w:color w:val="B7770D"/>
                <w:sz w:val="18"/>
                <w:szCs w:val="18"/>
              </w:rPr>
              <w:t xml:space="preserve">MEDIUM</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SubF-1, SubF-2, p.2a1, p.2a2, p.2a3</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7, 8, 13, 17, 18</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B-02</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ADU per-unit GFA — Subchapter F FAR limit not shown</w:t>
            </w:r>
          </w:p>
        </w:tc>
        <w:tc>
          <w:tcPr>
            <w:tcW w:type="dxa" w:w="780"/>
            <w:tcBorders>
              <w:top w:val="single" w:color="CCCCCC" w:sz="1"/>
              <w:left w:val="single" w:color="CCCCCC" w:sz="1"/>
              <w:bottom w:val="single" w:color="CCCCCC" w:sz="1"/>
              <w:right w:val="single" w:color="CCCCCC" w:sz="1"/>
            </w:tcBorders>
            <w:shd w:fill="FDEDEC" w:val="clear"/>
            <w:vAlign w:val="center"/>
          </w:tcPr>
          <w:p>
            <w:pPr>
              <w:spacing w:after="60" w:before="60"/>
              <w:jc w:val="center"/>
            </w:pPr>
            <w:r>
              <w:rPr>
                <w:b/>
                <w:bCs/>
                <w:color w:val="C0392B"/>
                <w:sz w:val="18"/>
                <w:szCs w:val="18"/>
              </w:rPr>
              <w:t xml:space="preserve">FAIL</w:t>
            </w:r>
          </w:p>
        </w:tc>
        <w:tc>
          <w:tcPr>
            <w:tcW w:type="dxa" w:w="780"/>
            <w:tcBorders>
              <w:top w:val="single" w:color="CCCCCC" w:sz="1"/>
              <w:left w:val="single" w:color="CCCCCC" w:sz="1"/>
              <w:bottom w:val="single" w:color="CCCCCC" w:sz="1"/>
              <w:right w:val="single" w:color="CCCCCC" w:sz="1"/>
            </w:tcBorders>
          </w:tcPr>
          <w:p>
            <w:pPr>
              <w:spacing w:after="60" w:before="60"/>
            </w:pPr>
            <w:r>
              <w:rPr>
                <w:color w:val="1E8449"/>
                <w:sz w:val="18"/>
                <w:szCs w:val="18"/>
              </w:rPr>
              <w:t xml:space="preserve">HIGH</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SubF-1, p.2b</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7, 19</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B-03</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Combined site GFA — Subchapter F site FAR limit (Two-Unit Residential)</w:t>
            </w:r>
          </w:p>
        </w:tc>
        <w:tc>
          <w:tcPr>
            <w:tcW w:type="dxa" w:w="780"/>
            <w:tcBorders>
              <w:top w:val="single" w:color="CCCCCC" w:sz="1"/>
              <w:left w:val="single" w:color="CCCCCC" w:sz="1"/>
              <w:bottom w:val="single" w:color="CCCCCC" w:sz="1"/>
              <w:right w:val="single" w:color="CCCCCC" w:sz="1"/>
            </w:tcBorders>
            <w:shd w:fill="FDEDEC" w:val="clear"/>
            <w:vAlign w:val="center"/>
          </w:tcPr>
          <w:p>
            <w:pPr>
              <w:spacing w:after="60" w:before="60"/>
              <w:jc w:val="center"/>
            </w:pPr>
            <w:r>
              <w:rPr>
                <w:b/>
                <w:bCs/>
                <w:color w:val="C0392B"/>
                <w:sz w:val="18"/>
                <w:szCs w:val="18"/>
              </w:rPr>
              <w:t xml:space="preserve">FAIL</w:t>
            </w:r>
          </w:p>
        </w:tc>
        <w:tc>
          <w:tcPr>
            <w:tcW w:type="dxa" w:w="780"/>
            <w:tcBorders>
              <w:top w:val="single" w:color="CCCCCC" w:sz="1"/>
              <w:left w:val="single" w:color="CCCCCC" w:sz="1"/>
              <w:bottom w:val="single" w:color="CCCCCC" w:sz="1"/>
              <w:right w:val="single" w:color="CCCCCC" w:sz="1"/>
            </w:tcBorders>
          </w:tcPr>
          <w:p>
            <w:pPr>
              <w:spacing w:after="60" w:before="60"/>
            </w:pPr>
            <w:r>
              <w:rPr>
                <w:color w:val="1E8449"/>
                <w:sz w:val="18"/>
                <w:szCs w:val="18"/>
              </w:rPr>
              <w:t xml:space="preserve">HIGH</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SubF-1, SubF-2, p.2b</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7, 8, 19</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B-04</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House height — base district maximum 35 ft</w:t>
            </w:r>
          </w:p>
        </w:tc>
        <w:tc>
          <w:tcPr>
            <w:tcW w:type="dxa" w:w="78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c>
          <w:tcPr>
            <w:tcW w:type="dxa" w:w="780"/>
            <w:tcBorders>
              <w:top w:val="single" w:color="CCCCCC" w:sz="1"/>
              <w:left w:val="single" w:color="CCCCCC" w:sz="1"/>
              <w:bottom w:val="single" w:color="CCCCCC" w:sz="1"/>
              <w:right w:val="single" w:color="CCCCCC" w:sz="1"/>
            </w:tcBorders>
          </w:tcPr>
          <w:p>
            <w:pPr>
              <w:spacing w:after="60" w:before="60"/>
            </w:pPr>
            <w:r>
              <w:rPr>
                <w:color w:val="1E8449"/>
                <w:sz w:val="18"/>
                <w:szCs w:val="18"/>
              </w:rPr>
              <w:t xml:space="preserve">HIGH</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p.3a2</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22</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B-05</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ADU height — base district maximum 35 ft</w:t>
            </w:r>
          </w:p>
        </w:tc>
        <w:tc>
          <w:tcPr>
            <w:tcW w:type="dxa" w:w="78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c>
          <w:tcPr>
            <w:tcW w:type="dxa" w:w="780"/>
            <w:tcBorders>
              <w:top w:val="single" w:color="CCCCCC" w:sz="1"/>
              <w:left w:val="single" w:color="CCCCCC" w:sz="1"/>
              <w:bottom w:val="single" w:color="CCCCCC" w:sz="1"/>
              <w:right w:val="single" w:color="CCCCCC" w:sz="1"/>
            </w:tcBorders>
          </w:tcPr>
          <w:p>
            <w:pPr>
              <w:spacing w:after="60" w:before="60"/>
            </w:pPr>
            <w:r>
              <w:rPr>
                <w:color w:val="1E8449"/>
                <w:sz w:val="18"/>
                <w:szCs w:val="18"/>
              </w:rPr>
              <w:t xml:space="preserve">HIGH</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p.3e1-ADU</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23</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B-06</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Street-facing entrance — House (Unit 1)</w:t>
            </w:r>
          </w:p>
        </w:tc>
        <w:tc>
          <w:tcPr>
            <w:tcW w:type="dxa" w:w="78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c>
          <w:tcPr>
            <w:tcW w:type="dxa" w:w="780"/>
            <w:tcBorders>
              <w:top w:val="single" w:color="CCCCCC" w:sz="1"/>
              <w:left w:val="single" w:color="CCCCCC" w:sz="1"/>
              <w:bottom w:val="single" w:color="CCCCCC" w:sz="1"/>
              <w:right w:val="single" w:color="CCCCCC" w:sz="1"/>
            </w:tcBorders>
          </w:tcPr>
          <w:p>
            <w:pPr>
              <w:spacing w:after="60" w:before="60"/>
            </w:pPr>
            <w:r>
              <w:rPr>
                <w:color w:val="1E8449"/>
                <w:sz w:val="18"/>
                <w:szCs w:val="18"/>
              </w:rPr>
              <w:t xml:space="preserve">HIGH</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p.3e1</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21</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B-07</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Street-facing entrance — ADU (Unit 2)</w:t>
            </w:r>
          </w:p>
        </w:tc>
        <w:tc>
          <w:tcPr>
            <w:tcW w:type="dxa" w:w="780"/>
            <w:tcBorders>
              <w:top w:val="single" w:color="CCCCCC" w:sz="1"/>
              <w:left w:val="single" w:color="CCCCCC" w:sz="1"/>
              <w:bottom w:val="single" w:color="CCCCCC" w:sz="1"/>
              <w:right w:val="single" w:color="CCCCCC" w:sz="1"/>
            </w:tcBorders>
            <w:shd w:fill="FDEDEC" w:val="clear"/>
            <w:vAlign w:val="center"/>
          </w:tcPr>
          <w:p>
            <w:pPr>
              <w:spacing w:after="60" w:before="60"/>
              <w:jc w:val="center"/>
            </w:pPr>
            <w:r>
              <w:rPr>
                <w:b/>
                <w:bCs/>
                <w:color w:val="C0392B"/>
                <w:sz w:val="18"/>
                <w:szCs w:val="18"/>
              </w:rPr>
              <w:t xml:space="preserve">FAIL</w:t>
            </w:r>
          </w:p>
        </w:tc>
        <w:tc>
          <w:tcPr>
            <w:tcW w:type="dxa" w:w="780"/>
            <w:tcBorders>
              <w:top w:val="single" w:color="CCCCCC" w:sz="1"/>
              <w:left w:val="single" w:color="CCCCCC" w:sz="1"/>
              <w:bottom w:val="single" w:color="CCCCCC" w:sz="1"/>
              <w:right w:val="single" w:color="CCCCCC" w:sz="1"/>
            </w:tcBorders>
          </w:tcPr>
          <w:p>
            <w:pPr>
              <w:spacing w:after="60" w:before="60"/>
            </w:pPr>
            <w:r>
              <w:rPr>
                <w:color w:val="B7770D"/>
                <w:sz w:val="18"/>
                <w:szCs w:val="18"/>
              </w:rPr>
              <w:t xml:space="preserve">MEDIUM</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p.3b2, p.3e1-ADU, p.2b</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24, 23, 19</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B-08</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Habitable attic GFA calculation methodology — House</w:t>
            </w:r>
          </w:p>
        </w:tc>
        <w:tc>
          <w:tcPr>
            <w:tcW w:type="dxa" w:w="78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c>
          <w:tcPr>
            <w:tcW w:type="dxa" w:w="780"/>
            <w:tcBorders>
              <w:top w:val="single" w:color="CCCCCC" w:sz="1"/>
              <w:left w:val="single" w:color="CCCCCC" w:sz="1"/>
              <w:bottom w:val="single" w:color="CCCCCC" w:sz="1"/>
              <w:right w:val="single" w:color="CCCCCC" w:sz="1"/>
            </w:tcBorders>
          </w:tcPr>
          <w:p>
            <w:pPr>
              <w:spacing w:after="60" w:before="60"/>
            </w:pPr>
            <w:r>
              <w:rPr>
                <w:color w:val="1E8449"/>
                <w:sz w:val="18"/>
                <w:szCs w:val="18"/>
              </w:rPr>
              <w:t xml:space="preserve">HIGH</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p.2a3</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18</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B-09</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Egress windows — all sleeping rooms</w:t>
            </w:r>
          </w:p>
        </w:tc>
        <w:tc>
          <w:tcPr>
            <w:tcW w:type="dxa" w:w="78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c>
          <w:tcPr>
            <w:tcW w:type="dxa" w:w="780"/>
            <w:tcBorders>
              <w:top w:val="single" w:color="CCCCCC" w:sz="1"/>
              <w:left w:val="single" w:color="CCCCCC" w:sz="1"/>
              <w:bottom w:val="single" w:color="CCCCCC" w:sz="1"/>
              <w:right w:val="single" w:color="CCCCCC" w:sz="1"/>
            </w:tcBorders>
          </w:tcPr>
          <w:p>
            <w:pPr>
              <w:spacing w:after="60" w:before="60"/>
            </w:pPr>
            <w:r>
              <w:rPr>
                <w:color w:val="B7770D"/>
                <w:sz w:val="18"/>
                <w:szCs w:val="18"/>
              </w:rPr>
              <w:t xml:space="preserve">MEDIUM</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p.2a2, p.2b</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17, 19</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B-10</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Garage placement — ADU (parking structure setback from front lot line)</w:t>
            </w:r>
          </w:p>
        </w:tc>
        <w:tc>
          <w:tcPr>
            <w:tcW w:type="dxa" w:w="78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c>
          <w:tcPr>
            <w:tcW w:type="dxa" w:w="780"/>
            <w:tcBorders>
              <w:top w:val="single" w:color="CCCCCC" w:sz="1"/>
              <w:left w:val="single" w:color="CCCCCC" w:sz="1"/>
              <w:bottom w:val="single" w:color="CCCCCC" w:sz="1"/>
              <w:right w:val="single" w:color="CCCCCC" w:sz="1"/>
            </w:tcBorders>
          </w:tcPr>
          <w:p>
            <w:pPr>
              <w:spacing w:after="60" w:before="60"/>
            </w:pPr>
            <w:r>
              <w:rPr>
                <w:color w:val="B7770D"/>
                <w:sz w:val="18"/>
                <w:szCs w:val="18"/>
              </w:rPr>
              <w:t xml:space="preserve">MEDIUM</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p.2b, p.3e1-ADU</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19, 23</w:t>
            </w:r>
          </w:p>
        </w:tc>
      </w:tr>
    </w:tbl>
    <w:p>
      <w:pPr>
        <w:spacing w:after="120"/>
      </w:pPr>
    </w:p>
    <w:p>
      <w:pPr>
        <w:pStyle w:val="Heading2"/>
      </w:pPr>
      <w:r>
        <w:t xml:space="preserve">Life Safety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580"/>
        <w:gridCol w:w="3200"/>
        <w:gridCol w:w="780"/>
        <w:gridCol w:w="780"/>
        <w:gridCol w:w="1700"/>
        <w:gridCol w:w="1040"/>
      </w:tblGrid>
      <w:tr>
        <w:tc>
          <w:tcPr>
            <w:tcW w:type="dxa" w:w="5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ID</w:t>
            </w:r>
          </w:p>
        </w:tc>
        <w:tc>
          <w:tcPr>
            <w:tcW w:type="dxa" w:w="32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Check</w:t>
            </w:r>
          </w:p>
        </w:tc>
        <w:tc>
          <w:tcPr>
            <w:tcW w:type="dxa" w:w="7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Status</w:t>
            </w:r>
          </w:p>
        </w:tc>
        <w:tc>
          <w:tcPr>
            <w:tcW w:type="dxa" w:w="7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Conf</w:t>
            </w:r>
          </w:p>
        </w:tc>
        <w:tc>
          <w:tcPr>
            <w:tcW w:type="dxa" w:w="17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Sheet</w:t>
            </w:r>
          </w:p>
        </w:tc>
        <w:tc>
          <w:tcPr>
            <w:tcW w:type="dxa" w:w="104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Page</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C-01</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Smoke alarm — all sleeping rooms and common areas</w:t>
            </w:r>
          </w:p>
        </w:tc>
        <w:tc>
          <w:tcPr>
            <w:tcW w:type="dxa" w:w="78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c>
          <w:tcPr>
            <w:tcW w:type="dxa" w:w="780"/>
            <w:tcBorders>
              <w:top w:val="single" w:color="CCCCCC" w:sz="1"/>
              <w:left w:val="single" w:color="CCCCCC" w:sz="1"/>
              <w:bottom w:val="single" w:color="CCCCCC" w:sz="1"/>
              <w:right w:val="single" w:color="CCCCCC" w:sz="1"/>
            </w:tcBorders>
          </w:tcPr>
          <w:p>
            <w:pPr>
              <w:spacing w:after="60" w:before="60"/>
            </w:pPr>
            <w:r>
              <w:rPr>
                <w:color w:val="B7770D"/>
                <w:sz w:val="18"/>
                <w:szCs w:val="18"/>
              </w:rPr>
              <w:t xml:space="preserve">MEDIUM</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p.2a1, p.2a2, p.2a3, p.2b</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13, 17, 18, 19</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C-02</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Architect stamp and signature — current</w:t>
            </w:r>
          </w:p>
        </w:tc>
        <w:tc>
          <w:tcPr>
            <w:tcW w:type="dxa" w:w="78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c>
          <w:tcPr>
            <w:tcW w:type="dxa" w:w="780"/>
            <w:tcBorders>
              <w:top w:val="single" w:color="CCCCCC" w:sz="1"/>
              <w:left w:val="single" w:color="CCCCCC" w:sz="1"/>
              <w:bottom w:val="single" w:color="CCCCCC" w:sz="1"/>
              <w:right w:val="single" w:color="CCCCCC" w:sz="1"/>
            </w:tcBorders>
          </w:tcPr>
          <w:p>
            <w:pPr>
              <w:spacing w:after="60" w:before="60"/>
            </w:pPr>
            <w:r>
              <w:rPr>
                <w:color w:val="1E8449"/>
                <w:sz w:val="18"/>
                <w:szCs w:val="18"/>
              </w:rPr>
              <w:t xml:space="preserve">HIGH</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p.2a1, p.2a2, p.2a3, p.2b, p.3e1, p.3a2, p.3b2, p.3e1-ADU</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13–24</w:t>
            </w:r>
          </w:p>
        </w:tc>
      </w:tr>
    </w:tbl>
    <w:p>
      <w:pPr>
        <w:spacing w:after="120"/>
      </w:pPr>
    </w:p>
    <w:p>
      <w:pPr>
        <w:pStyle w:val="Heading2"/>
      </w:pPr>
      <w:r>
        <w:t xml:space="preserve">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580"/>
        <w:gridCol w:w="3200"/>
        <w:gridCol w:w="780"/>
        <w:gridCol w:w="780"/>
        <w:gridCol w:w="1700"/>
        <w:gridCol w:w="1040"/>
      </w:tblGrid>
      <w:tr>
        <w:tc>
          <w:tcPr>
            <w:tcW w:type="dxa" w:w="5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ID</w:t>
            </w:r>
          </w:p>
        </w:tc>
        <w:tc>
          <w:tcPr>
            <w:tcW w:type="dxa" w:w="32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Check</w:t>
            </w:r>
          </w:p>
        </w:tc>
        <w:tc>
          <w:tcPr>
            <w:tcW w:type="dxa" w:w="7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Status</w:t>
            </w:r>
          </w:p>
        </w:tc>
        <w:tc>
          <w:tcPr>
            <w:tcW w:type="dxa" w:w="7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Conf</w:t>
            </w:r>
          </w:p>
        </w:tc>
        <w:tc>
          <w:tcPr>
            <w:tcW w:type="dxa" w:w="17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Sheet</w:t>
            </w:r>
          </w:p>
        </w:tc>
        <w:tc>
          <w:tcPr>
            <w:tcW w:type="dxa" w:w="104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Page</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C-03</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Structural engineer stamp and signature</w:t>
            </w:r>
          </w:p>
        </w:tc>
        <w:tc>
          <w:tcPr>
            <w:tcW w:type="dxa" w:w="780"/>
            <w:tcBorders>
              <w:top w:val="single" w:color="CCCCCC" w:sz="1"/>
              <w:left w:val="single" w:color="CCCCCC" w:sz="1"/>
              <w:bottom w:val="single" w:color="CCCCCC" w:sz="1"/>
              <w:right w:val="single" w:color="CCCCCC" w:sz="1"/>
            </w:tcBorders>
            <w:shd w:fill="D5F5E3" w:val="clear"/>
            <w:vAlign w:val="center"/>
          </w:tcPr>
          <w:p>
            <w:pPr>
              <w:spacing w:after="60" w:before="60"/>
              <w:jc w:val="center"/>
            </w:pPr>
            <w:r>
              <w:rPr>
                <w:b/>
                <w:bCs/>
                <w:color w:val="1E8449"/>
                <w:sz w:val="18"/>
                <w:szCs w:val="18"/>
              </w:rPr>
              <w:t xml:space="preserve">PASS</w:t>
            </w:r>
          </w:p>
        </w:tc>
        <w:tc>
          <w:tcPr>
            <w:tcW w:type="dxa" w:w="780"/>
            <w:tcBorders>
              <w:top w:val="single" w:color="CCCCCC" w:sz="1"/>
              <w:left w:val="single" w:color="CCCCCC" w:sz="1"/>
              <w:bottom w:val="single" w:color="CCCCCC" w:sz="1"/>
              <w:right w:val="single" w:color="CCCCCC" w:sz="1"/>
            </w:tcBorders>
          </w:tcPr>
          <w:p>
            <w:pPr>
              <w:spacing w:after="60" w:before="60"/>
            </w:pPr>
            <w:r>
              <w:rPr>
                <w:color w:val="1E8449"/>
                <w:sz w:val="18"/>
                <w:szCs w:val="18"/>
              </w:rPr>
              <w:t xml:space="preserve">HIGH</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S200, S300, S301, S302, S304, S400</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26–32</w:t>
            </w:r>
          </w:p>
        </w:tc>
      </w:tr>
      <w:tr>
        <w:tc>
          <w:tcPr>
            <w:tcW w:type="dxa" w:w="58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C-04</w:t>
            </w:r>
          </w:p>
        </w:tc>
        <w:tc>
          <w:tcPr>
            <w:tcW w:type="dxa" w:w="3200"/>
            <w:tcBorders>
              <w:top w:val="single" w:color="CCCCCC" w:sz="1"/>
              <w:left w:val="single" w:color="CCCCCC" w:sz="1"/>
              <w:bottom w:val="single" w:color="CCCCCC" w:sz="1"/>
              <w:right w:val="single" w:color="CCCCCC" w:sz="1"/>
            </w:tcBorders>
          </w:tcPr>
          <w:p>
            <w:pPr>
              <w:spacing w:after="60" w:before="60"/>
            </w:pPr>
            <w:r>
              <w:rPr>
                <w:sz w:val="19"/>
                <w:szCs w:val="19"/>
              </w:rPr>
              <w:t xml:space="preserve">Foundation type and structural design — adequacy</w:t>
            </w:r>
          </w:p>
        </w:tc>
        <w:tc>
          <w:tcPr>
            <w:tcW w:type="dxa" w:w="780"/>
            <w:tcBorders>
              <w:top w:val="single" w:color="CCCCCC" w:sz="1"/>
              <w:left w:val="single" w:color="CCCCCC" w:sz="1"/>
              <w:bottom w:val="single" w:color="CCCCCC" w:sz="1"/>
              <w:right w:val="single" w:color="CCCCCC" w:sz="1"/>
            </w:tcBorders>
            <w:shd w:fill="FEF9E7" w:val="clear"/>
            <w:vAlign w:val="center"/>
          </w:tcPr>
          <w:p>
            <w:pPr>
              <w:spacing w:after="60" w:before="60"/>
              <w:jc w:val="center"/>
            </w:pPr>
            <w:r>
              <w:rPr>
                <w:b/>
                <w:bCs/>
                <w:color w:val="B7770D"/>
                <w:sz w:val="18"/>
                <w:szCs w:val="18"/>
              </w:rPr>
              <w:t xml:space="preserve">UNCLEAR</w:t>
            </w:r>
          </w:p>
        </w:tc>
        <w:tc>
          <w:tcPr>
            <w:tcW w:type="dxa" w:w="780"/>
            <w:tcBorders>
              <w:top w:val="single" w:color="CCCCCC" w:sz="1"/>
              <w:left w:val="single" w:color="CCCCCC" w:sz="1"/>
              <w:bottom w:val="single" w:color="CCCCCC" w:sz="1"/>
              <w:right w:val="single" w:color="CCCCCC" w:sz="1"/>
            </w:tcBorders>
          </w:tcPr>
          <w:p>
            <w:pPr>
              <w:spacing w:after="60" w:before="60"/>
            </w:pPr>
            <w:r>
              <w:rPr>
                <w:color w:val="C0392B"/>
                <w:sz w:val="18"/>
                <w:szCs w:val="18"/>
              </w:rPr>
              <w:t xml:space="preserve">LOW</w:t>
            </w:r>
          </w:p>
        </w:tc>
        <w:tc>
          <w:tcPr>
            <w:tcW w:type="dxa" w:w="1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sz w:val="17"/>
                <w:szCs w:val="17"/>
              </w:rPr>
              <w:t xml:space="preserve">S200, S300, S301, S302, S304, S400</w:t>
            </w:r>
          </w:p>
        </w:tc>
        <w:tc>
          <w:tcPr>
            <w:tcW w:type="dxa" w:w="1040"/>
            <w:tcBorders>
              <w:top w:val="single" w:color="CCCCCC" w:sz="1"/>
              <w:left w:val="single" w:color="CCCCCC" w:sz="1"/>
              <w:bottom w:val="single" w:color="CCCCCC" w:sz="1"/>
              <w:right w:val="single" w:color="CCCCCC" w:sz="1"/>
            </w:tcBorders>
          </w:tcPr>
          <w:p>
            <w:pPr>
              <w:spacing w:after="60" w:before="60"/>
            </w:pPr>
            <w:r>
              <w:rPr>
                <w:sz w:val="17"/>
                <w:szCs w:val="17"/>
              </w:rPr>
              <w:t xml:space="preserve">26–32</w:t>
            </w:r>
          </w:p>
        </w:tc>
      </w:tr>
    </w:tbl>
    <w:p>
      <w:pPr>
        <w:spacing w:after="120"/>
      </w:pPr>
    </w:p>
    <w:p>
      <w:pPr>
        <w:pStyle w:val="Heading1"/>
        <w:pageBreakBefore/>
      </w:pPr>
      <w:r>
        <w:t xml:space="preserve">Finding Details — FAIL &amp; UNCLEAR</w:t>
      </w:r>
    </w:p>
    <w:p>
      <w:pPr>
        <w:spacing w:after="140"/>
      </w:pPr>
      <w:r>
        <w:rPr>
          <w:i/>
          <w:iCs/>
          <w:color w:val="555555"/>
        </w:rPr>
        <w:t xml:space="preserve">Observations and code references for all non-passing findings</w:t>
      </w:r>
    </w:p>
    <w:p>
      <w:pPr>
        <w:spacing w:after="80"/>
      </w:pPr>
      <w:r>
        <w:rPr>
          <w:rFonts w:ascii="Courier New" w:cs="Courier New" w:eastAsia="Courier New" w:hAnsi="Courier New"/>
          <w:color w:val="1A3A5C"/>
          <w:sz w:val="18"/>
          <w:szCs w:val="18"/>
        </w:rPr>
        <w:t xml:space="preserve">A-01  </w:t>
      </w:r>
      <w:r>
        <w:rPr>
          <w:b/>
          <w:bCs/>
        </w:rPr>
        <w:t xml:space="preserve">Lot area — consistency across submittal documents</w:t>
      </w:r>
      <w:r>
        <w:rPr>
          <w:b/>
          <w:bCs/>
          <w:color w:val="C0392B"/>
        </w:rPr>
        <w:t xml:space="preserve">  [FAIL]</w:t>
      </w:r>
    </w:p>
    <w:p>
      <w:pPr>
        <w:spacing w:after="60"/>
        <w:ind w:left="360"/>
      </w:pPr>
      <w:r>
        <w:rPr>
          <w:b/>
          <w:bCs/>
        </w:rPr>
        <w:t xml:space="preserve">Observation: </w:t>
      </w:r>
      <w:r>
        <w:t xml:space="preserve">Permit Application (page 4) states lot area = 7,330 sq ft. Site Development Data table (pages 5–6) states lot area = 7,730 sq ft. Two different values appear in the same submittal; difference is 400 sq ft.</w:t>
      </w:r>
    </w:p>
    <w:p>
      <w:pPr>
        <w:spacing w:after="160"/>
        <w:ind w:left="360"/>
      </w:pPr>
      <w:r>
        <w:rPr>
          <w:b/>
          <w:bCs/>
        </w:rPr>
        <w:t xml:space="preserve">Code: </w:t>
      </w:r>
      <w:r>
        <w:rPr>
          <w:i/>
          <w:iCs/>
          <w:color w:val="1A3A5C"/>
        </w:rPr>
        <w:t xml:space="preserve">Austin LDC §25-1-22(A) — lot area is determined by survey; all permit documents must reflect the same verified survey measurement. Inconsistent lot area figures on a single submittal require correction and reconciliation to the recorded plat or current survey.</w:t>
      </w:r>
    </w:p>
    <w:p>
      <w:pPr>
        <w:spacing w:after="80"/>
      </w:pPr>
      <w:r>
        <w:rPr>
          <w:rFonts w:ascii="Courier New" w:cs="Courier New" w:eastAsia="Courier New" w:hAnsi="Courier New"/>
          <w:color w:val="1A3A5C"/>
          <w:sz w:val="18"/>
          <w:szCs w:val="18"/>
        </w:rPr>
        <w:t xml:space="preserve">A-02  </w:t>
      </w:r>
      <w:r>
        <w:rPr>
          <w:b/>
          <w:bCs/>
        </w:rPr>
        <w:t xml:space="preserve">Use type designation — Two-Unit Residential vs. SFR+ADU</w:t>
      </w:r>
      <w:r>
        <w:rPr>
          <w:b/>
          <w:bCs/>
          <w:color w:val="C0392B"/>
        </w:rPr>
        <w:t xml:space="preserve">  [FAIL]</w:t>
      </w:r>
    </w:p>
    <w:p>
      <w:pPr>
        <w:spacing w:after="60"/>
        <w:ind w:left="360"/>
      </w:pPr>
      <w:r>
        <w:rPr>
          <w:b/>
          <w:bCs/>
        </w:rPr>
        <w:t xml:space="preserve">Observation: </w:t>
      </w:r>
      <w:r>
        <w:t xml:space="preserve">The submittal title blocks describe the project as 'House w/ Habitable Attic' (architectural sheets) without explicitly designating the use type as Two-Unit Residential. Under HOME Phase I, two dwelling units on a single SF-3 lot constitute Two-Unit Residential use. The former Accessory Apartment use (§25-2-901) was repealed. Subchapter F GFA forms reference only the house, not the combined two-unit use. Unit count on permit app correctly shows 2 units.</w:t>
      </w:r>
    </w:p>
    <w:p>
      <w:pPr>
        <w:spacing w:after="160"/>
        <w:ind w:left="360"/>
      </w:pPr>
      <w:r>
        <w:rPr>
          <w:b/>
          <w:bCs/>
        </w:rPr>
        <w:t xml:space="preserve">Code: </w:t>
      </w:r>
      <w:r>
        <w:rPr>
          <w:i/>
          <w:iCs/>
          <w:color w:val="1A3A5C"/>
        </w:rPr>
        <w:t xml:space="preserve">HOME Phase I, Ord. 20231207-001, §25-2-773 — Duplex, Two-Unit, and Three-Unit Residential uses now govern two-unit development on SF-zoned lots; §25-2-901 (Accessory Apartments) repealed by same ordinance. Submittal must explicitly designate use type as Two-Unit Residential and apply §25-2-773 development standards.</w:t>
      </w:r>
    </w:p>
    <w:p>
      <w:pPr>
        <w:spacing w:after="80"/>
      </w:pPr>
      <w:r>
        <w:rPr>
          <w:rFonts w:ascii="Courier New" w:cs="Courier New" w:eastAsia="Courier New" w:hAnsi="Courier New"/>
          <w:color w:val="1A3A5C"/>
          <w:sz w:val="18"/>
          <w:szCs w:val="18"/>
        </w:rPr>
        <w:t xml:space="preserve">A-03  </w:t>
      </w:r>
      <w:r>
        <w:rPr>
          <w:b/>
          <w:bCs/>
        </w:rPr>
        <w:t xml:space="preserve">HOME Phase I ordinance number — cited in applicable codes list</w:t>
      </w:r>
      <w:r>
        <w:rPr>
          <w:b/>
          <w:bCs/>
          <w:color w:val="B7770D"/>
        </w:rPr>
        <w:t xml:space="preserve">  [UNCLEAR]</w:t>
      </w:r>
    </w:p>
    <w:p>
      <w:pPr>
        <w:spacing w:after="60"/>
        <w:ind w:left="360"/>
      </w:pPr>
      <w:r>
        <w:rPr>
          <w:b/>
          <w:bCs/>
        </w:rPr>
        <w:t xml:space="preserve">Observation: </w:t>
      </w:r>
      <w:r>
        <w:t xml:space="preserve">Plans cite 2021 IRC in plan notes (IRC R314, R315). The applicable codes list on the cover/administrative sheets does not clearly cite the HOME Phase I ordinance number (Ord. 20231207-001) or the governing LDC section (§25-2-773) in the visible reduced-scale review. At full-size sheet the citation may be present.</w:t>
      </w:r>
    </w:p>
    <w:p>
      <w:pPr>
        <w:spacing w:after="160"/>
        <w:ind w:left="360"/>
      </w:pPr>
      <w:r>
        <w:rPr>
          <w:b/>
          <w:bCs/>
        </w:rPr>
        <w:t xml:space="preserve">Code: </w:t>
      </w:r>
      <w:r>
        <w:rPr>
          <w:i/>
          <w:iCs/>
          <w:color w:val="1A3A5C"/>
        </w:rPr>
        <w:t xml:space="preserve">Austin Administrative Code — permit submittals must list all applicable codes and local ordinances governing the project, including HOME amendment ordinance numbers. HOME Phase I, Ord. 20231207-001 must be cited as the governing standard for Two-Unit Residential use.</w:t>
      </w:r>
    </w:p>
    <w:p>
      <w:pPr>
        <w:spacing w:after="80"/>
      </w:pPr>
      <w:r>
        <w:rPr>
          <w:rFonts w:ascii="Courier New" w:cs="Courier New" w:eastAsia="Courier New" w:hAnsi="Courier New"/>
          <w:color w:val="1A3A5C"/>
          <w:sz w:val="18"/>
          <w:szCs w:val="18"/>
        </w:rPr>
        <w:t xml:space="preserve">A-06  </w:t>
      </w:r>
      <w:r>
        <w:rPr>
          <w:b/>
          <w:bCs/>
        </w:rPr>
        <w:t xml:space="preserve">Front yard impervious cover — Phase I maximum 40%</w:t>
      </w:r>
      <w:r>
        <w:rPr>
          <w:b/>
          <w:bCs/>
          <w:color w:val="B7770D"/>
        </w:rPr>
        <w:t xml:space="preserve">  [UNCLEAR]</w:t>
      </w:r>
    </w:p>
    <w:p>
      <w:pPr>
        <w:spacing w:after="60"/>
        <w:ind w:left="360"/>
      </w:pPr>
      <w:r>
        <w:rPr>
          <w:b/>
          <w:bCs/>
        </w:rPr>
        <w:t xml:space="preserve">Observation: </w:t>
      </w:r>
      <w:r>
        <w:t xml:space="preserve">Phase I §25-2-773(B) limits impervious cover in the front or street yard to 40% of that yard area. The site plan (p.1a, p.1d) shows a driveway and paved area in the front yard, but the percentage of the front yard that is impervious is not explicitly called out at the scale reviewed.</w:t>
      </w:r>
    </w:p>
    <w:p>
      <w:pPr>
        <w:spacing w:after="160"/>
        <w:ind w:left="360"/>
      </w:pPr>
      <w:r>
        <w:rPr>
          <w:b/>
          <w:bCs/>
        </w:rPr>
        <w:t xml:space="preserve">Code: </w:t>
      </w:r>
      <w:r>
        <w:rPr>
          <w:i/>
          <w:iCs/>
          <w:color w:val="1A3A5C"/>
        </w:rPr>
        <w:t xml:space="preserve">HOME Phase I, Ord. 20231207-001, §25-2-773(B) — maximum front yard impervious cover 40%. Front yard square footage and impervious area within the front yard must be calculated and shown on plans.</w:t>
      </w:r>
    </w:p>
    <w:p>
      <w:pPr>
        <w:spacing w:after="80"/>
      </w:pPr>
      <w:r>
        <w:rPr>
          <w:rFonts w:ascii="Courier New" w:cs="Courier New" w:eastAsia="Courier New" w:hAnsi="Courier New"/>
          <w:color w:val="1A3A5C"/>
          <w:sz w:val="18"/>
          <w:szCs w:val="18"/>
        </w:rPr>
        <w:t xml:space="preserve">A-07  </w:t>
      </w:r>
      <w:r>
        <w:rPr>
          <w:b/>
          <w:bCs/>
        </w:rPr>
        <w:t xml:space="preserve">Front setback — house (primary building)</w:t>
      </w:r>
      <w:r>
        <w:rPr>
          <w:b/>
          <w:bCs/>
          <w:color w:val="B7770D"/>
        </w:rPr>
        <w:t xml:space="preserve">  [UNCLEAR]</w:t>
      </w:r>
    </w:p>
    <w:p>
      <w:pPr>
        <w:spacing w:after="60"/>
        <w:ind w:left="360"/>
      </w:pPr>
      <w:r>
        <w:rPr>
          <w:b/>
          <w:bCs/>
        </w:rPr>
        <w:t xml:space="preserve">Observation: </w:t>
      </w:r>
      <w:r>
        <w:t xml:space="preserve">Phase I §25-2-773(B) requires minimum 15 ft front yard setback. The site plan and setback tent diagrams (pages 9, 21) show the house setback from the Euclid Ave (north) property line, but exact dimensioned setback values are not clearly legible at the scale reviewed. The setback appears to be at or near 15 ft.</w:t>
      </w:r>
    </w:p>
    <w:p>
      <w:pPr>
        <w:spacing w:after="160"/>
        <w:ind w:left="360"/>
      </w:pPr>
      <w:r>
        <w:rPr>
          <w:b/>
          <w:bCs/>
        </w:rPr>
        <w:t xml:space="preserve">Code: </w:t>
      </w:r>
      <w:r>
        <w:rPr>
          <w:i/>
          <w:iCs/>
          <w:color w:val="1A3A5C"/>
        </w:rPr>
        <w:t xml:space="preserve">HOME Phase I, Ord. 20231207-001, §25-2-773(B) — minimum front yard setback 15 ft for Two-Unit Residential. Setback must be clearly dimensioned on site plan and verified against surveyed property line.</w:t>
      </w:r>
    </w:p>
    <w:p>
      <w:pPr>
        <w:spacing w:after="80"/>
      </w:pPr>
      <w:r>
        <w:rPr>
          <w:rFonts w:ascii="Courier New" w:cs="Courier New" w:eastAsia="Courier New" w:hAnsi="Courier New"/>
          <w:color w:val="1A3A5C"/>
          <w:sz w:val="18"/>
          <w:szCs w:val="18"/>
        </w:rPr>
        <w:t xml:space="preserve">A-08  </w:t>
      </w:r>
      <w:r>
        <w:rPr>
          <w:b/>
          <w:bCs/>
        </w:rPr>
        <w:t xml:space="preserve">Rear setback — ADU (adjacent to alley)</w:t>
      </w:r>
      <w:r>
        <w:rPr>
          <w:b/>
          <w:bCs/>
          <w:color w:val="B7770D"/>
        </w:rPr>
        <w:t xml:space="preserve">  [UNCLEAR]</w:t>
      </w:r>
    </w:p>
    <w:p>
      <w:pPr>
        <w:spacing w:after="60"/>
        <w:ind w:left="360"/>
      </w:pPr>
      <w:r>
        <w:rPr>
          <w:b/>
          <w:bCs/>
        </w:rPr>
        <w:t xml:space="preserve">Observation: </w:t>
      </w:r>
      <w:r>
        <w:t xml:space="preserve">Phase I §25-2-773(B) allows a rear setback of 5 ft when the rear lot line is adjacent to an alley or a lot permitted for multifamily or less restrictive use. The site plan shows an alley along the south property line. The ADU is the rearmost structure. The exact rear setback dimension from the south lot line is not legible at scale reviewed.</w:t>
      </w:r>
    </w:p>
    <w:p>
      <w:pPr>
        <w:spacing w:after="160"/>
        <w:ind w:left="360"/>
      </w:pPr>
      <w:r>
        <w:rPr>
          <w:b/>
          <w:bCs/>
        </w:rPr>
        <w:t xml:space="preserve">Code: </w:t>
      </w:r>
      <w:r>
        <w:rPr>
          <w:i/>
          <w:iCs/>
          <w:color w:val="1A3A5C"/>
        </w:rPr>
        <w:t xml:space="preserve">HOME Phase I, Ord. 20231207-001, §25-2-773(B) — minimum rear yard setback is base district minimum OR 5 ft if adjacent to alley. SF-3 base district rear minimum is 10 ft; alley adjacency reduces this to 5 ft. Rear setback must be dimensioned on site plan and verified.</w:t>
      </w:r>
    </w:p>
    <w:p>
      <w:pPr>
        <w:spacing w:after="80"/>
      </w:pPr>
      <w:r>
        <w:rPr>
          <w:rFonts w:ascii="Courier New" w:cs="Courier New" w:eastAsia="Courier New" w:hAnsi="Courier New"/>
          <w:color w:val="1A3A5C"/>
          <w:sz w:val="18"/>
          <w:szCs w:val="18"/>
        </w:rPr>
        <w:t xml:space="preserve">A-09  </w:t>
      </w:r>
      <w:r>
        <w:rPr>
          <w:b/>
          <w:bCs/>
        </w:rPr>
        <w:t xml:space="preserve">Side setbacks — both buildings</w:t>
      </w:r>
      <w:r>
        <w:rPr>
          <w:b/>
          <w:bCs/>
          <w:color w:val="B7770D"/>
        </w:rPr>
        <w:t xml:space="preserve">  [UNCLEAR]</w:t>
      </w:r>
    </w:p>
    <w:p>
      <w:pPr>
        <w:spacing w:after="60"/>
        <w:ind w:left="360"/>
      </w:pPr>
      <w:r>
        <w:rPr>
          <w:b/>
          <w:bCs/>
        </w:rPr>
        <w:t xml:space="preserve">Observation: </w:t>
      </w:r>
      <w:r>
        <w:t xml:space="preserve">The ADU ground floor plan (p.2b, page 19) notes '5' STREET SIDE SETBACK' and '20' FRONT STREET-SIDE SETBACK' at the lot boundaries. If this is a standard interior lot, SF-3 requires 5 ft interior side setbacks; if corner lot, Phase I requires greater of 5 ft from property line or 10 ft from curb (Level 1) or 10 ft from property line (Level 2–4) for the street-side yard. The lot's street-side condition is not definitively confirmed from the plans reviewed.</w:t>
      </w:r>
    </w:p>
    <w:p>
      <w:pPr>
        <w:spacing w:after="160"/>
        <w:ind w:left="360"/>
      </w:pPr>
      <w:r>
        <w:rPr>
          <w:b/>
          <w:bCs/>
        </w:rPr>
        <w:t xml:space="preserve">Code: </w:t>
      </w:r>
      <w:r>
        <w:rPr>
          <w:i/>
          <w:iCs/>
          <w:color w:val="1A3A5C"/>
        </w:rPr>
        <w:t xml:space="preserve">HOME Phase I, Ord. 20231207-001, §25-2-773(B) — corner lot: minimum street-side setback is greater of 5 ft from PL or 10 ft from curb (Level 1 street); or 10 ft from PL (Level 2–4 street). Interior side: Austin LDC §25-2-492, SF-3 base district, 5 ft minimum. All side setbacks must be dimensioned on site plan.</w:t>
      </w:r>
    </w:p>
    <w:p>
      <w:pPr>
        <w:spacing w:after="80"/>
      </w:pPr>
      <w:r>
        <w:rPr>
          <w:rFonts w:ascii="Courier New" w:cs="Courier New" w:eastAsia="Courier New" w:hAnsi="Courier New"/>
          <w:color w:val="1A3A5C"/>
          <w:sz w:val="18"/>
          <w:szCs w:val="18"/>
        </w:rPr>
        <w:t xml:space="preserve">A-10  </w:t>
      </w:r>
      <w:r>
        <w:rPr>
          <w:b/>
          <w:bCs/>
        </w:rPr>
        <w:t xml:space="preserve">Front porch setback — house</w:t>
      </w:r>
      <w:r>
        <w:rPr>
          <w:b/>
          <w:bCs/>
          <w:color w:val="B7770D"/>
        </w:rPr>
        <w:t xml:space="preserve">  [UNCLEAR]</w:t>
      </w:r>
    </w:p>
    <w:p>
      <w:pPr>
        <w:spacing w:after="60"/>
        <w:ind w:left="360"/>
      </w:pPr>
      <w:r>
        <w:rPr>
          <w:b/>
          <w:bCs/>
        </w:rPr>
        <w:t xml:space="preserve">Observation: </w:t>
      </w:r>
      <w:r>
        <w:t xml:space="preserve">The house north (street-facing) elevation shows a covered front porch projecting toward Euclid Ave. Phase I §25-2-773(C) requires that a porch projecting into the front yard be no closer than 15 ft from the front lot line, and that the porch roof/overhang be no closer than 13 ft. The exact porch location relative to the front lot line is not confirmed at scale reviewed.</w:t>
      </w:r>
    </w:p>
    <w:p>
      <w:pPr>
        <w:spacing w:after="160"/>
        <w:ind w:left="360"/>
      </w:pPr>
      <w:r>
        <w:rPr>
          <w:b/>
          <w:bCs/>
        </w:rPr>
        <w:t xml:space="preserve">Code: </w:t>
      </w:r>
      <w:r>
        <w:rPr>
          <w:i/>
          <w:iCs/>
          <w:color w:val="1A3A5C"/>
        </w:rPr>
        <w:t xml:space="preserve">HOME Phase I, Ord. 20231207-001, §25-2-773(C) — porch projecting into front yard must be ≥15 ft from front lot line; porch roof/overhang must be ≥13 ft from front lot line. These dimensions must be shown on site plan or elevation.</w:t>
      </w:r>
    </w:p>
    <w:p>
      <w:pPr>
        <w:spacing w:after="80"/>
      </w:pPr>
      <w:r>
        <w:rPr>
          <w:rFonts w:ascii="Courier New" w:cs="Courier New" w:eastAsia="Courier New" w:hAnsi="Courier New"/>
          <w:color w:val="1A3A5C"/>
          <w:sz w:val="18"/>
          <w:szCs w:val="18"/>
        </w:rPr>
        <w:t xml:space="preserve">A-11  </w:t>
      </w:r>
      <w:r>
        <w:rPr>
          <w:b/>
          <w:bCs/>
        </w:rPr>
        <w:t xml:space="preserve">Parking — front/street yard spaces</w:t>
      </w:r>
      <w:r>
        <w:rPr>
          <w:b/>
          <w:bCs/>
          <w:color w:val="B7770D"/>
        </w:rPr>
        <w:t xml:space="preserve">  [UNCLEAR]</w:t>
      </w:r>
    </w:p>
    <w:p>
      <w:pPr>
        <w:spacing w:after="60"/>
        <w:ind w:left="360"/>
      </w:pPr>
      <w:r>
        <w:rPr>
          <w:b/>
          <w:bCs/>
        </w:rPr>
        <w:t xml:space="preserve">Observation: </w:t>
      </w:r>
      <w:r>
        <w:t xml:space="preserve">Phase I §25-2-773(B) limits parking in the front or street yard to a maximum of 4 spaces (combined for corner lots). The site plan shows driveway access and parking area configuration but exact parking space count in the front/street yard is not confirmed.</w:t>
      </w:r>
    </w:p>
    <w:p>
      <w:pPr>
        <w:spacing w:after="160"/>
        <w:ind w:left="360"/>
      </w:pPr>
      <w:r>
        <w:rPr>
          <w:b/>
          <w:bCs/>
        </w:rPr>
        <w:t xml:space="preserve">Code: </w:t>
      </w:r>
      <w:r>
        <w:rPr>
          <w:i/>
          <w:iCs/>
          <w:color w:val="1A3A5C"/>
        </w:rPr>
        <w:t xml:space="preserve">HOME Phase I, Ord. 20231207-001, §25-2-773(B) — maximum 4 parking spaces in front or street yard combined. Parking count and location must be shown on site plan.</w:t>
      </w:r>
    </w:p>
    <w:p>
      <w:pPr>
        <w:spacing w:after="80"/>
      </w:pPr>
      <w:r>
        <w:rPr>
          <w:rFonts w:ascii="Courier New" w:cs="Courier New" w:eastAsia="Courier New" w:hAnsi="Courier New"/>
          <w:color w:val="1A3A5C"/>
          <w:sz w:val="18"/>
          <w:szCs w:val="18"/>
        </w:rPr>
        <w:t xml:space="preserve">B-01  </w:t>
      </w:r>
      <w:r>
        <w:rPr>
          <w:b/>
          <w:bCs/>
        </w:rPr>
        <w:t xml:space="preserve">House per-unit GFA — Subchapter F FAR limit (Two-Unit Residential)</w:t>
      </w:r>
      <w:r>
        <w:rPr>
          <w:b/>
          <w:bCs/>
          <w:color w:val="B7770D"/>
        </w:rPr>
        <w:t xml:space="preserve">  [UNCLEAR]</w:t>
      </w:r>
    </w:p>
    <w:p>
      <w:pPr>
        <w:spacing w:after="60"/>
        <w:ind w:left="360"/>
      </w:pPr>
      <w:r>
        <w:rPr>
          <w:b/>
          <w:bCs/>
        </w:rPr>
        <w:t xml:space="preserve">Observation: </w:t>
      </w:r>
      <w:r>
        <w:t xml:space="preserve">The Subchapter F GFA form (pages 7–8) shows a FAR of approximately 39.86% for the house (Unit 1). Using the lower lot area of 7,330 sq ft: house GFA ≈ 7,330 × 0.3986 ≈ 2,922 sq ft. Phase I §25-2-773(E) per-unit maximum for Two-Unit Residential is greater of (0.4 × 7,330 = 2,932 sq ft) or 2,300 sq ft = 2,932 sq ft. Margin: ~10 sq ft. The GFA calculation must be verified at full scale; a 10 sq ft margin is within the rounding tolerance of reduced-sheet review. If the correct lot area is 7,730 sq ft, the per-unit max becomes 3,092 sq ft and the house easily complies.</w:t>
      </w:r>
    </w:p>
    <w:p>
      <w:pPr>
        <w:spacing w:after="160"/>
        <w:ind w:left="360"/>
      </w:pPr>
      <w:r>
        <w:rPr>
          <w:b/>
          <w:bCs/>
        </w:rPr>
        <w:t xml:space="preserve">Code: </w:t>
      </w:r>
      <w:r>
        <w:rPr>
          <w:i/>
          <w:iCs/>
          <w:color w:val="1A3A5C"/>
        </w:rPr>
        <w:t xml:space="preserve">HOME Phase I, Ord. 20231207-001, §25-2-773(E) — within Subchapter F compatibility area, Two-Unit Residential: per-unit maximum GFA is greater of 0.4 FAR or 2,300 sq ft. House GFA ~2,922 sq ft vs. max ~2,932 sq ft using 7,330 sq ft lot area. Exact GFA must be confirmed at full scale and lot area discrepancy (finding A-01) resolved first.</w:t>
      </w:r>
    </w:p>
    <w:p>
      <w:pPr>
        <w:spacing w:after="80"/>
      </w:pPr>
      <w:r>
        <w:rPr>
          <w:rFonts w:ascii="Courier New" w:cs="Courier New" w:eastAsia="Courier New" w:hAnsi="Courier New"/>
          <w:color w:val="1A3A5C"/>
          <w:sz w:val="18"/>
          <w:szCs w:val="18"/>
        </w:rPr>
        <w:t xml:space="preserve">B-02  </w:t>
      </w:r>
      <w:r>
        <w:rPr>
          <w:b/>
          <w:bCs/>
        </w:rPr>
        <w:t xml:space="preserve">ADU per-unit GFA — Subchapter F FAR limit not shown</w:t>
      </w:r>
      <w:r>
        <w:rPr>
          <w:b/>
          <w:bCs/>
          <w:color w:val="C0392B"/>
        </w:rPr>
        <w:t xml:space="preserve">  [FAIL]</w:t>
      </w:r>
    </w:p>
    <w:p>
      <w:pPr>
        <w:spacing w:after="60"/>
        <w:ind w:left="360"/>
      </w:pPr>
      <w:r>
        <w:rPr>
          <w:b/>
          <w:bCs/>
        </w:rPr>
        <w:t xml:space="preserve">Observation: </w:t>
      </w:r>
      <w:r>
        <w:t xml:space="preserve">The Subchapter F GFA form (pages 7–8) covers only Unit 1 (House w/ Habitable Attic). No Subchapter F GFA calculation is provided for Unit 2 (the ADU). Under Two-Unit Residential use, §25-2-773(E) sets a per-unit FAR maximum for each unit. The ADU's GFA must be calculated and submitted. From the ADU floor plans (page 19), the ADU includes ground-floor living area (with attached garage) and upper-floor bedroom/bath; exact GFA is not calculable without dimensioned plans at full scale.</w:t>
      </w:r>
    </w:p>
    <w:p>
      <w:pPr>
        <w:spacing w:after="160"/>
        <w:ind w:left="360"/>
      </w:pPr>
      <w:r>
        <w:rPr>
          <w:b/>
          <w:bCs/>
        </w:rPr>
        <w:t xml:space="preserve">Code: </w:t>
      </w:r>
      <w:r>
        <w:rPr>
          <w:i/>
          <w:iCs/>
          <w:color w:val="1A3A5C"/>
        </w:rPr>
        <w:t xml:space="preserve">HOME Phase I, Ord. 20231207-001, §25-2-773(E) — within Subchapter F compatibility area, each unit in a Two-Unit Residential development must individually not exceed the greater of 0.4 FAR or 2,300 sq ft. Austin LDC Subchapter F §3.3 — GFA calculation methodology applies to all structures on a Subchapter F lot. ADU GFA calculation must be submitted.</w:t>
      </w:r>
    </w:p>
    <w:p>
      <w:pPr>
        <w:spacing w:after="80"/>
      </w:pPr>
      <w:r>
        <w:rPr>
          <w:rFonts w:ascii="Courier New" w:cs="Courier New" w:eastAsia="Courier New" w:hAnsi="Courier New"/>
          <w:color w:val="1A3A5C"/>
          <w:sz w:val="18"/>
          <w:szCs w:val="18"/>
        </w:rPr>
        <w:t xml:space="preserve">B-03  </w:t>
      </w:r>
      <w:r>
        <w:rPr>
          <w:b/>
          <w:bCs/>
        </w:rPr>
        <w:t xml:space="preserve">Combined site GFA — Subchapter F site FAR limit (Two-Unit Residential)</w:t>
      </w:r>
      <w:r>
        <w:rPr>
          <w:b/>
          <w:bCs/>
          <w:color w:val="C0392B"/>
        </w:rPr>
        <w:t xml:space="preserve">  [FAIL]</w:t>
      </w:r>
    </w:p>
    <w:p>
      <w:pPr>
        <w:spacing w:after="60"/>
        <w:ind w:left="360"/>
      </w:pPr>
      <w:r>
        <w:rPr>
          <w:b/>
          <w:bCs/>
        </w:rPr>
        <w:t xml:space="preserve">Observation: </w:t>
      </w:r>
      <w:r>
        <w:t xml:space="preserve">The combined site GFA (House + ADU) has not been calculated and presented in a single Subchapter F summary. Phase I §25-2-773(E) sets a site-level maximum: greater of 0.55 FAR or 3,200 sq ft for Two-Unit Residential. Using 7,330 sq ft lot: site max = greater of (0.55 × 7,330 = 4,031 sq ft) or 3,200 sq ft = 4,031 sq ft. House GFA alone is ~2,922 sq ft. ADU GFA is unknown (no calculation submitted). Without ADU GFA, site-level FAR compliance cannot be confirmed.</w:t>
      </w:r>
    </w:p>
    <w:p>
      <w:pPr>
        <w:spacing w:after="160"/>
        <w:ind w:left="360"/>
      </w:pPr>
      <w:r>
        <w:rPr>
          <w:b/>
          <w:bCs/>
        </w:rPr>
        <w:t xml:space="preserve">Code: </w:t>
      </w:r>
      <w:r>
        <w:rPr>
          <w:i/>
          <w:iCs/>
          <w:color w:val="1A3A5C"/>
        </w:rPr>
        <w:t xml:space="preserve">HOME Phase I, Ord. 20231207-001, §25-2-773(E) — within Subchapter F compatibility area, Two-Unit Residential: site maximum GFA is greater of 0.55 FAR or 3,200 sq ft. Both structures' GFA must be combined and compared to this site limit. A combined Subchapter F GFA exhibit covering both units must be submitted.</w:t>
      </w:r>
    </w:p>
    <w:p>
      <w:pPr>
        <w:spacing w:after="80"/>
      </w:pPr>
      <w:r>
        <w:rPr>
          <w:rFonts w:ascii="Courier New" w:cs="Courier New" w:eastAsia="Courier New" w:hAnsi="Courier New"/>
          <w:color w:val="1A3A5C"/>
          <w:sz w:val="18"/>
          <w:szCs w:val="18"/>
        </w:rPr>
        <w:t xml:space="preserve">B-07  </w:t>
      </w:r>
      <w:r>
        <w:rPr>
          <w:b/>
          <w:bCs/>
        </w:rPr>
        <w:t xml:space="preserve">Street-facing entrance — ADU (Unit 2)</w:t>
      </w:r>
      <w:r>
        <w:rPr>
          <w:b/>
          <w:bCs/>
          <w:color w:val="C0392B"/>
        </w:rPr>
        <w:t xml:space="preserve">  [FAIL]</w:t>
      </w:r>
    </w:p>
    <w:p>
      <w:pPr>
        <w:spacing w:after="60"/>
        <w:ind w:left="360"/>
      </w:pPr>
      <w:r>
        <w:rPr>
          <w:b/>
          <w:bCs/>
        </w:rPr>
        <w:t xml:space="preserve">Observation: </w:t>
      </w:r>
      <w:r>
        <w:t xml:space="preserve">The ADU north elevation (p.3b2, page 24) — the elevation facing toward Euclid Avenue (the primary street) — shows windows but no entry door on the north face. The ADU's primary entry door appears on the east elevation (page 23), accessed via exterior stairs on the east side of the building. Phase I requires a street-facing entrance for each building. The east elevation faces an interior side yard, not the primary street (Euclid Ave to the north).</w:t>
      </w:r>
    </w:p>
    <w:p>
      <w:pPr>
        <w:spacing w:after="160"/>
        <w:ind w:left="360"/>
      </w:pPr>
      <w:r>
        <w:rPr>
          <w:b/>
          <w:bCs/>
        </w:rPr>
        <w:t xml:space="preserve">Code: </w:t>
      </w:r>
      <w:r>
        <w:rPr>
          <w:i/>
          <w:iCs/>
          <w:color w:val="1A3A5C"/>
        </w:rPr>
        <w:t xml:space="preserve">HOME Phase I, Ord. 20231207-001, §25-2-773(C) — minimum 1 street-facing entrance required. The street for this lot is Euclid Ave (north). The ADU's north elevation shows no entry door — a street-facing entry on the north elevation of the ADU must be provided, or the submittal must demonstrate an alternative compliant street-facing entrance.</w:t>
      </w:r>
    </w:p>
    <w:p>
      <w:pPr>
        <w:spacing w:after="80"/>
      </w:pPr>
      <w:r>
        <w:rPr>
          <w:rFonts w:ascii="Courier New" w:cs="Courier New" w:eastAsia="Courier New" w:hAnsi="Courier New"/>
          <w:color w:val="1A3A5C"/>
          <w:sz w:val="18"/>
          <w:szCs w:val="18"/>
        </w:rPr>
        <w:t xml:space="preserve">C-04  </w:t>
      </w:r>
      <w:r>
        <w:rPr>
          <w:b/>
          <w:bCs/>
        </w:rPr>
        <w:t xml:space="preserve">Foundation type and structural design — adequacy</w:t>
      </w:r>
      <w:r>
        <w:rPr>
          <w:b/>
          <w:bCs/>
          <w:color w:val="B7770D"/>
        </w:rPr>
        <w:t xml:space="preserve">  [UNCLEAR]</w:t>
      </w:r>
    </w:p>
    <w:p>
      <w:pPr>
        <w:spacing w:after="60"/>
        <w:ind w:left="360"/>
      </w:pPr>
      <w:r>
        <w:rPr>
          <w:b/>
          <w:bCs/>
        </w:rPr>
        <w:t xml:space="preserve">Observation: </w:t>
      </w:r>
      <w:r>
        <w:t xml:space="preserve">Foundation detail sheet (S200) shows reinforced concrete footings and grade beams with embedded plate connections. Structural framing plans (S300, S301, S302, S304) show LVL beams, floor trusses at 24" O.C., shear walls with CS-WSP panels, and wall bracing per seismic category A / wind 115 mph. Structural engineer stamp is present. Adequacy of the structural design for actual site soil conditions requires field-level engineering review.</w:t>
      </w:r>
    </w:p>
    <w:p>
      <w:pPr>
        <w:spacing w:after="160"/>
        <w:ind w:left="360"/>
      </w:pPr>
      <w:r>
        <w:rPr>
          <w:b/>
          <w:bCs/>
        </w:rPr>
        <w:t xml:space="preserve">Code: </w:t>
      </w:r>
      <w:r>
        <w:rPr>
          <w:i/>
          <w:iCs/>
          <w:color w:val="1A3A5C"/>
        </w:rPr>
        <w:t xml:space="preserve">[REVIEWER: ___] — Structural adequacy of foundation, framing, and lateral bracing system requires review by City structural plan checker. Engineering stamp confirms design responsibility; field conditions to be confirmed at inspection. Reference: 2021 IBC Chapter 16 (structural loads), Chapter 18 (soils and foundations), Chapter 23 (wood frame construction).</w:t>
      </w:r>
    </w:p>
    <w:p>
      <w:pPr>
        <w:pStyle w:val="Heading1"/>
        <w:pageBreakBefore/>
      </w:pPr>
      <w:r>
        <w:t xml:space="preserve">HOME Phase I/II Code Verification</w:t>
      </w:r>
    </w:p>
    <w:p>
      <w:pPr>
        <w:spacing w:after="80"/>
      </w:pPr>
      <w:r>
        <w:rPr>
          <w:i/>
          <w:iCs/>
          <w:color w:val="555555"/>
        </w:rPr>
        <w:t xml:space="preserve">Source: home_compliance.json  ·  Phase 3A — HOME Phase I/II code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7680"/>
      </w:tblGrid>
      <w:tr>
        <w:tc>
          <w:tcPr>
            <w:tcW w:type="dxa" w:w="2400"/>
            <w:tcBorders>
              <w:top w:val="none" w:color="FFFFFF" w:sz="0"/>
              <w:left w:val="none" w:color="FFFFFF" w:sz="0"/>
              <w:bottom w:val="none" w:color="FFFFFF" w:sz="0"/>
              <w:right w:val="none" w:color="FFFFFF" w:sz="0"/>
            </w:tcBorders>
          </w:tcPr>
          <w:p>
            <w:pPr>
              <w:spacing w:after="40" w:before="40"/>
            </w:pPr>
            <w:r>
              <w:rPr>
                <w:b/>
                <w:bCs/>
              </w:rPr>
              <w:t xml:space="preserve">Reference files</w:t>
            </w:r>
          </w:p>
        </w:tc>
        <w:tc>
          <w:tcPr>
            <w:tcW w:type="dxa" w:w="7680"/>
            <w:tcBorders>
              <w:top w:val="none" w:color="FFFFFF" w:sz="0"/>
              <w:left w:val="none" w:color="FFFFFF" w:sz="0"/>
              <w:bottom w:val="none" w:color="FFFFFF" w:sz="0"/>
              <w:right w:val="none" w:color="FFFFFF" w:sz="0"/>
            </w:tcBorders>
          </w:tcPr>
          <w:p>
            <w:pPr>
              <w:spacing w:after="40" w:before="40"/>
            </w:pPr>
            <w:r>
              <w:t xml:space="preserve">home-phase-1.md (Ord. 20231207-001); home-phase-2.md (Ord. 20240516-006)</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Findings reviewed</w:t>
            </w:r>
          </w:p>
        </w:tc>
        <w:tc>
          <w:tcPr>
            <w:tcW w:type="dxa" w:w="7680"/>
            <w:tcBorders>
              <w:top w:val="none" w:color="FFFFFF" w:sz="0"/>
              <w:left w:val="none" w:color="FFFFFF" w:sz="0"/>
              <w:bottom w:val="none" w:color="FFFFFF" w:sz="0"/>
              <w:right w:val="none" w:color="FFFFFF" w:sz="0"/>
            </w:tcBorders>
          </w:tcPr>
          <w:p>
            <w:pPr>
              <w:spacing w:after="40" w:before="40"/>
            </w:pPr>
            <w:r>
              <w:t xml:space="preserve">14</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Verified</w:t>
            </w:r>
          </w:p>
        </w:tc>
        <w:tc>
          <w:tcPr>
            <w:tcW w:type="dxa" w:w="7680"/>
            <w:tcBorders>
              <w:top w:val="none" w:color="FFFFFF" w:sz="0"/>
              <w:left w:val="none" w:color="FFFFFF" w:sz="0"/>
              <w:bottom w:val="none" w:color="FFFFFF" w:sz="0"/>
              <w:right w:val="none" w:color="FFFFFF" w:sz="0"/>
            </w:tcBorders>
          </w:tcPr>
          <w:p>
            <w:pPr>
              <w:spacing w:after="40" w:before="40"/>
            </w:pPr>
            <w:r>
              <w:t xml:space="preserve">14</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Corrected</w:t>
            </w:r>
          </w:p>
        </w:tc>
        <w:tc>
          <w:tcPr>
            <w:tcW w:type="dxa" w:w="7680"/>
            <w:tcBorders>
              <w:top w:val="none" w:color="FFFFFF" w:sz="0"/>
              <w:left w:val="none" w:color="FFFFFF" w:sz="0"/>
              <w:bottom w:val="none" w:color="FFFFFF" w:sz="0"/>
              <w:right w:val="none" w:color="FFFFFF" w:sz="0"/>
            </w:tcBorders>
          </w:tcPr>
          <w:p>
            <w:pPr>
              <w:spacing w:after="40" w:before="40"/>
            </w:pPr>
            <w:r>
              <w:t xml:space="preserve">0</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Dropped</w:t>
            </w:r>
          </w:p>
        </w:tc>
        <w:tc>
          <w:tcPr>
            <w:tcW w:type="dxa" w:w="7680"/>
            <w:tcBorders>
              <w:top w:val="none" w:color="FFFFFF" w:sz="0"/>
              <w:left w:val="none" w:color="FFFFFF" w:sz="0"/>
              <w:bottom w:val="none" w:color="FFFFFF" w:sz="0"/>
              <w:right w:val="none" w:color="FFFFFF" w:sz="0"/>
            </w:tcBorders>
          </w:tcPr>
          <w:p>
            <w:pPr>
              <w:spacing w:after="40" w:before="40"/>
            </w:pPr>
            <w:r>
              <w:t xml:space="preserve">0</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Phase II applicable</w:t>
            </w:r>
          </w:p>
        </w:tc>
        <w:tc>
          <w:tcPr>
            <w:tcW w:type="dxa" w:w="7680"/>
            <w:tcBorders>
              <w:top w:val="none" w:color="FFFFFF" w:sz="0"/>
              <w:left w:val="none" w:color="FFFFFF" w:sz="0"/>
              <w:bottom w:val="none" w:color="FFFFFF" w:sz="0"/>
              <w:right w:val="none" w:color="FFFFFF" w:sz="0"/>
            </w:tcBorders>
          </w:tcPr>
          <w:p>
            <w:pPr>
              <w:spacing w:after="40" w:before="40"/>
            </w:pPr>
            <w:r>
              <w:t xml:space="preserve">No — Lot is 7,330 sq ft — exceeds 5,750 sq ft threshold. Phase II (§25-2-779) does not apply. No findings incorrectly cite Phase II.</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Summary</w:t>
            </w:r>
          </w:p>
        </w:tc>
        <w:tc>
          <w:tcPr>
            <w:tcW w:type="dxa" w:w="7680"/>
            <w:tcBorders>
              <w:top w:val="none" w:color="FFFFFF" w:sz="0"/>
              <w:left w:val="none" w:color="FFFFFF" w:sz="0"/>
              <w:bottom w:val="none" w:color="FFFFFF" w:sz="0"/>
              <w:right w:val="none" w:color="FFFFFF" w:sz="0"/>
            </w:tcBorders>
          </w:tcPr>
          <w:p>
            <w:pPr>
              <w:spacing w:after="40" w:before="40"/>
            </w:pPr>
            <w:r>
              <w:t xml:space="preserve">All 14 FAIL/UNCLEAR findings have accurate code citations confirmed against HOME Phase I reference. No findings dropped. No Phase II citations incorrectly applied. All five FAIL items and all UNCLEAR items carry valid, verifiable code bases.</w:t>
            </w:r>
          </w:p>
        </w:tc>
      </w:tr>
    </w:tbl>
    <w:p>
      <w:pPr>
        <w:spacing w:after="120"/>
      </w:pPr>
    </w:p>
    <w:p>
      <w:pPr>
        <w:pStyle w:val="Heading2"/>
      </w:pPr>
      <w:r>
        <w:t xml:space="preserve">Per-Finding Verdicts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700"/>
        <w:gridCol w:w="900"/>
        <w:gridCol w:w="8480"/>
      </w:tblGrid>
      <w:tr>
        <w:tc>
          <w:tcPr>
            <w:tcW w:type="dxa" w:w="7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ID</w:t>
            </w:r>
          </w:p>
        </w:tc>
        <w:tc>
          <w:tcPr>
            <w:tcW w:type="dxa" w:w="9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Verified</w:t>
            </w:r>
          </w:p>
        </w:tc>
        <w:tc>
          <w:tcPr>
            <w:tcW w:type="dxa" w:w="84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Notes</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A-01</w:t>
            </w:r>
          </w:p>
        </w:tc>
        <w:tc>
          <w:tcPr>
            <w:tcW w:type="dxa" w:w="9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9"/>
                <w:szCs w:val="19"/>
              </w:rPr>
              <w:t xml:space="preserve">✓ Yes</w:t>
            </w:r>
          </w:p>
        </w:tc>
        <w:tc>
          <w:tcPr>
            <w:tcW w:type="dxa" w:w="8480"/>
            <w:tcBorders>
              <w:top w:val="single" w:color="CCCCCC" w:sz="1"/>
              <w:left w:val="single" w:color="CCCCCC" w:sz="1"/>
              <w:bottom w:val="single" w:color="CCCCCC" w:sz="1"/>
              <w:right w:val="single" w:color="CCCCCC" w:sz="1"/>
            </w:tcBorders>
          </w:tcPr>
          <w:p>
            <w:pPr>
              <w:spacing w:after="60" w:before="60"/>
            </w:pPr>
            <w:r>
              <w:rPr>
                <w:sz w:val="19"/>
                <w:szCs w:val="19"/>
              </w:rPr>
              <w:t xml:space="preserve">§25-1-22(A) is a valid LDC cite for lot measurement consistency. Governing phase LDC is correct.</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A-02</w:t>
            </w:r>
          </w:p>
        </w:tc>
        <w:tc>
          <w:tcPr>
            <w:tcW w:type="dxa" w:w="9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9"/>
                <w:szCs w:val="19"/>
              </w:rPr>
              <w:t xml:space="preserve">✓ Yes</w:t>
            </w:r>
          </w:p>
        </w:tc>
        <w:tc>
          <w:tcPr>
            <w:tcW w:type="dxa" w:w="8480"/>
            <w:tcBorders>
              <w:top w:val="single" w:color="CCCCCC" w:sz="1"/>
              <w:left w:val="single" w:color="CCCCCC" w:sz="1"/>
              <w:bottom w:val="single" w:color="CCCCCC" w:sz="1"/>
              <w:right w:val="single" w:color="CCCCCC" w:sz="1"/>
            </w:tcBorders>
          </w:tcPr>
          <w:p>
            <w:pPr>
              <w:spacing w:after="60" w:before="60"/>
            </w:pPr>
            <w:r>
              <w:rPr>
                <w:sz w:val="19"/>
                <w:szCs w:val="19"/>
              </w:rPr>
              <w:t xml:space="preserve">Ord. 20231207-001 §25-2-773 and §25-2-901 repeal confirmed verbatim in Phase I reference.</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A-03</w:t>
            </w:r>
          </w:p>
        </w:tc>
        <w:tc>
          <w:tcPr>
            <w:tcW w:type="dxa" w:w="9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9"/>
                <w:szCs w:val="19"/>
              </w:rPr>
              <w:t xml:space="preserve">✓ Yes</w:t>
            </w:r>
          </w:p>
        </w:tc>
        <w:tc>
          <w:tcPr>
            <w:tcW w:type="dxa" w:w="8480"/>
            <w:tcBorders>
              <w:top w:val="single" w:color="CCCCCC" w:sz="1"/>
              <w:left w:val="single" w:color="CCCCCC" w:sz="1"/>
              <w:bottom w:val="single" w:color="CCCCCC" w:sz="1"/>
              <w:right w:val="single" w:color="CCCCCC" w:sz="1"/>
            </w:tcBorders>
          </w:tcPr>
          <w:p>
            <w:pPr>
              <w:spacing w:after="60" w:before="60"/>
            </w:pPr>
            <w:r>
              <w:rPr>
                <w:sz w:val="19"/>
                <w:szCs w:val="19"/>
              </w:rPr>
              <w:t xml:space="preserve">HOME Phase I Ord. 20231207-001 ordinance number and §25-2-773 confirmed. PHASE_I designation correct.</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A-06</w:t>
            </w:r>
          </w:p>
        </w:tc>
        <w:tc>
          <w:tcPr>
            <w:tcW w:type="dxa" w:w="9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9"/>
                <w:szCs w:val="19"/>
              </w:rPr>
              <w:t xml:space="preserve">✓ Yes</w:t>
            </w:r>
          </w:p>
        </w:tc>
        <w:tc>
          <w:tcPr>
            <w:tcW w:type="dxa" w:w="8480"/>
            <w:tcBorders>
              <w:top w:val="single" w:color="CCCCCC" w:sz="1"/>
              <w:left w:val="single" w:color="CCCCCC" w:sz="1"/>
              <w:bottom w:val="single" w:color="CCCCCC" w:sz="1"/>
              <w:right w:val="single" w:color="CCCCCC" w:sz="1"/>
            </w:tcBorders>
          </w:tcPr>
          <w:p>
            <w:pPr>
              <w:spacing w:after="60" w:before="60"/>
            </w:pPr>
            <w:r>
              <w:rPr>
                <w:sz w:val="19"/>
                <w:szCs w:val="19"/>
              </w:rPr>
              <w:t xml:space="preserve">§25-2-773(B) 40% front yard impervious cover limit confirmed verbatim in Phase I coverage table.</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A-07</w:t>
            </w:r>
          </w:p>
        </w:tc>
        <w:tc>
          <w:tcPr>
            <w:tcW w:type="dxa" w:w="9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9"/>
                <w:szCs w:val="19"/>
              </w:rPr>
              <w:t xml:space="preserve">✓ Yes</w:t>
            </w:r>
          </w:p>
        </w:tc>
        <w:tc>
          <w:tcPr>
            <w:tcW w:type="dxa" w:w="8480"/>
            <w:tcBorders>
              <w:top w:val="single" w:color="CCCCCC" w:sz="1"/>
              <w:left w:val="single" w:color="CCCCCC" w:sz="1"/>
              <w:bottom w:val="single" w:color="CCCCCC" w:sz="1"/>
              <w:right w:val="single" w:color="CCCCCC" w:sz="1"/>
            </w:tcBorders>
          </w:tcPr>
          <w:p>
            <w:pPr>
              <w:spacing w:after="60" w:before="60"/>
            </w:pPr>
            <w:r>
              <w:rPr>
                <w:sz w:val="19"/>
                <w:szCs w:val="19"/>
              </w:rPr>
              <w:t xml:space="preserve">§25-2-773(B) 15 ft minimum front yard setback confirmed in Phase I setback table.</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A-08</w:t>
            </w:r>
          </w:p>
        </w:tc>
        <w:tc>
          <w:tcPr>
            <w:tcW w:type="dxa" w:w="9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9"/>
                <w:szCs w:val="19"/>
              </w:rPr>
              <w:t xml:space="preserve">✓ Yes</w:t>
            </w:r>
          </w:p>
        </w:tc>
        <w:tc>
          <w:tcPr>
            <w:tcW w:type="dxa" w:w="8480"/>
            <w:tcBorders>
              <w:top w:val="single" w:color="CCCCCC" w:sz="1"/>
              <w:left w:val="single" w:color="CCCCCC" w:sz="1"/>
              <w:bottom w:val="single" w:color="CCCCCC" w:sz="1"/>
              <w:right w:val="single" w:color="CCCCCC" w:sz="1"/>
            </w:tcBorders>
          </w:tcPr>
          <w:p>
            <w:pPr>
              <w:spacing w:after="60" w:before="60"/>
            </w:pPr>
            <w:r>
              <w:rPr>
                <w:sz w:val="19"/>
                <w:szCs w:val="19"/>
              </w:rPr>
              <w:t xml:space="preserve">§25-2-773(B) rear setback 5 ft alley exception confirmed verbatim in Phase I reference.</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A-09</w:t>
            </w:r>
          </w:p>
        </w:tc>
        <w:tc>
          <w:tcPr>
            <w:tcW w:type="dxa" w:w="9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9"/>
                <w:szCs w:val="19"/>
              </w:rPr>
              <w:t xml:space="preserve">✓ Yes</w:t>
            </w:r>
          </w:p>
        </w:tc>
        <w:tc>
          <w:tcPr>
            <w:tcW w:type="dxa" w:w="8480"/>
            <w:tcBorders>
              <w:top w:val="single" w:color="CCCCCC" w:sz="1"/>
              <w:left w:val="single" w:color="CCCCCC" w:sz="1"/>
              <w:bottom w:val="single" w:color="CCCCCC" w:sz="1"/>
              <w:right w:val="single" w:color="CCCCCC" w:sz="1"/>
            </w:tcBorders>
          </w:tcPr>
          <w:p>
            <w:pPr>
              <w:spacing w:after="60" w:before="60"/>
            </w:pPr>
            <w:r>
              <w:rPr>
                <w:sz w:val="19"/>
                <w:szCs w:val="19"/>
              </w:rPr>
              <w:t xml:space="preserve">§25-2-773(B) corner lot street-side setbacks confirmed: Level 1 = greater of 5 ft from PL or 10 ft from curb; Level 2-4 = 10 ft from PL.</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A-10</w:t>
            </w:r>
          </w:p>
        </w:tc>
        <w:tc>
          <w:tcPr>
            <w:tcW w:type="dxa" w:w="9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9"/>
                <w:szCs w:val="19"/>
              </w:rPr>
              <w:t xml:space="preserve">✓ Yes</w:t>
            </w:r>
          </w:p>
        </w:tc>
        <w:tc>
          <w:tcPr>
            <w:tcW w:type="dxa" w:w="8480"/>
            <w:tcBorders>
              <w:top w:val="single" w:color="CCCCCC" w:sz="1"/>
              <w:left w:val="single" w:color="CCCCCC" w:sz="1"/>
              <w:bottom w:val="single" w:color="CCCCCC" w:sz="1"/>
              <w:right w:val="single" w:color="CCCCCC" w:sz="1"/>
            </w:tcBorders>
          </w:tcPr>
          <w:p>
            <w:pPr>
              <w:spacing w:after="60" w:before="60"/>
            </w:pPr>
            <w:r>
              <w:rPr>
                <w:sz w:val="19"/>
                <w:szCs w:val="19"/>
              </w:rPr>
              <w:t xml:space="preserve">§25-2-773(C) porch ≥15 ft from front lot line and overhang ≥13 ft confirmed verbatim in Phase I design standards.</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A-11</w:t>
            </w:r>
          </w:p>
        </w:tc>
        <w:tc>
          <w:tcPr>
            <w:tcW w:type="dxa" w:w="9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9"/>
                <w:szCs w:val="19"/>
              </w:rPr>
              <w:t xml:space="preserve">✓ Yes</w:t>
            </w:r>
          </w:p>
        </w:tc>
        <w:tc>
          <w:tcPr>
            <w:tcW w:type="dxa" w:w="8480"/>
            <w:tcBorders>
              <w:top w:val="single" w:color="CCCCCC" w:sz="1"/>
              <w:left w:val="single" w:color="CCCCCC" w:sz="1"/>
              <w:bottom w:val="single" w:color="CCCCCC" w:sz="1"/>
              <w:right w:val="single" w:color="CCCCCC" w:sz="1"/>
            </w:tcBorders>
          </w:tcPr>
          <w:p>
            <w:pPr>
              <w:spacing w:after="60" w:before="60"/>
            </w:pPr>
            <w:r>
              <w:rPr>
                <w:sz w:val="19"/>
                <w:szCs w:val="19"/>
              </w:rPr>
              <w:t xml:space="preserve">§25-2-773(B) maximum 4 parking spaces in front/street yard confirmed in Phase I parking section.</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B-01</w:t>
            </w:r>
          </w:p>
        </w:tc>
        <w:tc>
          <w:tcPr>
            <w:tcW w:type="dxa" w:w="9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9"/>
                <w:szCs w:val="19"/>
              </w:rPr>
              <w:t xml:space="preserve">✓ Yes</w:t>
            </w:r>
          </w:p>
        </w:tc>
        <w:tc>
          <w:tcPr>
            <w:tcW w:type="dxa" w:w="8480"/>
            <w:tcBorders>
              <w:top w:val="single" w:color="CCCCCC" w:sz="1"/>
              <w:left w:val="single" w:color="CCCCCC" w:sz="1"/>
              <w:bottom w:val="single" w:color="CCCCCC" w:sz="1"/>
              <w:right w:val="single" w:color="CCCCCC" w:sz="1"/>
            </w:tcBorders>
          </w:tcPr>
          <w:p>
            <w:pPr>
              <w:spacing w:after="60" w:before="60"/>
            </w:pPr>
            <w:r>
              <w:rPr>
                <w:sz w:val="19"/>
                <w:szCs w:val="19"/>
              </w:rPr>
              <w:t xml:space="preserve">§25-2-773(E) per-unit max greater of 0.4 FAR or 2,300 sq ft confirmed in Phase I FAR table. Two-Unit Residential category correct.</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B-02</w:t>
            </w:r>
          </w:p>
        </w:tc>
        <w:tc>
          <w:tcPr>
            <w:tcW w:type="dxa" w:w="9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9"/>
                <w:szCs w:val="19"/>
              </w:rPr>
              <w:t xml:space="preserve">✓ Yes</w:t>
            </w:r>
          </w:p>
        </w:tc>
        <w:tc>
          <w:tcPr>
            <w:tcW w:type="dxa" w:w="8480"/>
            <w:tcBorders>
              <w:top w:val="single" w:color="CCCCCC" w:sz="1"/>
              <w:left w:val="single" w:color="CCCCCC" w:sz="1"/>
              <w:bottom w:val="single" w:color="CCCCCC" w:sz="1"/>
              <w:right w:val="single" w:color="CCCCCC" w:sz="1"/>
            </w:tcBorders>
          </w:tcPr>
          <w:p>
            <w:pPr>
              <w:spacing w:after="60" w:before="60"/>
            </w:pPr>
            <w:r>
              <w:rPr>
                <w:sz w:val="19"/>
                <w:szCs w:val="19"/>
              </w:rPr>
              <w:t xml:space="preserve">§25-2-773(E) per-unit GFA maximum confirmed. Subchapter F §3.3 methodology reference is a valid supplementary LDC cite.</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B-03</w:t>
            </w:r>
          </w:p>
        </w:tc>
        <w:tc>
          <w:tcPr>
            <w:tcW w:type="dxa" w:w="9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9"/>
                <w:szCs w:val="19"/>
              </w:rPr>
              <w:t xml:space="preserve">✓ Yes</w:t>
            </w:r>
          </w:p>
        </w:tc>
        <w:tc>
          <w:tcPr>
            <w:tcW w:type="dxa" w:w="8480"/>
            <w:tcBorders>
              <w:top w:val="single" w:color="CCCCCC" w:sz="1"/>
              <w:left w:val="single" w:color="CCCCCC" w:sz="1"/>
              <w:bottom w:val="single" w:color="CCCCCC" w:sz="1"/>
              <w:right w:val="single" w:color="CCCCCC" w:sz="1"/>
            </w:tcBorders>
          </w:tcPr>
          <w:p>
            <w:pPr>
              <w:spacing w:after="60" w:before="60"/>
            </w:pPr>
            <w:r>
              <w:rPr>
                <w:sz w:val="19"/>
                <w:szCs w:val="19"/>
              </w:rPr>
              <w:t xml:space="preserve">§25-2-773(E) site max greater of 0.55 FAR or 3,200 sq ft for Two-Unit Residential confirmed verbatim in Phase I FAR table.</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B-07</w:t>
            </w:r>
          </w:p>
        </w:tc>
        <w:tc>
          <w:tcPr>
            <w:tcW w:type="dxa" w:w="9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9"/>
                <w:szCs w:val="19"/>
              </w:rPr>
              <w:t xml:space="preserve">✓ Yes</w:t>
            </w:r>
          </w:p>
        </w:tc>
        <w:tc>
          <w:tcPr>
            <w:tcW w:type="dxa" w:w="8480"/>
            <w:tcBorders>
              <w:top w:val="single" w:color="CCCCCC" w:sz="1"/>
              <w:left w:val="single" w:color="CCCCCC" w:sz="1"/>
              <w:bottom w:val="single" w:color="CCCCCC" w:sz="1"/>
              <w:right w:val="single" w:color="CCCCCC" w:sz="1"/>
            </w:tcBorders>
          </w:tcPr>
          <w:p>
            <w:pPr>
              <w:spacing w:after="60" w:before="60"/>
            </w:pPr>
            <w:r>
              <w:rPr>
                <w:sz w:val="19"/>
                <w:szCs w:val="19"/>
              </w:rPr>
              <w:t xml:space="preserve">§25-2-773(C) minimum 1 street-facing entrance requirement confirmed in Phase I minimum entrances section.</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C-04</w:t>
            </w:r>
          </w:p>
        </w:tc>
        <w:tc>
          <w:tcPr>
            <w:tcW w:type="dxa" w:w="9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9"/>
                <w:szCs w:val="19"/>
              </w:rPr>
              <w:t xml:space="preserve">✓ Yes</w:t>
            </w:r>
          </w:p>
        </w:tc>
        <w:tc>
          <w:tcPr>
            <w:tcW w:type="dxa" w:w="8480"/>
            <w:tcBorders>
              <w:top w:val="single" w:color="CCCCCC" w:sz="1"/>
              <w:left w:val="single" w:color="CCCCCC" w:sz="1"/>
              <w:bottom w:val="single" w:color="CCCCCC" w:sz="1"/>
              <w:right w:val="single" w:color="CCCCCC" w:sz="1"/>
            </w:tcBorders>
          </w:tcPr>
          <w:p>
            <w:pPr>
              <w:spacing w:after="60" w:before="60"/>
            </w:pPr>
            <w:r>
              <w:rPr>
                <w:sz w:val="19"/>
                <w:szCs w:val="19"/>
              </w:rPr>
              <w:t xml:space="preserve">IBC Chapter 16/18/23 citations are correct for structural review. Not a HOME standard — reviewer blank appropriate.</w:t>
            </w:r>
          </w:p>
        </w:tc>
      </w:tr>
    </w:tbl>
    <w:p>
      <w:pPr>
        <w:pStyle w:val="Heading1"/>
        <w:pageBreakBefore/>
      </w:pPr>
      <w:r>
        <w:t xml:space="preserve">Texas State Law Analysis</w:t>
      </w:r>
    </w:p>
    <w:p>
      <w:pPr>
        <w:spacing w:after="80"/>
      </w:pPr>
      <w:r>
        <w:rPr>
          <w:i/>
          <w:iCs/>
          <w:color w:val="555555"/>
        </w:rPr>
        <w:t xml:space="preserve">Source: state_compliance.json  ·  Phase 3B — Texas state law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400"/>
        <w:gridCol w:w="7680"/>
      </w:tblGrid>
      <w:tr>
        <w:tc>
          <w:tcPr>
            <w:tcW w:type="dxa" w:w="2400"/>
            <w:tcBorders>
              <w:top w:val="none" w:color="FFFFFF" w:sz="0"/>
              <w:left w:val="none" w:color="FFFFFF" w:sz="0"/>
              <w:bottom w:val="none" w:color="FFFFFF" w:sz="0"/>
              <w:right w:val="none" w:color="FFFFFF" w:sz="0"/>
            </w:tcBorders>
          </w:tcPr>
          <w:p>
            <w:pPr>
              <w:spacing w:after="40" w:before="40"/>
            </w:pPr>
            <w:r>
              <w:rPr>
                <w:b/>
                <w:bCs/>
              </w:rPr>
              <w:t xml:space="preserve">Reference files</w:t>
            </w:r>
          </w:p>
        </w:tc>
        <w:tc>
          <w:tcPr>
            <w:tcW w:type="dxa" w:w="7680"/>
            <w:tcBorders>
              <w:top w:val="none" w:color="FFFFFF" w:sz="0"/>
              <w:left w:val="none" w:color="FFFFFF" w:sz="0"/>
              <w:bottom w:val="none" w:color="FFFFFF" w:sz="0"/>
              <w:right w:val="none" w:color="FFFFFF" w:sz="0"/>
            </w:tcBorders>
          </w:tcPr>
          <w:p>
            <w:pPr>
              <w:spacing w:after="40" w:before="40"/>
            </w:pPr>
            <w:r>
              <w:t xml:space="preserve">texas-state-law.md (SB 15, SB 840, HB 24 — 89th Legislature 2025)</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Lot area</w:t>
            </w:r>
          </w:p>
        </w:tc>
        <w:tc>
          <w:tcPr>
            <w:tcW w:type="dxa" w:w="7680"/>
            <w:tcBorders>
              <w:top w:val="none" w:color="FFFFFF" w:sz="0"/>
              <w:left w:val="none" w:color="FFFFFF" w:sz="0"/>
              <w:bottom w:val="none" w:color="FFFFFF" w:sz="0"/>
              <w:right w:val="none" w:color="FFFFFF" w:sz="0"/>
            </w:tcBorders>
          </w:tcPr>
          <w:p>
            <w:pPr>
              <w:spacing w:after="40" w:before="40"/>
            </w:pPr>
            <w:r>
              <w:t xml:space="preserve">7330 sq ft</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Is small lot (≤4,000 sf)</w:t>
            </w:r>
          </w:p>
        </w:tc>
        <w:tc>
          <w:tcPr>
            <w:tcW w:type="dxa" w:w="7680"/>
            <w:tcBorders>
              <w:top w:val="none" w:color="FFFFFF" w:sz="0"/>
              <w:left w:val="none" w:color="FFFFFF" w:sz="0"/>
              <w:bottom w:val="none" w:color="FFFFFF" w:sz="0"/>
              <w:right w:val="none" w:color="FFFFFF" w:sz="0"/>
            </w:tcBorders>
          </w:tcPr>
          <w:p>
            <w:pPr>
              <w:spacing w:after="40" w:before="40"/>
            </w:pPr>
            <w:r>
              <w:t xml:space="preserve">false — SB 15 small-lot provisions DO NOT apply</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SB 15 in effect</w:t>
            </w:r>
          </w:p>
        </w:tc>
        <w:tc>
          <w:tcPr>
            <w:tcW w:type="dxa" w:w="7680"/>
            <w:tcBorders>
              <w:top w:val="none" w:color="FFFFFF" w:sz="0"/>
              <w:left w:val="none" w:color="FFFFFF" w:sz="0"/>
              <w:bottom w:val="none" w:color="FFFFFF" w:sz="0"/>
              <w:right w:val="none" w:color="FFFFFF" w:sz="0"/>
            </w:tcBorders>
          </w:tcPr>
          <w:p>
            <w:pPr>
              <w:spacing w:after="40" w:before="40"/>
            </w:pPr>
            <w:r>
              <w:t xml:space="preserve">Yes — effective 2025-09-01</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SB 840 applicable</w:t>
            </w:r>
          </w:p>
        </w:tc>
        <w:tc>
          <w:tcPr>
            <w:tcW w:type="dxa" w:w="7680"/>
            <w:tcBorders>
              <w:top w:val="none" w:color="FFFFFF" w:sz="0"/>
              <w:left w:val="none" w:color="FFFFFF" w:sz="0"/>
              <w:bottom w:val="none" w:color="FFFFFF" w:sz="0"/>
              <w:right w:val="none" w:color="FFFFFF" w:sz="0"/>
            </w:tcBorders>
          </w:tcPr>
          <w:p>
            <w:pPr>
              <w:spacing w:after="40" w:before="40"/>
            </w:pPr>
            <w:r>
              <w:t xml:space="preserve">No — SB 840 applies to zones permitting commercial/office/retail/warehouse uses. SF-3 is a residential base zone. Not applicable.</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HB 24 applicable</w:t>
            </w:r>
          </w:p>
        </w:tc>
        <w:tc>
          <w:tcPr>
            <w:tcW w:type="dxa" w:w="7680"/>
            <w:tcBorders>
              <w:top w:val="none" w:color="FFFFFF" w:sz="0"/>
              <w:left w:val="none" w:color="FFFFFF" w:sz="0"/>
              <w:bottom w:val="none" w:color="FFFFFF" w:sz="0"/>
              <w:right w:val="none" w:color="FFFFFF" w:sz="0"/>
            </w:tcBorders>
          </w:tcPr>
          <w:p>
            <w:pPr>
              <w:spacing w:after="40" w:before="40"/>
            </w:pPr>
            <w:r>
              <w:t xml:space="preserve">No — HB 24 governs zoning-change legislative procedures — not a plan review development standard.</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Preemption found</w:t>
            </w:r>
          </w:p>
        </w:tc>
        <w:tc>
          <w:tcPr>
            <w:tcW w:type="dxa" w:w="7680"/>
            <w:tcBorders>
              <w:top w:val="none" w:color="FFFFFF" w:sz="0"/>
              <w:left w:val="none" w:color="FFFFFF" w:sz="0"/>
              <w:bottom w:val="none" w:color="FFFFFF" w:sz="0"/>
              <w:right w:val="none" w:color="FFFFFF" w:sz="0"/>
            </w:tcBorders>
          </w:tcPr>
          <w:p>
            <w:pPr>
              <w:spacing w:after="40" w:before="40"/>
            </w:pPr>
            <w:r>
              <w:t xml:space="preserve">None — No Texas state law preemption is triggered on any finding. The lot is 7,330 sq ft — nearly double th...</w:t>
            </w:r>
          </w:p>
        </w:tc>
      </w:tr>
      <w:tr>
        <w:tc>
          <w:tcPr>
            <w:tcW w:type="dxa" w:w="2400"/>
            <w:tcBorders>
              <w:top w:val="none" w:color="FFFFFF" w:sz="0"/>
              <w:left w:val="none" w:color="FFFFFF" w:sz="0"/>
              <w:bottom w:val="none" w:color="FFFFFF" w:sz="0"/>
              <w:right w:val="none" w:color="FFFFFF" w:sz="0"/>
            </w:tcBorders>
          </w:tcPr>
          <w:p>
            <w:pPr>
              <w:spacing w:after="40" w:before="40"/>
            </w:pPr>
            <w:r>
              <w:rPr>
                <w:b/>
                <w:bCs/>
              </w:rPr>
              <w:t xml:space="preserve">Local provisions prohibited</w:t>
            </w:r>
          </w:p>
        </w:tc>
        <w:tc>
          <w:tcPr>
            <w:tcW w:type="dxa" w:w="7680"/>
            <w:tcBorders>
              <w:top w:val="none" w:color="FFFFFF" w:sz="0"/>
              <w:left w:val="none" w:color="FFFFFF" w:sz="0"/>
              <w:bottom w:val="none" w:color="FFFFFF" w:sz="0"/>
              <w:right w:val="none" w:color="FFFFFF" w:sz="0"/>
            </w:tcBorders>
          </w:tcPr>
          <w:p>
            <w:pPr>
              <w:spacing w:after="40" w:before="40"/>
            </w:pPr>
            <w:r>
              <w:t xml:space="preserve">None identified.</w:t>
            </w:r>
          </w:p>
        </w:tc>
      </w:tr>
    </w:tbl>
    <w:p>
      <w:pPr>
        <w:spacing w:after="120"/>
      </w:pPr>
    </w:p>
    <w:p>
      <w:pPr>
        <w:pStyle w:val="Heading2"/>
      </w:pPr>
      <w:r>
        <w:t xml:space="preserve">Per-Finding Preemption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700"/>
        <w:gridCol w:w="1100"/>
        <w:gridCol w:w="8280"/>
      </w:tblGrid>
      <w:tr>
        <w:tc>
          <w:tcPr>
            <w:tcW w:type="dxa" w:w="7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ID</w:t>
            </w:r>
          </w:p>
        </w:tc>
        <w:tc>
          <w:tcPr>
            <w:tcW w:type="dxa" w:w="110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Preemption</w:t>
            </w:r>
          </w:p>
        </w:tc>
        <w:tc>
          <w:tcPr>
            <w:tcW w:type="dxa" w:w="8280"/>
            <w:tcBorders>
              <w:top w:val="single" w:color="888888" w:sz="1"/>
              <w:left w:val="single" w:color="888888" w:sz="1"/>
              <w:bottom w:val="single" w:color="888888" w:sz="1"/>
              <w:right w:val="single" w:color="888888" w:sz="1"/>
            </w:tcBorders>
            <w:shd w:fill="1A3A5C" w:val="clear"/>
            <w:vAlign w:val="center"/>
          </w:tcPr>
          <w:p>
            <w:pPr>
              <w:spacing w:after="60" w:before="60"/>
            </w:pPr>
            <w:r>
              <w:rPr>
                <w:b/>
                <w:bCs/>
                <w:color w:val="FFFFFF"/>
                <w:sz w:val="19"/>
                <w:szCs w:val="19"/>
              </w:rPr>
              <w:t xml:space="preserve">Notes</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A-01</w:t>
            </w:r>
          </w:p>
        </w:tc>
        <w:tc>
          <w:tcPr>
            <w:tcW w:type="dxa" w:w="11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8"/>
                <w:szCs w:val="18"/>
              </w:rPr>
              <w:t xml:space="preserve">None</w:t>
            </w:r>
          </w:p>
        </w:tc>
        <w:tc>
          <w:tcPr>
            <w:tcW w:type="dxa" w:w="8280"/>
            <w:tcBorders>
              <w:top w:val="single" w:color="CCCCCC" w:sz="1"/>
              <w:left w:val="single" w:color="CCCCCC" w:sz="1"/>
              <w:bottom w:val="single" w:color="CCCCCC" w:sz="1"/>
              <w:right w:val="single" w:color="CCCCCC" w:sz="1"/>
            </w:tcBorders>
          </w:tcPr>
          <w:p>
            <w:pPr>
              <w:spacing w:after="60" w:before="60"/>
            </w:pPr>
            <w:r>
              <w:rPr>
                <w:sz w:val="18"/>
                <w:szCs w:val="18"/>
              </w:rPr>
              <w:t xml:space="preserve">Lot area documentation accuracy — not addressed by any state statute.</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A-02</w:t>
            </w:r>
          </w:p>
        </w:tc>
        <w:tc>
          <w:tcPr>
            <w:tcW w:type="dxa" w:w="11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8"/>
                <w:szCs w:val="18"/>
              </w:rPr>
              <w:t xml:space="preserve">None</w:t>
            </w:r>
          </w:p>
        </w:tc>
        <w:tc>
          <w:tcPr>
            <w:tcW w:type="dxa" w:w="8280"/>
            <w:tcBorders>
              <w:top w:val="single" w:color="CCCCCC" w:sz="1"/>
              <w:left w:val="single" w:color="CCCCCC" w:sz="1"/>
              <w:bottom w:val="single" w:color="CCCCCC" w:sz="1"/>
              <w:right w:val="single" w:color="CCCCCC" w:sz="1"/>
            </w:tcBorders>
          </w:tcPr>
          <w:p>
            <w:pPr>
              <w:spacing w:after="60" w:before="60"/>
            </w:pPr>
            <w:r>
              <w:rPr>
                <w:sz w:val="18"/>
                <w:szCs w:val="18"/>
              </w:rPr>
              <w:t xml:space="preserve">Use type designation — not addressed by state statute.</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A-03</w:t>
            </w:r>
          </w:p>
        </w:tc>
        <w:tc>
          <w:tcPr>
            <w:tcW w:type="dxa" w:w="11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8"/>
                <w:szCs w:val="18"/>
              </w:rPr>
              <w:t xml:space="preserve">None</w:t>
            </w:r>
          </w:p>
        </w:tc>
        <w:tc>
          <w:tcPr>
            <w:tcW w:type="dxa" w:w="8280"/>
            <w:tcBorders>
              <w:top w:val="single" w:color="CCCCCC" w:sz="1"/>
              <w:left w:val="single" w:color="CCCCCC" w:sz="1"/>
              <w:bottom w:val="single" w:color="CCCCCC" w:sz="1"/>
              <w:right w:val="single" w:color="CCCCCC" w:sz="1"/>
            </w:tcBorders>
          </w:tcPr>
          <w:p>
            <w:pPr>
              <w:spacing w:after="60" w:before="60"/>
            </w:pPr>
            <w:r>
              <w:rPr>
                <w:sz w:val="18"/>
                <w:szCs w:val="18"/>
              </w:rPr>
              <w:t xml:space="preserve">Ordinance citation on cover sheet — not addressed by state statute.</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A-06</w:t>
            </w:r>
          </w:p>
        </w:tc>
        <w:tc>
          <w:tcPr>
            <w:tcW w:type="dxa" w:w="11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8"/>
                <w:szCs w:val="18"/>
              </w:rPr>
              <w:t xml:space="preserve">None</w:t>
            </w:r>
          </w:p>
        </w:tc>
        <w:tc>
          <w:tcPr>
            <w:tcW w:type="dxa" w:w="8280"/>
            <w:tcBorders>
              <w:top w:val="single" w:color="CCCCCC" w:sz="1"/>
              <w:left w:val="single" w:color="CCCCCC" w:sz="1"/>
              <w:bottom w:val="single" w:color="CCCCCC" w:sz="1"/>
              <w:right w:val="single" w:color="CCCCCC" w:sz="1"/>
            </w:tcBorders>
          </w:tcPr>
          <w:p>
            <w:pPr>
              <w:spacing w:after="60" w:before="60"/>
            </w:pPr>
            <w:r>
              <w:rPr>
                <w:sz w:val="18"/>
                <w:szCs w:val="18"/>
              </w:rPr>
              <w:t xml:space="preserve">SB 15 §211.055(a)(4) caps open space requirement at 30% for small lots only (≤4,000 sf). This lot is 7,330 sf — small-lot provision does not apply. HOME Phase I 40% front yard impervious limit governs.</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A-07</w:t>
            </w:r>
          </w:p>
        </w:tc>
        <w:tc>
          <w:tcPr>
            <w:tcW w:type="dxa" w:w="11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8"/>
                <w:szCs w:val="18"/>
              </w:rPr>
              <w:t xml:space="preserve">None</w:t>
            </w:r>
          </w:p>
        </w:tc>
        <w:tc>
          <w:tcPr>
            <w:tcW w:type="dxa" w:w="8280"/>
            <w:tcBorders>
              <w:top w:val="single" w:color="CCCCCC" w:sz="1"/>
              <w:left w:val="single" w:color="CCCCCC" w:sz="1"/>
              <w:bottom w:val="single" w:color="CCCCCC" w:sz="1"/>
              <w:right w:val="single" w:color="CCCCCC" w:sz="1"/>
            </w:tcBorders>
          </w:tcPr>
          <w:p>
            <w:pPr>
              <w:spacing w:after="60" w:before="60"/>
            </w:pPr>
            <w:r>
              <w:rPr>
                <w:sz w:val="18"/>
                <w:szCs w:val="18"/>
              </w:rPr>
              <w:t xml:space="preserve">SB 15 §211.055(a)(1) caps front setback at 15 ft for small lots only (≤4,000 sf). Not applicable here. Phase I 15 ft front setback governs and equals the state cap regardless.</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A-08</w:t>
            </w:r>
          </w:p>
        </w:tc>
        <w:tc>
          <w:tcPr>
            <w:tcW w:type="dxa" w:w="11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8"/>
                <w:szCs w:val="18"/>
              </w:rPr>
              <w:t xml:space="preserve">None</w:t>
            </w:r>
          </w:p>
        </w:tc>
        <w:tc>
          <w:tcPr>
            <w:tcW w:type="dxa" w:w="8280"/>
            <w:tcBorders>
              <w:top w:val="single" w:color="CCCCCC" w:sz="1"/>
              <w:left w:val="single" w:color="CCCCCC" w:sz="1"/>
              <w:bottom w:val="single" w:color="CCCCCC" w:sz="1"/>
              <w:right w:val="single" w:color="CCCCCC" w:sz="1"/>
            </w:tcBorders>
          </w:tcPr>
          <w:p>
            <w:pPr>
              <w:spacing w:after="60" w:before="60"/>
            </w:pPr>
            <w:r>
              <w:rPr>
                <w:sz w:val="18"/>
                <w:szCs w:val="18"/>
              </w:rPr>
              <w:t xml:space="preserve">SB 15 §211.055(a)(1) caps rear setback at 10 ft for small lots only. Not applicable. Phase I 5 ft rear setback (with alley) is more permissive than the state floor — no conflict.</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A-09</w:t>
            </w:r>
          </w:p>
        </w:tc>
        <w:tc>
          <w:tcPr>
            <w:tcW w:type="dxa" w:w="11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8"/>
                <w:szCs w:val="18"/>
              </w:rPr>
              <w:t xml:space="preserve">None</w:t>
            </w:r>
          </w:p>
        </w:tc>
        <w:tc>
          <w:tcPr>
            <w:tcW w:type="dxa" w:w="8280"/>
            <w:tcBorders>
              <w:top w:val="single" w:color="CCCCCC" w:sz="1"/>
              <w:left w:val="single" w:color="CCCCCC" w:sz="1"/>
              <w:bottom w:val="single" w:color="CCCCCC" w:sz="1"/>
              <w:right w:val="single" w:color="CCCCCC" w:sz="1"/>
            </w:tcBorders>
          </w:tcPr>
          <w:p>
            <w:pPr>
              <w:spacing w:after="60" w:before="60"/>
            </w:pPr>
            <w:r>
              <w:rPr>
                <w:sz w:val="18"/>
                <w:szCs w:val="18"/>
              </w:rPr>
              <w:t xml:space="preserve">SB 15 §211.055(a)(1) caps side setback at 5 ft for small lots only. Not applicable. Local 5 ft side setback equals state floor — no conflict even if applicable.</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A-10</w:t>
            </w:r>
          </w:p>
        </w:tc>
        <w:tc>
          <w:tcPr>
            <w:tcW w:type="dxa" w:w="11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8"/>
                <w:szCs w:val="18"/>
              </w:rPr>
              <w:t xml:space="preserve">None</w:t>
            </w:r>
          </w:p>
        </w:tc>
        <w:tc>
          <w:tcPr>
            <w:tcW w:type="dxa" w:w="8280"/>
            <w:tcBorders>
              <w:top w:val="single" w:color="CCCCCC" w:sz="1"/>
              <w:left w:val="single" w:color="CCCCCC" w:sz="1"/>
              <w:bottom w:val="single" w:color="CCCCCC" w:sz="1"/>
              <w:right w:val="single" w:color="CCCCCC" w:sz="1"/>
            </w:tcBorders>
          </w:tcPr>
          <w:p>
            <w:pPr>
              <w:spacing w:after="60" w:before="60"/>
            </w:pPr>
            <w:r>
              <w:rPr>
                <w:sz w:val="18"/>
                <w:szCs w:val="18"/>
              </w:rPr>
              <w:t xml:space="preserve">Porch setbacks are not wall articulation requirements. SB 15 §211.055(a)(5) prohibits wall articulation requirements on small lots only. Not applicable here.</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A-11</w:t>
            </w:r>
          </w:p>
        </w:tc>
        <w:tc>
          <w:tcPr>
            <w:tcW w:type="dxa" w:w="11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8"/>
                <w:szCs w:val="18"/>
              </w:rPr>
              <w:t xml:space="preserve">None</w:t>
            </w:r>
          </w:p>
        </w:tc>
        <w:tc>
          <w:tcPr>
            <w:tcW w:type="dxa" w:w="8280"/>
            <w:tcBorders>
              <w:top w:val="single" w:color="CCCCCC" w:sz="1"/>
              <w:left w:val="single" w:color="CCCCCC" w:sz="1"/>
              <w:bottom w:val="single" w:color="CCCCCC" w:sz="1"/>
              <w:right w:val="single" w:color="CCCCCC" w:sz="1"/>
            </w:tcBorders>
          </w:tcPr>
          <w:p>
            <w:pPr>
              <w:spacing w:after="60" w:before="60"/>
            </w:pPr>
            <w:r>
              <w:rPr>
                <w:sz w:val="18"/>
                <w:szCs w:val="18"/>
              </w:rPr>
              <w:t xml:space="preserve">SB 15 §211.055(a)(2) prohibits covered parking requirements for small lots. SB 15 §211.055(a)(3) caps parking at 1 per unit for small lots. Neither applies to this 7,330 sf lot. Phase I maximum 4 spaces in front yard is a cap, not a minimum — not preempted.</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B-01</w:t>
            </w:r>
          </w:p>
        </w:tc>
        <w:tc>
          <w:tcPr>
            <w:tcW w:type="dxa" w:w="11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8"/>
                <w:szCs w:val="18"/>
              </w:rPr>
              <w:t xml:space="preserve">None</w:t>
            </w:r>
          </w:p>
        </w:tc>
        <w:tc>
          <w:tcPr>
            <w:tcW w:type="dxa" w:w="8280"/>
            <w:tcBorders>
              <w:top w:val="single" w:color="CCCCCC" w:sz="1"/>
              <w:left w:val="single" w:color="CCCCCC" w:sz="1"/>
              <w:bottom w:val="single" w:color="CCCCCC" w:sz="1"/>
              <w:right w:val="single" w:color="CCCCCC" w:sz="1"/>
            </w:tcBorders>
          </w:tcPr>
          <w:p>
            <w:pPr>
              <w:spacing w:after="60" w:before="60"/>
            </w:pPr>
            <w:r>
              <w:rPr>
                <w:sz w:val="18"/>
                <w:szCs w:val="18"/>
              </w:rPr>
              <w:t xml:space="preserve">SB 15 §211.055(a)(6) prohibits building bulk restrictions for small lots only. SB 840 FAR preemption applies to commercial zones only. Neither applies here. Phase I §25-2-773(E) Subchapter F FAR limits govern.</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B-02</w:t>
            </w:r>
          </w:p>
        </w:tc>
        <w:tc>
          <w:tcPr>
            <w:tcW w:type="dxa" w:w="11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8"/>
                <w:szCs w:val="18"/>
              </w:rPr>
              <w:t xml:space="preserve">None</w:t>
            </w:r>
          </w:p>
        </w:tc>
        <w:tc>
          <w:tcPr>
            <w:tcW w:type="dxa" w:w="8280"/>
            <w:tcBorders>
              <w:top w:val="single" w:color="CCCCCC" w:sz="1"/>
              <w:left w:val="single" w:color="CCCCCC" w:sz="1"/>
              <w:bottom w:val="single" w:color="CCCCCC" w:sz="1"/>
              <w:right w:val="single" w:color="CCCCCC" w:sz="1"/>
            </w:tcBorders>
          </w:tcPr>
          <w:p>
            <w:pPr>
              <w:spacing w:after="60" w:before="60"/>
            </w:pPr>
            <w:r>
              <w:rPr>
                <w:sz w:val="18"/>
                <w:szCs w:val="18"/>
              </w:rPr>
              <w:t xml:space="preserve">Same as B-01.</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B-03</w:t>
            </w:r>
          </w:p>
        </w:tc>
        <w:tc>
          <w:tcPr>
            <w:tcW w:type="dxa" w:w="11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8"/>
                <w:szCs w:val="18"/>
              </w:rPr>
              <w:t xml:space="preserve">None</w:t>
            </w:r>
          </w:p>
        </w:tc>
        <w:tc>
          <w:tcPr>
            <w:tcW w:type="dxa" w:w="8280"/>
            <w:tcBorders>
              <w:top w:val="single" w:color="CCCCCC" w:sz="1"/>
              <w:left w:val="single" w:color="CCCCCC" w:sz="1"/>
              <w:bottom w:val="single" w:color="CCCCCC" w:sz="1"/>
              <w:right w:val="single" w:color="CCCCCC" w:sz="1"/>
            </w:tcBorders>
          </w:tcPr>
          <w:p>
            <w:pPr>
              <w:spacing w:after="60" w:before="60"/>
            </w:pPr>
            <w:r>
              <w:rPr>
                <w:sz w:val="18"/>
                <w:szCs w:val="18"/>
              </w:rPr>
              <w:t xml:space="preserve">Same as B-01.</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B-07</w:t>
            </w:r>
          </w:p>
        </w:tc>
        <w:tc>
          <w:tcPr>
            <w:tcW w:type="dxa" w:w="11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8"/>
                <w:szCs w:val="18"/>
              </w:rPr>
              <w:t xml:space="preserve">None</w:t>
            </w:r>
          </w:p>
        </w:tc>
        <w:tc>
          <w:tcPr>
            <w:tcW w:type="dxa" w:w="8280"/>
            <w:tcBorders>
              <w:top w:val="single" w:color="CCCCCC" w:sz="1"/>
              <w:left w:val="single" w:color="CCCCCC" w:sz="1"/>
              <w:bottom w:val="single" w:color="CCCCCC" w:sz="1"/>
              <w:right w:val="single" w:color="CCCCCC" w:sz="1"/>
            </w:tcBorders>
          </w:tcPr>
          <w:p>
            <w:pPr>
              <w:spacing w:after="60" w:before="60"/>
            </w:pPr>
            <w:r>
              <w:rPr>
                <w:sz w:val="18"/>
                <w:szCs w:val="18"/>
              </w:rPr>
              <w:t xml:space="preserve">Street-facing entrance requirement is not a wall articulation standard. SB 15 §211.055(a)(7) prohibits wall articulation requirements for small lots only. Not applicable.</w:t>
            </w:r>
          </w:p>
        </w:tc>
      </w:tr>
      <w:tr>
        <w:tc>
          <w:tcPr>
            <w:tcW w:type="dxa" w:w="700"/>
            <w:tcBorders>
              <w:top w:val="single" w:color="CCCCCC" w:sz="1"/>
              <w:left w:val="single" w:color="CCCCCC" w:sz="1"/>
              <w:bottom w:val="single" w:color="CCCCCC" w:sz="1"/>
              <w:right w:val="single" w:color="CCCCCC" w:sz="1"/>
            </w:tcBorders>
          </w:tcPr>
          <w:p>
            <w:pPr>
              <w:spacing w:after="60" w:before="60"/>
            </w:pPr>
            <w:r>
              <w:rPr>
                <w:rFonts w:ascii="Courier New" w:cs="Courier New" w:eastAsia="Courier New" w:hAnsi="Courier New"/>
                <w:color w:val="1A3A5C"/>
                <w:sz w:val="18"/>
                <w:szCs w:val="18"/>
              </w:rPr>
              <w:t xml:space="preserve">C-04</w:t>
            </w:r>
          </w:p>
        </w:tc>
        <w:tc>
          <w:tcPr>
            <w:tcW w:type="dxa" w:w="1100"/>
            <w:tcBorders>
              <w:top w:val="single" w:color="CCCCCC" w:sz="1"/>
              <w:left w:val="single" w:color="CCCCCC" w:sz="1"/>
              <w:bottom w:val="single" w:color="CCCCCC" w:sz="1"/>
              <w:right w:val="single" w:color="CCCCCC" w:sz="1"/>
            </w:tcBorders>
            <w:shd w:fill="D5F5E3" w:val="clear"/>
          </w:tcPr>
          <w:p>
            <w:pPr>
              <w:spacing w:after="60" w:before="60"/>
              <w:jc w:val="center"/>
            </w:pPr>
            <w:r>
              <w:rPr>
                <w:b/>
                <w:bCs/>
                <w:color w:val="1E8449"/>
                <w:sz w:val="18"/>
                <w:szCs w:val="18"/>
              </w:rPr>
              <w:t xml:space="preserve">None</w:t>
            </w:r>
          </w:p>
        </w:tc>
        <w:tc>
          <w:tcPr>
            <w:tcW w:type="dxa" w:w="8280"/>
            <w:tcBorders>
              <w:top w:val="single" w:color="CCCCCC" w:sz="1"/>
              <w:left w:val="single" w:color="CCCCCC" w:sz="1"/>
              <w:bottom w:val="single" w:color="CCCCCC" w:sz="1"/>
              <w:right w:val="single" w:color="CCCCCC" w:sz="1"/>
            </w:tcBorders>
          </w:tcPr>
          <w:p>
            <w:pPr>
              <w:spacing w:after="60" w:before="60"/>
            </w:pPr>
            <w:r>
              <w:rPr>
                <w:sz w:val="18"/>
                <w:szCs w:val="18"/>
              </w:rPr>
              <w:t xml:space="preserve">IBC structural standards — not addressed by SB 15, SB 840, or HB 24.</w:t>
            </w:r>
          </w:p>
        </w:tc>
      </w:tr>
    </w:tbl>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before="80"/>
      <w:jc w:val="center"/>
    </w:pPr>
    <w:r>
      <w:rPr>
        <w:color w:val="888888"/>
        <w:sz w:val="17"/>
        <w:szCs w:val="17"/>
      </w:rPr>
      <w:t xml:space="preserve">Page </w:t>
    </w:r>
    <w:r>
      <w:rPr>
        <w:color w:val="888888"/>
        <w:sz w:val="17"/>
        <w:szCs w:val="17"/>
      </w:rPr>
      <w:fldChar w:fldCharType="begin"/>
      <w:instrText xml:space="preserve">PAGE</w:instrText>
      <w:fldChar w:fldCharType="separate"/>
      <w:fldChar w:fldCharType="end"/>
    </w:r>
    <w:r>
      <w:rPr>
        <w:color w:val="888888"/>
        <w:sz w:val="17"/>
        <w:szCs w:val="17"/>
      </w:rPr>
      <w:t xml:space="preserve"> of </w:t>
    </w:r>
    <w:r>
      <w:rPr>
        <w:color w:val="888888"/>
        <w:sz w:val="17"/>
        <w:szCs w:val="17"/>
      </w:rPr>
      <w:fldChar w:fldCharType="begin"/>
      <w:instrText xml:space="preserve">NUMPAGES</w:instrText>
      <w:fldChar w:fldCharType="separate"/>
      <w:fldChar w:fldCharType="end"/>
    </w:r>
    <w:r>
      <w:rPr>
        <w:color w:val="AAAAAA"/>
        <w:sz w:val="16"/>
        <w:szCs w:val="16"/>
      </w:rPr>
      <w:t xml:space="preserve">   |   Technical Review Package — HOME Phase I Plan Check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none" w:color="FFFFFF" w:sz="0"/>
            <w:left w:val="none" w:color="FFFFFF" w:sz="0"/>
            <w:bottom w:val="none" w:color="FFFFFF" w:sz="0"/>
            <w:right w:val="none" w:color="FFFFFF" w:sz="0"/>
          </w:tcBorders>
        </w:tcPr>
        <w:p>
          <w:pPr>
            <w:spacing w:after="80"/>
          </w:pPr>
          <w:r>
            <w:rPr>
              <w:b/>
              <w:bCs/>
              <w:color w:val="1A3A5C"/>
              <w:sz w:val="18"/>
              <w:szCs w:val="18"/>
            </w:rPr>
            <w:t xml:space="preserve">City of Austin — Development Services Department</w:t>
          </w:r>
        </w:p>
        <w:p>
          <w:pPr>
            <w:spacing w:after="80"/>
          </w:pPr>
          <w:r>
            <w:rPr>
              <w:i/>
              <w:iCs/>
              <w:color w:val="555555"/>
            </w:rPr>
            <w:t xml:space="preserve">Residential Plan Check — Technical Review Package</w:t>
          </w:r>
        </w:p>
      </w:tc>
      <w:tc>
        <w:tcPr>
          <w:tcW w:type="dxa" w:w="3600"/>
          <w:tcBorders>
            <w:top w:val="none" w:color="FFFFFF" w:sz="0"/>
            <w:left w:val="none" w:color="FFFFFF" w:sz="0"/>
            <w:bottom w:val="none" w:color="FFFFFF" w:sz="0"/>
            <w:right w:val="none" w:color="FFFFFF" w:sz="0"/>
          </w:tcBorders>
          <w:vAlign w:val="center"/>
        </w:tcPr>
        <w:p>
          <w:pPr>
            <w:spacing w:after="80"/>
            <w:jc w:val="right"/>
          </w:pPr>
          <w:r>
            <w:rPr>
              <w:color w:val="888888"/>
              <w:sz w:val="17"/>
              <w:szCs w:val="17"/>
            </w:rPr>
            <w:t xml:space="preserve">2406 Euclid Ave  |  2026-03-01</w:t>
          </w:r>
        </w:p>
      </w:tc>
    </w:tr>
  </w:tbl>
  <w:p>
    <w:pPr>
      <w:pBdr>
        <w:bottom w:val="single" w:color="1A3A5C" w:sz="2"/>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CCCC" w:sz="1" w:space="4"/>
      </w:pBdr>
      <w:spacing w:after="120" w:before="32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2026-03-02T04:15:09.738Z</dcterms:created>
  <dcterms:modified xsi:type="dcterms:W3CDTF">2026-03-02T04:15:09.739Z</dcterms:modified>
</cp:coreProperties>
</file>

<file path=docProps/custom.xml><?xml version="1.0" encoding="utf-8"?>
<Properties xmlns="http://schemas.openxmlformats.org/officeDocument/2006/custom-properties" xmlns:vt="http://schemas.openxmlformats.org/officeDocument/2006/docPropsVTypes"/>
</file>