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Picture 1" descr="Modern abstract illustration of privacy-first family ride coordination using a smartphone, shield, connected households, and roadway." title="BandWagon Full-Bleed 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ndwagon_full_bleed_cover.png"/>
                    <pic:cNvPicPr/>
                  </pic:nvPicPr>
                  <pic:blipFill>
                    <a:blip r:embed="rId9"/>
                    <a:stretch>
                      <a:fillRect/>
                    </a:stretch>
                  </pic:blipFill>
                  <pic:spPr>
                    <a:xfrm>
                      <a:off x="0" y="0"/>
                      <a:ext cx="7772400" cy="10058400"/>
                    </a:xfrm>
                    <a:prstGeom prst="rect"/>
                  </pic:spPr>
                </pic:pic>
              </a:graphicData>
            </a:graphic>
          </wp:anchor>
        </w:drawing>
      </w:r>
    </w:p>
    <w:p>
      <w:pPr>
        <w:sectPr>
          <w:headerReference w:type="default" r:id="rId12"/>
          <w:footerReference w:type="default" r:id="rId13"/>
          <w:pgSz w:w="12240" w:h="15840"/>
          <w:pgMar w:top="0" w:right="0" w:bottom="0" w:left="0" w:header="0" w:footer="0" w:gutter="0"/>
          <w:cols w:space="720"/>
          <w:docGrid w:linePitch="360"/>
        </w:sectPr>
      </w:pPr>
    </w:p>
    <w:p>
      <w:pPr>
        <w:pageBreakBefore w:val="0"/>
        <w:spacing w:after="80"/>
      </w:pPr>
      <w:r>
        <w:rPr>
          <w:rFonts w:ascii="Calibri" w:hAnsi="Calibri"/>
          <w:b/>
          <w:color w:val="5C6B7A"/>
          <w:sz w:val="18"/>
        </w:rPr>
        <w:t>PART I - OVERALL VIEW</w:t>
      </w:r>
    </w:p>
    <w:p>
      <w:pPr>
        <w:pStyle w:val="Heading1"/>
      </w:pPr>
      <w:r>
        <w:t>Executive Review for the Participating Organization</w:t>
      </w:r>
    </w:p>
    <w:p>
      <w:pPr>
        <w:spacing w:after="240"/>
      </w:pPr>
      <w:r>
        <w:rPr>
          <w:rFonts w:ascii="Calibri" w:hAnsi="Calibri"/>
          <w:i/>
          <w:color w:val="5C6B7A"/>
          <w:sz w:val="22"/>
        </w:rPr>
        <w:t>A plain-language proposal for routing through each reviewer’s own formal process.</w:t>
      </w:r>
    </w:p>
    <w:tbl>
      <w:tblPr>
        <w:tblStyle w:val="TableGrid"/>
        <w:tblW w:type="dxa" w:w="9360"/>
        <w:jc w:val="left"/>
        <w:tblLayout w:type="fixed"/>
        <w:tblLook w:firstColumn="1" w:firstRow="1" w:lastColumn="0" w:lastRow="0" w:noHBand="0" w:noVBand="1" w:val="04A0"/>
        <w:tblInd w:w="120" w:type="dxa"/>
      </w:tblPr>
      <w:tblGrid>
        <w:gridCol w:w="1800"/>
        <w:gridCol w:w="7560"/>
      </w:tblGrid>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Prepared for</w:t>
            </w:r>
          </w:p>
        </w:tc>
        <w:tc>
          <w:tcPr>
            <w:tcW w:type="dxa" w:w="7560"/>
            <w:tcMar>
              <w:top w:w="80" w:type="dxa"/>
              <w:start w:w="120" w:type="dxa"/>
              <w:bottom w:w="80" w:type="dxa"/>
              <w:end w:w="120" w:type="dxa"/>
            </w:tcMar>
            <w:vAlign w:val="center"/>
          </w:tcPr>
          <w:p>
            <w:r>
              <w:rPr>
                <w:rFonts w:ascii="Calibri" w:hAnsi="Calibri"/>
                <w:color w:val="000000"/>
              </w:rPr>
              <w:t>Participating Organizations, Program Leaders, Host-Site Reviewers, and External Authorities</w:t>
            </w:r>
          </w:p>
        </w:tc>
      </w:tr>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Organization / Program</w:t>
            </w:r>
          </w:p>
        </w:tc>
        <w:tc>
          <w:tcPr>
            <w:tcW w:type="dxa" w:w="7560"/>
            <w:tcMar>
              <w:top w:w="80" w:type="dxa"/>
              <w:start w:w="120" w:type="dxa"/>
              <w:bottom w:w="80" w:type="dxa"/>
              <w:end w:w="120" w:type="dxa"/>
            </w:tcMar>
            <w:vAlign w:val="center"/>
          </w:tcPr>
          <w:p>
            <w:r>
              <w:rPr>
                <w:rFonts w:ascii="Calibri" w:hAnsi="Calibri"/>
                <w:color w:val="000000"/>
              </w:rPr>
              <w:t>[Enter Organization and Program Name]</w:t>
            </w:r>
          </w:p>
        </w:tc>
      </w:tr>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Prepared and Maintained by</w:t>
            </w:r>
          </w:p>
        </w:tc>
        <w:tc>
          <w:tcPr>
            <w:tcW w:type="dxa" w:w="7560"/>
            <w:tcMar>
              <w:top w:w="80" w:type="dxa"/>
              <w:start w:w="120" w:type="dxa"/>
              <w:bottom w:w="80" w:type="dxa"/>
              <w:end w:w="120" w:type="dxa"/>
            </w:tcMar>
            <w:vAlign w:val="center"/>
          </w:tcPr>
          <w:p>
            <w:r>
              <w:rPr>
                <w:rFonts w:ascii="Calibri" w:hAnsi="Calibri"/>
                <w:color w:val="000000"/>
              </w:rPr>
              <w:t>Harrison Ward Technology</w:t>
            </w:r>
          </w:p>
        </w:tc>
      </w:tr>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Product / Provider</w:t>
            </w:r>
          </w:p>
        </w:tc>
        <w:tc>
          <w:tcPr>
            <w:tcW w:type="dxa" w:w="7560"/>
            <w:tcMar>
              <w:top w:w="80" w:type="dxa"/>
              <w:start w:w="120" w:type="dxa"/>
              <w:bottom w:w="80" w:type="dxa"/>
              <w:end w:w="120" w:type="dxa"/>
            </w:tcMar>
            <w:vAlign w:val="center"/>
          </w:tcPr>
          <w:p>
            <w:r>
              <w:rPr>
                <w:rFonts w:ascii="Calibri" w:hAnsi="Calibri"/>
                <w:color w:val="000000"/>
              </w:rPr>
              <w:t>BandWagon - a Harrison Ward Technology Product and Service</w:t>
            </w:r>
          </w:p>
        </w:tc>
      </w:tr>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Document Status</w:t>
            </w:r>
          </w:p>
        </w:tc>
        <w:tc>
          <w:tcPr>
            <w:tcW w:type="dxa" w:w="7560"/>
            <w:tcMar>
              <w:top w:w="80" w:type="dxa"/>
              <w:start w:w="120" w:type="dxa"/>
              <w:bottom w:w="80" w:type="dxa"/>
              <w:end w:w="120" w:type="dxa"/>
            </w:tcMar>
            <w:vAlign w:val="center"/>
          </w:tcPr>
          <w:p>
            <w:r>
              <w:rPr>
                <w:rFonts w:ascii="Calibri" w:hAnsi="Calibri"/>
                <w:color w:val="000000"/>
              </w:rPr>
              <w:t>LIVING Proposal v0.5.2 - Update at v1 Feature Freeze and Again Before Production Deployment</w:t>
            </w:r>
          </w:p>
        </w:tc>
      </w:tr>
      <w:tr>
        <w:trPr>
          <w:cantSplit/>
        </w:trPr>
        <w:tc>
          <w:tcPr>
            <w:tcW w:type="dxa" w:w="1800"/>
            <w:tcMar>
              <w:top w:w="80" w:type="dxa"/>
              <w:start w:w="120" w:type="dxa"/>
              <w:bottom w:w="80" w:type="dxa"/>
              <w:end w:w="120" w:type="dxa"/>
            </w:tcMar>
            <w:vAlign w:val="center"/>
            <w:shd w:fill="E8EEF5"/>
          </w:tcPr>
          <w:p>
            <w:pPr>
              <w:jc w:val="center"/>
            </w:pPr>
            <w:r>
              <w:rPr>
                <w:rFonts w:ascii="Calibri" w:hAnsi="Calibri"/>
                <w:b/>
                <w:color w:val="1F4D78"/>
              </w:rPr>
              <w:t>Date</w:t>
            </w:r>
          </w:p>
        </w:tc>
        <w:tc>
          <w:tcPr>
            <w:tcW w:type="dxa" w:w="7560"/>
            <w:tcMar>
              <w:top w:w="80" w:type="dxa"/>
              <w:start w:w="120" w:type="dxa"/>
              <w:bottom w:w="80" w:type="dxa"/>
              <w:end w:w="120" w:type="dxa"/>
            </w:tcMar>
            <w:vAlign w:val="center"/>
          </w:tcPr>
          <w:p>
            <w:r>
              <w:rPr>
                <w:rFonts w:ascii="Calibri" w:hAnsi="Calibri"/>
                <w:color w:val="000000"/>
              </w:rPr>
              <w:t>August 25, 2026</w:t>
            </w:r>
          </w:p>
        </w:tc>
      </w:tr>
    </w:tbl>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Proposal Request: </w:t>
            </w:r>
            <w:r>
              <w:rPr>
                <w:rFonts w:ascii="Calibri" w:hAnsi="Calibri"/>
                <w:color w:val="000000"/>
              </w:rPr>
              <w:t>Accept This Proposal for Review, Map the Reviewer Roles to the Participating Organization, Route It Through Each Organization’s Normal Process, and Attach the Resulting Official Decision, Minutes, Ticket, Memo, Agreement, or Conditions. This Proposal Does Not Itself Grant Approval or Authorize Launch. The Safest Proposed Posture Is a No-Cost, Adult-Driver-Only Pilot with Parent-Initiated Enrollment and No Institution-Provided Roster or Account Import.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Reusable Approval Model: </w:t>
            </w:r>
            <w:r>
              <w:rPr>
                <w:rFonts w:ascii="Calibri" w:hAnsi="Calibri"/>
                <w:color w:val="000000"/>
              </w:rPr>
              <w:t>The Document Uses Role-Based Reviewers Instead of Named Organizations. Approval Profile 1 Is a School / District-Affiliated Youth Program Because That Path Exercises the Broadest Likely Set of Governance, Privacy, Device, Volunteer, Insurance, Transportation, and Child-Safety Questions. A Nonprofit, Sports Team, Church, Community Group, or Independent Club May Map Equivalent Roles and Mark a Reviewer Not Applicable Only When a Named Accountable Owner Documents Why.</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Provider Identity and Attachment Model: </w:t>
            </w:r>
            <w:r>
              <w:rPr>
                <w:rFonts w:ascii="Calibri" w:hAnsi="Calibri"/>
                <w:color w:val="000000"/>
              </w:rPr>
              <w:t>Harrison Ward Technology Prepares and Operates BandWagon in Its Business Capacity - Not Harrison Ward Personally. Throughout This Package, Platform Provider, Platform Operator, BandWagon Operator, and Technical Operator Mean Harrison Ward Technology. This Document Supplies Proposal Materials and Does Not Grant Approval or Launch Authority. Each Reviewer Attaches Its Own Official Decision. Final Agreements and Notices Should Use Harrison Ward Technology’s Complete Legal / DBA and Business Contact Details.</w:t>
            </w:r>
          </w:p>
        </w:tc>
      </w:tr>
    </w:tbl>
    <w:p>
      <w:pPr>
        <w:spacing w:after="0"/>
      </w:pPr>
    </w:p>
    <w:p>
      <w:pPr>
        <w:pStyle w:val="SmallNote"/>
      </w:pPr>
      <w:r>
        <w:t>Important: This is an operational and security review package, not legal advice. Final transportation, insurance, volunteer-screening, child-data, institutional-data, and contractual requirements should be confirmed by the organization’s applicable governing authority, insurer, or counsel.</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Bottom Line: </w:t>
            </w:r>
            <w:r>
              <w:rPr>
                <w:rFonts w:ascii="Calibri" w:hAnsi="Calibri"/>
                <w:color w:val="000000"/>
              </w:rPr>
              <w:t>BandWagon Can Be Positioned as a Private, Voluntary Tool That Helps Participating Families Find One Another for Rides. The Cleanest Baseline Is Parent-Initiated Enrollment, Parent Control of Minor Participation, Approved Adult Drivers, and No Roster, Address, Participant ID, or Account Data Supplied by an Affiliated Institution.</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Privacy and Hosting Commitment: </w:t>
            </w:r>
            <w:r>
              <w:rPr>
                <w:rFonts w:ascii="Calibri" w:hAnsi="Calibri"/>
                <w:color w:val="000000"/>
              </w:rPr>
              <w:t>For Production, BandWagon Will Require the Application, Authoritative Database, Cache / Queue, Application Logs, and Backups to Remain in U.S. Regions and Be Encrypted in Transit and at Rest. Each Outside Processor—mapping, Messaging, Email, Calendar, CDN, and Any AI Service—must Be Verified Separately and Disclosed Before Launch.</w:t>
            </w:r>
          </w:p>
        </w:tc>
      </w:tr>
    </w:tbl>
    <w:p>
      <w:pPr>
        <w:spacing w:after="0"/>
      </w:pPr>
    </w:p>
    <w:p>
      <w:pPr>
        <w:pStyle w:val="Heading2"/>
      </w:pPr>
      <w:r>
        <w:t>Why This Exists</w:t>
      </w:r>
    </w:p>
    <w:p>
      <w:r>
        <w:t>Families and community organizations already solve transportation gaps through texts, social posts, direct messages, spreadsheets, and long message threads. Those methods work, but they expose personal information broadly, make it difficult to see whether a need was filled, and create a tangled logistics web for the volunteers trying to help.</w:t>
      </w:r>
    </w:p>
    <w:p>
      <w:r>
        <w:t>BandWagon narrows that problem to one simple workflow: a family requests help, an approved adult driver offers a seat, the parent accepts, and only the matched households receive the information required to complete the ride.</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Free Platform and Sustainability Model: </w:t>
            </w:r>
            <w:r>
              <w:rPr>
                <w:rFonts w:ascii="Calibri" w:hAnsi="Calibri"/>
                <w:color w:val="000000"/>
              </w:rPr>
              <w:t>Bandwagon’s Approved Core Platform Is Provided Free of Charge to Participating Families and Organizations. Ongoing Hosting, Messaging, Mapping, Security, and Development Costs May Be Supported by Optional Contributions from Adult Users, Organization Support, Grants, in-Kind Services, and Approved Outside Funding Sponsors. Contributions Never Change Access, Matching Priority, Safety Decisions, or Available Core Features. Each Organization May Disable Contribution Prompts, Sponsor Recognition, and Every Other Optional Module Independently.</w:t>
            </w:r>
          </w:p>
        </w:tc>
      </w:tr>
    </w:tbl>
    <w:p>
      <w:pPr>
        <w:spacing w:after="0"/>
      </w:pPr>
    </w:p>
    <w:p>
      <w:pPr>
        <w:pStyle w:val="Heading2"/>
      </w:pPr>
      <w:r>
        <w:t>New Matching Enhancements Proposed</w:t>
      </w:r>
    </w:p>
    <w:tbl>
      <w:tblPr>
        <w:tblStyle w:val="TableGrid"/>
        <w:tblW w:type="dxa" w:w="9360"/>
        <w:tblLayout w:type="fixed"/>
        <w:tblLook w:firstColumn="1" w:firstRow="1" w:lastColumn="0" w:lastRow="0" w:noHBand="0" w:noVBand="1" w:val="04A0"/>
        <w:jc w:val="left"/>
        <w:tblInd w:w="120" w:type="dxa"/>
      </w:tblPr>
      <w:tblGrid>
        <w:gridCol w:w="2100"/>
        <w:gridCol w:w="3600"/>
        <w:gridCol w:w="3660"/>
      </w:tblGrid>
      <w:tr>
        <w:trPr>
          <w:cantSplit/>
          <w:tblHeader w:val="true"/>
        </w:trPr>
        <w:tc>
          <w:tcPr>
            <w:tcW w:type="dxa" w:w="2100"/>
            <w:tcMar>
              <w:top w:w="80" w:type="dxa"/>
              <w:start w:w="120" w:type="dxa"/>
              <w:bottom w:w="80" w:type="dxa"/>
              <w:end w:w="120" w:type="dxa"/>
            </w:tcMar>
            <w:vAlign w:val="center"/>
            <w:shd w:fill="E8EEF5"/>
          </w:tcPr>
          <w:p>
            <w:pPr>
              <w:jc w:val="center"/>
            </w:pPr>
            <w:r>
              <w:rPr>
                <w:rFonts w:ascii="Calibri" w:hAnsi="Calibri"/>
                <w:b/>
                <w:color w:val="1F4D78"/>
                <w:sz w:val="15"/>
              </w:rPr>
              <w:t>Enhancement</w:t>
            </w:r>
          </w:p>
        </w:tc>
        <w:tc>
          <w:tcPr>
            <w:tcW w:type="dxa" w:w="3600"/>
            <w:tcMar>
              <w:top w:w="80" w:type="dxa"/>
              <w:start w:w="120" w:type="dxa"/>
              <w:bottom w:w="80" w:type="dxa"/>
              <w:end w:w="120" w:type="dxa"/>
            </w:tcMar>
            <w:vAlign w:val="center"/>
            <w:shd w:fill="E8EEF5"/>
          </w:tcPr>
          <w:p>
            <w:pPr>
              <w:jc w:val="center"/>
            </w:pPr>
            <w:r>
              <w:rPr>
                <w:rFonts w:ascii="Calibri" w:hAnsi="Calibri"/>
                <w:b/>
                <w:color w:val="1F4D78"/>
                <w:sz w:val="15"/>
              </w:rPr>
              <w:t>How It Helps</w:t>
            </w:r>
          </w:p>
        </w:tc>
        <w:tc>
          <w:tcPr>
            <w:tcW w:type="dxa" w:w="3660"/>
            <w:tcMar>
              <w:top w:w="80" w:type="dxa"/>
              <w:start w:w="120" w:type="dxa"/>
              <w:bottom w:w="80" w:type="dxa"/>
              <w:end w:w="120" w:type="dxa"/>
            </w:tcMar>
            <w:vAlign w:val="center"/>
            <w:shd w:fill="E8EEF5"/>
          </w:tcPr>
          <w:p>
            <w:pPr>
              <w:jc w:val="center"/>
            </w:pPr>
            <w:r>
              <w:rPr>
                <w:rFonts w:ascii="Calibri" w:hAnsi="Calibri"/>
                <w:b/>
                <w:color w:val="1F4D78"/>
                <w:sz w:val="15"/>
              </w:rPr>
              <w:t>Approval Boundary</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5"/>
              </w:rPr>
              <w:t>Open-Request Recommendations</w:t>
            </w:r>
          </w:p>
        </w:tc>
        <w:tc>
          <w:tcPr>
            <w:tcW w:type="dxa" w:w="3600"/>
            <w:tcMar>
              <w:top w:w="80" w:type="dxa"/>
              <w:start w:w="120" w:type="dxa"/>
              <w:bottom w:w="80" w:type="dxa"/>
              <w:end w:w="120" w:type="dxa"/>
            </w:tcMar>
            <w:vAlign w:val="center"/>
          </w:tcPr>
          <w:p>
            <w:pPr>
              <w:spacing w:after="40" w:line="240" w:lineRule="auto"/>
            </w:pPr>
            <w:r>
              <w:rPr>
                <w:rFonts w:ascii="Calibri" w:hAnsi="Calibri"/>
                <w:color w:val="000000"/>
                <w:sz w:val="15"/>
              </w:rPr>
              <w:t>An Eligible Driver May Receive a Short List of Open Requests That Appear Compatible with the Driver’s Stated Route, Schedule, Direction, Seats, and Detour Limits.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Deterministic Eligibility and Compatibility Rules Run First. Optional AI May Explain a Recommendation but Cannot Select a Driver, Approve a Ride, or Decide Safety.</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5"/>
              </w:rPr>
              <w:t>Driver-Controlled Detour Tolerance</w:t>
            </w:r>
          </w:p>
        </w:tc>
        <w:tc>
          <w:tcPr>
            <w:tcW w:type="dxa" w:w="3600"/>
            <w:tcMar>
              <w:top w:w="80" w:type="dxa"/>
              <w:start w:w="120" w:type="dxa"/>
              <w:bottom w:w="80" w:type="dxa"/>
              <w:end w:w="120" w:type="dxa"/>
            </w:tcMar>
            <w:vAlign w:val="center"/>
          </w:tcPr>
          <w:p>
            <w:pPr>
              <w:spacing w:after="40" w:line="240" w:lineRule="auto"/>
            </w:pPr>
            <w:r>
              <w:rPr>
                <w:rFonts w:ascii="Calibri" w:hAnsi="Calibri"/>
                <w:color w:val="000000"/>
                <w:sz w:val="15"/>
              </w:rPr>
              <w:t>A Driver Can State How Far They Are Willing to Deviate from an Expected Route, Such as 5% or 10%, or Use a Maximum Number of Minutes.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Optional, Private, and Changeable at Any Time. The Precise Route Is Not Shown to Requesters or Organization Administrators.</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5"/>
              </w:rPr>
              <w:t>Time-Aware Matching</w:t>
            </w:r>
          </w:p>
        </w:tc>
        <w:tc>
          <w:tcPr>
            <w:tcW w:type="dxa" w:w="3600"/>
            <w:tcMar>
              <w:top w:w="80" w:type="dxa"/>
              <w:start w:w="120" w:type="dxa"/>
              <w:bottom w:w="80" w:type="dxa"/>
              <w:end w:w="120" w:type="dxa"/>
            </w:tcMar>
            <w:vAlign w:val="center"/>
          </w:tcPr>
          <w:p>
            <w:pPr>
              <w:spacing w:after="40" w:line="240" w:lineRule="auto"/>
            </w:pPr>
            <w:r>
              <w:rPr>
                <w:rFonts w:ascii="Calibri" w:hAnsi="Calibri"/>
                <w:color w:val="000000"/>
                <w:sz w:val="15"/>
              </w:rPr>
              <w:t>Pickup Windows, Event Arrival Targets, Schedule Buffers, and Estimated Detour Time Reduce Recommendations That Are Technically Nearby but Operationally Unrealistic.</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No Guarantee of Arrival Time. Parents and Drivers Confirm the Actual Plan; the System Does Not Dispatch or Continuously Track a Vehicle.</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5"/>
              </w:rPr>
              <w:t>On-the-Way Opportunities</w:t>
            </w:r>
          </w:p>
        </w:tc>
        <w:tc>
          <w:tcPr>
            <w:tcW w:type="dxa" w:w="3600"/>
            <w:tcMar>
              <w:top w:w="80" w:type="dxa"/>
              <w:start w:w="120" w:type="dxa"/>
              <w:bottom w:w="80" w:type="dxa"/>
              <w:end w:w="120" w:type="dxa"/>
            </w:tcMar>
            <w:vAlign w:val="center"/>
          </w:tcPr>
          <w:p>
            <w:pPr>
              <w:spacing w:after="40" w:line="240" w:lineRule="auto"/>
            </w:pPr>
            <w:r>
              <w:rPr>
                <w:rFonts w:ascii="Calibri" w:hAnsi="Calibri"/>
                <w:color w:val="000000"/>
                <w:sz w:val="15"/>
              </w:rPr>
              <w:t>A Driver Already Traveling Toward an Event May See a Request That Can Be Served Within the Chosen Time and Detour Limits.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Only Approximate Request Information Is Shown Before an Offer. Exact Pickup Details Remain Hidden Until Parent Approval and a Confirmed Match.</w:t>
            </w:r>
          </w:p>
        </w:tc>
      </w:tr>
    </w:tbl>
    <w:p>
      <w:pPr>
        <w:spacing w:after="0"/>
      </w:pPr>
    </w:p>
    <w:p>
      <w:pPr>
        <w:pStyle w:val="Heading2"/>
      </w:pPr>
      <w:r>
        <w:t>What Is Being Requested Now</w:t>
      </w:r>
    </w:p>
    <w:p>
      <w:pPr>
        <w:pStyle w:val="ListBullet"/>
      </w:pPr>
      <w:r>
        <w:t>Permission to Present a Structured Pilot Proposal to the Participating Organization, Its Governing Body, the Program Owner, Any Host-Site Administrator, and the Applicable Privacy, Technology, Risk, Transportation, Insurance, or Governing-Authority Reviewers.</w:t>
      </w:r>
    </w:p>
    <w:p>
      <w:pPr>
        <w:pStyle w:val="ListBullet"/>
      </w:pPr>
      <w:r>
        <w:t>A Limited No-Cost Pilot, Recommended for a Small Group of Adult Parent Drivers and Parent-Managed Households.</w:t>
      </w:r>
    </w:p>
    <w:p>
      <w:pPr>
        <w:pStyle w:val="ListBullet"/>
      </w:pPr>
      <w:r>
        <w:t>Acknowledgement of the Proposed Free-Platform Sustainability Model: Voluntary Adult-User Contributions and Approved Outside Funding Sponsors, with Contribution Prompts and Sponsor Recognition Disabled Unless the Organization Separately Enables Them.</w:t>
      </w:r>
    </w:p>
    <w:p>
      <w:pPr>
        <w:pStyle w:val="ListBullet"/>
      </w:pPr>
      <w:r>
        <w:t>Written Direction from Each Applicable Authority on Data Privacy, Device Use, Volunteer Screening, Driver Verification, Insurance, and Whether a Data-Sharing, Vendor, or Security Agreement Is Required.</w:t>
      </w:r>
    </w:p>
    <w:p>
      <w:pPr>
        <w:pStyle w:val="ListBullet"/>
      </w:pPr>
      <w:r>
        <w:t>No Launch to the Full Organization Until the Required Conditions and Approval Owners Are Documented.</w:t>
      </w:r>
    </w:p>
    <w:p>
      <w:pPr>
        <w:pStyle w:val="Heading2"/>
      </w:pPr>
      <w:r>
        <w:t>What BandWagon Is - and Is Not</w:t>
      </w:r>
    </w:p>
    <w:tbl>
      <w:tblPr>
        <w:tblStyle w:val="TableGrid"/>
        <w:tblW w:type="dxa" w:w="9360"/>
        <w:tblLayout w:type="fixed"/>
        <w:tblLook w:firstColumn="1" w:firstRow="1" w:lastColumn="0" w:lastRow="0" w:noHBand="0" w:noVBand="1" w:val="04A0"/>
        <w:jc w:val="left"/>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E8EEF5"/>
          </w:tcPr>
          <w:p>
            <w:pPr>
              <w:jc w:val="center"/>
            </w:pPr>
            <w:r>
              <w:rPr>
                <w:rFonts w:ascii="Calibri" w:hAnsi="Calibri"/>
                <w:b/>
                <w:color w:val="1F4D78"/>
                <w:sz w:val="18"/>
              </w:rPr>
              <w:t>BandWagon Is</w:t>
            </w:r>
          </w:p>
        </w:tc>
        <w:tc>
          <w:tcPr>
            <w:tcW w:type="dxa" w:w="4680"/>
            <w:tcMar>
              <w:top w:w="80" w:type="dxa"/>
              <w:start w:w="120" w:type="dxa"/>
              <w:bottom w:w="80" w:type="dxa"/>
              <w:end w:w="120" w:type="dxa"/>
            </w:tcMar>
            <w:vAlign w:val="center"/>
            <w:shd w:fill="E8EEF5"/>
          </w:tcPr>
          <w:p>
            <w:pPr>
              <w:jc w:val="center"/>
            </w:pPr>
            <w:r>
              <w:rPr>
                <w:rFonts w:ascii="Calibri" w:hAnsi="Calibri"/>
                <w:b/>
                <w:color w:val="1F4D78"/>
                <w:sz w:val="18"/>
              </w:rPr>
              <w:t>BandWagon Is Not</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Privacy-Focused Matching and Communication Tool for Voluntary Family Carpools.</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Official Organization Transportation, a School Bus Replacement, Taxi Service, or Transportation Network Company.</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Progressive Web App That Works in a Browser and Can Feel Like a Mobile App.</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Required Native Application That Must Be Installed from an App Store.</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Way to Reduce Broad Posting of Names, Phone Numbers, and Addresses.</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Guarantee That a Driver, Vehicle, Route, Schedule, or Ride Is Safe or Available.</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Parent-Controlled Household Tool with Student Participation Subordinate to Guardian Approval.</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School-Owned Student Information System or an Independent Social Network for Minors.</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Public Repository and Proposed Open-Source Release Path for Independent Review.</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Complete Open-Source Release Until the Production Source and Explicit License Are Published and Verified, or an Organization-Endorsed Product Unless the Organization Says So in Writing.</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Free Core Platform Supported by Optional Adult Contributions, Organization Support, Grants, in-Kind Services, and Approved Funding Sponsors.</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8"/>
              </w:rPr>
              <w:t>A Pay-to-Participate, Pay-to-Priority, Targeted-Advertising, or Participant-Data Monetization Service.</w:t>
            </w:r>
          </w:p>
        </w:tc>
      </w:tr>
    </w:tbl>
    <w:p>
      <w:pPr>
        <w:spacing w:after="0"/>
      </w:pPr>
    </w:p>
    <w:p>
      <w:pPr>
        <w:pStyle w:val="Heading2"/>
      </w:pPr>
      <w:r>
        <w:t>Recommended Pilot Guardrails</w:t>
      </w:r>
    </w:p>
    <w:p>
      <w:pPr>
        <w:pStyle w:val="ListBullet"/>
      </w:pPr>
      <w:r>
        <w:t>Adult Parent / Guardian Drivers Only. Student Drivers Are Disabled During the Pilot.</w:t>
      </w:r>
    </w:p>
    <w:p>
      <w:pPr>
        <w:pStyle w:val="ListBullet"/>
      </w:pPr>
      <w:r>
        <w:t>Parent-Initiated Enrollment Only. No Bulk Upload of an Organization, School, League, Church, or Institution Roster.</w:t>
      </w:r>
    </w:p>
    <w:p>
      <w:pPr>
        <w:pStyle w:val="ListBullet"/>
      </w:pPr>
      <w:r>
        <w:t>No Institution Single Sign-on, Student IDs, Institutional Passwords, Grade Data, Attendance Data, or Official Transportation Records During the Baseline Pilot.</w:t>
      </w:r>
    </w:p>
    <w:p>
      <w:pPr>
        <w:pStyle w:val="ListBullet"/>
      </w:pPr>
      <w:r>
        <w:t>No Required Participation and No Penalty for Families That Do Not Use the Service.</w:t>
      </w:r>
    </w:p>
    <w:p>
      <w:pPr>
        <w:pStyle w:val="ListBullet"/>
      </w:pPr>
      <w:r>
        <w:t>No Use by Students During the Instructional Day. Notifications Are Asynchronous and Do Not Require an Immediate Response.</w:t>
      </w:r>
    </w:p>
    <w:p>
      <w:pPr>
        <w:pStyle w:val="ListBullet"/>
      </w:pPr>
      <w:r>
        <w:t>Precise Addresses Are Hidden Until a Parent Approves a Match; Public Views Use Only an Approximate Area.</w:t>
      </w:r>
    </w:p>
    <w:p>
      <w:pPr>
        <w:pStyle w:val="ListBullet"/>
      </w:pPr>
      <w:r>
        <w:t>Organization Administrators Only See Information Necessary to Perform Their Assigned Duties, Following the Security Principle of Least Privilege.</w:t>
      </w:r>
    </w:p>
    <w:p>
      <w:pPr>
        <w:pStyle w:val="ListBullet"/>
      </w:pPr>
      <w:r>
        <w:t>No Targeted or Behavioral Advertising, Data Sale, Marketing Reuse, or Unrelated Commercial Use. Optional Sponsor Acknowledgement Is Limited to Organization-Approved Name / Logo Recognition and Provides No Access to Participant Data.</w:t>
      </w:r>
    </w:p>
    <w:p>
      <w:pPr>
        <w:pStyle w:val="ListBullet"/>
      </w:pPr>
      <w:r>
        <w:t>A Documented Process Exists for Blocking Users, Reporting Safety Concerns, Preserving Incident Records, and Deleting an Account.</w:t>
      </w:r>
    </w:p>
    <w:p>
      <w:pPr>
        <w:pStyle w:val="ListBullet"/>
      </w:pPr>
      <w:r>
        <w:t>The Pilot Pauses Immediately if the Organization, an Affiliated Institution, the Insurer, or the Designated Safety Owner Identifies a Material Safety or Privacy Concern.</w:t>
      </w:r>
    </w:p>
    <w:p>
      <w:pPr>
        <w:pStyle w:val="Heading2"/>
      </w:pPr>
      <w:r>
        <w:t>Review and Approval Path at a Glance</w:t>
      </w:r>
    </w:p>
    <w:p>
      <w:pPr>
        <w:spacing w:before="80" w:after="40"/>
        <w:jc w:val="center"/>
      </w:pPr>
      <w:r>
        <w:drawing>
          <wp:inline xmlns:a="http://schemas.openxmlformats.org/drawingml/2006/main" xmlns:pic="http://schemas.openxmlformats.org/drawingml/2006/picture">
            <wp:extent cx="5806440" cy="3496007"/>
            <wp:docPr id="2" name="Picture 2" descr="Figure 1. Proposed review flow. Each body follows its own approval process and attaches the official result; the pilot launches only after a named owner closes every condition." title="Approval Flow"/>
            <wp:cNvGraphicFramePr>
              <a:graphicFrameLocks noChangeAspect="1"/>
            </wp:cNvGraphicFramePr>
            <a:graphic>
              <a:graphicData uri="http://schemas.openxmlformats.org/drawingml/2006/picture">
                <pic:pic>
                  <pic:nvPicPr>
                    <pic:cNvPr id="0" name="approval_flow.png"/>
                    <pic:cNvPicPr/>
                  </pic:nvPicPr>
                  <pic:blipFill>
                    <a:blip r:embed="rId14"/>
                    <a:stretch>
                      <a:fillRect/>
                    </a:stretch>
                  </pic:blipFill>
                  <pic:spPr>
                    <a:xfrm>
                      <a:off x="0" y="0"/>
                      <a:ext cx="5806440" cy="3496007"/>
                    </a:xfrm>
                    <a:prstGeom prst="rect"/>
                  </pic:spPr>
                </pic:pic>
              </a:graphicData>
            </a:graphic>
          </wp:inline>
        </w:drawing>
      </w:r>
    </w:p>
    <w:p>
      <w:pPr>
        <w:pStyle w:val="SmallNote"/>
        <w:keepNext w:val="0"/>
        <w:jc w:val="center"/>
      </w:pPr>
      <w:r>
        <w:rPr>
          <w:rFonts w:ascii="Calibri" w:hAnsi="Calibri"/>
          <w:i/>
          <w:color w:val="5C6B7A"/>
          <w:sz w:val="17"/>
        </w:rPr>
        <w:t>Figure 1. Proposed review flow. Each body follows its own approval process and attaches the official result; the pilot launches only after a named owner closes every condition.</w:t>
      </w:r>
    </w:p>
    <w:tbl>
      <w:tblPr>
        <w:tblStyle w:val="TableGrid"/>
        <w:tblW w:type="dxa" w:w="9360"/>
        <w:tblLayout w:type="fixed"/>
        <w:tblLook w:firstColumn="1" w:firstRow="1" w:lastColumn="0" w:lastRow="0" w:noHBand="0" w:noVBand="1" w:val="04A0"/>
        <w:jc w:val="left"/>
        <w:tblInd w:w="120" w:type="dxa"/>
      </w:tblPr>
      <w:tblGrid>
        <w:gridCol w:w="650"/>
        <w:gridCol w:w="1750"/>
        <w:gridCol w:w="2900"/>
        <w:gridCol w:w="4060"/>
      </w:tblGrid>
      <w:tr>
        <w:trPr>
          <w:cantSplit/>
          <w:tblHeader w:val="true"/>
        </w:trPr>
        <w:tc>
          <w:tcPr>
            <w:tcW w:type="dxa" w:w="650"/>
            <w:tcMar>
              <w:top w:w="80" w:type="dxa"/>
              <w:start w:w="120" w:type="dxa"/>
              <w:bottom w:w="80" w:type="dxa"/>
              <w:end w:w="120" w:type="dxa"/>
            </w:tcMar>
            <w:vAlign w:val="center"/>
            <w:shd w:fill="E8EEF5"/>
          </w:tcPr>
          <w:p>
            <w:pPr>
              <w:jc w:val="center"/>
            </w:pPr>
            <w:r>
              <w:rPr>
                <w:rFonts w:ascii="Calibri" w:hAnsi="Calibri"/>
                <w:b/>
                <w:color w:val="1F4D78"/>
                <w:sz w:val="16"/>
              </w:rPr>
              <w:t>Stage</w:t>
            </w:r>
          </w:p>
        </w:tc>
        <w:tc>
          <w:tcPr>
            <w:tcW w:type="dxa" w:w="1750"/>
            <w:tcMar>
              <w:top w:w="80" w:type="dxa"/>
              <w:start w:w="120" w:type="dxa"/>
              <w:bottom w:w="80" w:type="dxa"/>
              <w:end w:w="120" w:type="dxa"/>
            </w:tcMar>
            <w:vAlign w:val="center"/>
            <w:shd w:fill="E8EEF5"/>
          </w:tcPr>
          <w:p>
            <w:pPr>
              <w:jc w:val="center"/>
            </w:pPr>
            <w:r>
              <w:rPr>
                <w:rFonts w:ascii="Calibri" w:hAnsi="Calibri"/>
                <w:b/>
                <w:color w:val="1F4D78"/>
                <w:sz w:val="16"/>
              </w:rPr>
              <w:t>Reviewer</w:t>
            </w:r>
          </w:p>
        </w:tc>
        <w:tc>
          <w:tcPr>
            <w:tcW w:type="dxa" w:w="2900"/>
            <w:tcMar>
              <w:top w:w="80" w:type="dxa"/>
              <w:start w:w="120" w:type="dxa"/>
              <w:bottom w:w="80" w:type="dxa"/>
              <w:end w:w="120" w:type="dxa"/>
            </w:tcMar>
            <w:vAlign w:val="center"/>
            <w:shd w:fill="E8EEF5"/>
          </w:tcPr>
          <w:p>
            <w:pPr>
              <w:jc w:val="center"/>
            </w:pPr>
            <w:r>
              <w:rPr>
                <w:rFonts w:ascii="Calibri" w:hAnsi="Calibri"/>
                <w:b/>
                <w:color w:val="1F4D78"/>
                <w:sz w:val="16"/>
              </w:rPr>
              <w:t>Primary Question</w:t>
            </w:r>
          </w:p>
        </w:tc>
        <w:tc>
          <w:tcPr>
            <w:tcW w:type="dxa" w:w="4060"/>
            <w:tcMar>
              <w:top w:w="80" w:type="dxa"/>
              <w:start w:w="120" w:type="dxa"/>
              <w:bottom w:w="80" w:type="dxa"/>
              <w:end w:w="120" w:type="dxa"/>
            </w:tcMar>
            <w:vAlign w:val="center"/>
            <w:shd w:fill="E8EEF5"/>
          </w:tcPr>
          <w:p>
            <w:pPr>
              <w:jc w:val="center"/>
            </w:pPr>
            <w:r>
              <w:rPr>
                <w:rFonts w:ascii="Calibri" w:hAnsi="Calibri"/>
                <w:b/>
                <w:color w:val="1F4D78"/>
                <w:sz w:val="16"/>
              </w:rPr>
              <w:t>Evidence in This Package</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1</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Participating Organization / Initial Sponsor</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Is the Concept Worth Formally Reviewing?</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Executive Overview, Guardrails, Open Decisions</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2</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Should the Organization Sponsor a Limited Pilot?</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Resolution, Budget / Conflict Disclosure, Operating Boundaries</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3</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Program Owner / Sponsor</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Does This Support the Program without Interfering with Staff Duties?</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Workflow, Staff Boundaries, Communication Plan</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4</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Host-Site Administrator, if Applicable</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May This Activity Proceed Under Host-Site Expectations?</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Host-Site Decision Record, Participant / Device / Transport Boundaries</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5</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Technology / Data Privacy Reviewer</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Is the Data Handling Acceptable and Is a DPA Required?</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Data Inventory, Architecture, Vendors, Access, Retention, Incident Plan</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6</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Risk / Transportation / Insurer Reviewer</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What Driver, Insurance, Volunteer, and Disclaimer Controls Apply?</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Driver Controls, Unresolved Questions, Liability Boundaries</w:t>
            </w:r>
          </w:p>
        </w:tc>
      </w:tr>
      <w:tr>
        <w:trPr>
          <w:cantSplit/>
        </w:trPr>
        <w:tc>
          <w:tcPr>
            <w:tcW w:type="dxa" w:w="650"/>
            <w:tcMar>
              <w:top w:w="80" w:type="dxa"/>
              <w:start w:w="120" w:type="dxa"/>
              <w:bottom w:w="80" w:type="dxa"/>
              <w:end w:w="120" w:type="dxa"/>
            </w:tcMar>
            <w:vAlign w:val="center"/>
          </w:tcPr>
          <w:p>
            <w:pPr>
              <w:spacing w:after="40" w:line="240" w:lineRule="auto"/>
            </w:pPr>
            <w:r>
              <w:rPr>
                <w:rFonts w:ascii="Calibri" w:hAnsi="Calibri"/>
                <w:color w:val="000000"/>
                <w:sz w:val="16"/>
              </w:rPr>
              <w:t>7</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Pilot Owner</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6"/>
              </w:rPr>
              <w:t>Are All Conditions Met Before Launch?</w:t>
            </w:r>
          </w:p>
        </w:tc>
        <w:tc>
          <w:tcPr>
            <w:tcW w:type="dxa" w:w="4060"/>
            <w:tcMar>
              <w:top w:w="80" w:type="dxa"/>
              <w:start w:w="120" w:type="dxa"/>
              <w:bottom w:w="80" w:type="dxa"/>
              <w:end w:w="120" w:type="dxa"/>
            </w:tcMar>
            <w:vAlign w:val="center"/>
          </w:tcPr>
          <w:p>
            <w:pPr>
              <w:spacing w:after="40" w:line="240" w:lineRule="auto"/>
            </w:pPr>
            <w:r>
              <w:rPr>
                <w:rFonts w:ascii="Calibri" w:hAnsi="Calibri"/>
                <w:color w:val="000000"/>
                <w:sz w:val="16"/>
              </w:rPr>
              <w:t>Pre-Launch Checklist and Evidence Register</w:t>
            </w:r>
          </w:p>
        </w:tc>
      </w:tr>
    </w:tbl>
    <w:p>
      <w:pPr>
        <w:spacing w:after="0"/>
      </w:pPr>
    </w:p>
    <w:p>
      <w:pPr>
        <w:pStyle w:val="Heading2"/>
      </w:pPr>
      <w:r>
        <w:t>Approval Profile 1 - School / District-Affiliated Youth Program</w:t>
      </w:r>
    </w:p>
    <w:p>
      <w:r>
        <w:t>This is the first reusable approval profile. It reflects the original school-affiliated review model without naming a particular school or district. Other organizations should map their equivalent roles, keep every applicable control, and document any reviewer marked Not Applicable.</w:t>
      </w:r>
    </w:p>
    <w:tbl>
      <w:tblPr>
        <w:tblStyle w:val="TableGrid"/>
        <w:tblW w:type="dxa" w:w="9360"/>
        <w:tblLayout w:type="fixed"/>
        <w:tblLook w:firstColumn="1" w:firstRow="1" w:lastColumn="0" w:lastRow="0" w:noHBand="0" w:noVBand="1" w:val="04A0"/>
        <w:jc w:val="left"/>
        <w:tblInd w:w="120" w:type="dxa"/>
      </w:tblPr>
      <w:tblGrid>
        <w:gridCol w:w="2500"/>
        <w:gridCol w:w="3150"/>
        <w:gridCol w:w="3710"/>
      </w:tblGrid>
      <w:tr>
        <w:trPr>
          <w:cantSplit/>
          <w:tblHeader w:val="true"/>
        </w:trPr>
        <w:tc>
          <w:tcPr>
            <w:tcW w:type="dxa" w:w="2500"/>
            <w:tcMar>
              <w:top w:w="80" w:type="dxa"/>
              <w:start w:w="120" w:type="dxa"/>
              <w:bottom w:w="80" w:type="dxa"/>
              <w:end w:w="120" w:type="dxa"/>
            </w:tcMar>
            <w:vAlign w:val="center"/>
            <w:shd w:fill="E8EEF5"/>
          </w:tcPr>
          <w:p>
            <w:pPr>
              <w:jc w:val="center"/>
            </w:pPr>
            <w:r>
              <w:rPr>
                <w:rFonts w:ascii="Calibri" w:hAnsi="Calibri"/>
                <w:b/>
                <w:color w:val="1F4D78"/>
                <w:sz w:val="16"/>
              </w:rPr>
              <w:t>Role in This Package</w:t>
            </w:r>
          </w:p>
        </w:tc>
        <w:tc>
          <w:tcPr>
            <w:tcW w:type="dxa" w:w="3150"/>
            <w:tcMar>
              <w:top w:w="80" w:type="dxa"/>
              <w:start w:w="120" w:type="dxa"/>
              <w:bottom w:w="80" w:type="dxa"/>
              <w:end w:w="120" w:type="dxa"/>
            </w:tcMar>
            <w:vAlign w:val="center"/>
            <w:shd w:fill="E8EEF5"/>
          </w:tcPr>
          <w:p>
            <w:pPr>
              <w:jc w:val="center"/>
            </w:pPr>
            <w:r>
              <w:rPr>
                <w:rFonts w:ascii="Calibri" w:hAnsi="Calibri"/>
                <w:b/>
                <w:color w:val="1F4D78"/>
                <w:sz w:val="16"/>
              </w:rPr>
              <w:t>School / District Profile Example</w:t>
            </w:r>
          </w:p>
        </w:tc>
        <w:tc>
          <w:tcPr>
            <w:tcW w:type="dxa" w:w="3710"/>
            <w:tcMar>
              <w:top w:w="80" w:type="dxa"/>
              <w:start w:w="120" w:type="dxa"/>
              <w:bottom w:w="80" w:type="dxa"/>
              <w:end w:w="120" w:type="dxa"/>
            </w:tcMar>
            <w:vAlign w:val="center"/>
            <w:shd w:fill="E8EEF5"/>
          </w:tcPr>
          <w:p>
            <w:pPr>
              <w:jc w:val="center"/>
            </w:pPr>
            <w:r>
              <w:rPr>
                <w:rFonts w:ascii="Calibri" w:hAnsi="Calibri"/>
                <w:b/>
                <w:color w:val="1F4D78"/>
                <w:sz w:val="16"/>
              </w:rPr>
              <w:t>Other Organization Examples</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Participating Organization</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Participating Organization or Parent Organization</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Nonprofit, Team, Church, Club, or Community Group</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Board, Officers, Elders, League Board, or Executive Committee</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Program Owner / Sponsor</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Director, Coach, Activity Sponsor, or Staff Liaison</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Program Lead, Ministry Lead, Team Manager, or Event Owner</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Host-Site Administrator</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School or Host Site Administrator</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Facility Owner, Venue Operator, Regional Office, or Parent Organization</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Technology / Data Privacy Reviewer</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District or School Privacy / Technology Team</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Organization Privacy Owner, IT Provider, Counsel, or Security Reviewer</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6"/>
              </w:rPr>
              <w:t>Risk / Transportation / Insurer Reviewer</w:t>
            </w:r>
          </w:p>
        </w:tc>
        <w:tc>
          <w:tcPr>
            <w:tcW w:type="dxa" w:w="3150"/>
            <w:tcMar>
              <w:top w:w="80" w:type="dxa"/>
              <w:start w:w="120" w:type="dxa"/>
              <w:bottom w:w="80" w:type="dxa"/>
              <w:end w:w="120" w:type="dxa"/>
            </w:tcMar>
            <w:vAlign w:val="center"/>
          </w:tcPr>
          <w:p>
            <w:pPr>
              <w:spacing w:after="40" w:line="240" w:lineRule="auto"/>
            </w:pPr>
            <w:r>
              <w:rPr>
                <w:rFonts w:ascii="Calibri" w:hAnsi="Calibri"/>
                <w:color w:val="000000"/>
                <w:sz w:val="16"/>
              </w:rPr>
              <w:t>District Risk, Transportation, Volunteer Office, or Insurer</w:t>
            </w:r>
          </w:p>
        </w:tc>
        <w:tc>
          <w:tcPr>
            <w:tcW w:type="dxa" w:w="3710"/>
            <w:tcMar>
              <w:top w:w="80" w:type="dxa"/>
              <w:start w:w="120" w:type="dxa"/>
              <w:bottom w:w="80" w:type="dxa"/>
              <w:end w:w="120" w:type="dxa"/>
            </w:tcMar>
            <w:vAlign w:val="center"/>
          </w:tcPr>
          <w:p>
            <w:pPr>
              <w:spacing w:after="40" w:line="240" w:lineRule="auto"/>
            </w:pPr>
            <w:r>
              <w:rPr>
                <w:rFonts w:ascii="Calibri" w:hAnsi="Calibri"/>
                <w:color w:val="000000"/>
                <w:sz w:val="16"/>
              </w:rPr>
              <w:t>Insurer, Counsel, Safety Committee, Fleet Owner, or Volunteer-Screening Authority</w:t>
            </w:r>
          </w:p>
        </w:tc>
      </w:tr>
    </w:tbl>
    <w:p>
      <w:pPr>
        <w:spacing w:after="0"/>
      </w:pPr>
    </w:p>
    <w:p>
      <w:pPr>
        <w:pStyle w:val="Heading2"/>
      </w:pPr>
      <w:r>
        <w:t>Decisions the Participating Organization Should Settle</w:t>
      </w:r>
    </w:p>
    <w:p>
      <w:pPr>
        <w:pStyle w:val="ListBullet"/>
      </w:pPr>
      <w:r>
        <w:t>Whether the Organization Should Be the Pilot Sponsor or Whether the First Test Should Remain an Independent Parent-to-Parent Proof of Concept.</w:t>
      </w:r>
    </w:p>
    <w:p>
      <w:pPr>
        <w:pStyle w:val="ListBullet"/>
      </w:pPr>
      <w:r>
        <w:t>Which Organization Officer Should Own the Proposal File, Attached Decisions, and Operational Administration.</w:t>
      </w:r>
    </w:p>
    <w:p>
      <w:pPr>
        <w:pStyle w:val="ListBullet"/>
      </w:pPr>
      <w:r>
        <w:t>Whether the Recommended Adult-Driver-Only Restriction Is Acceptable for the First Pilot.</w:t>
      </w:r>
    </w:p>
    <w:p>
      <w:pPr>
        <w:pStyle w:val="ListBullet"/>
      </w:pPr>
      <w:r>
        <w:t>Whether the Pilot Should Be Limited to a Single Section, Event Type, or Small Group Before Broader Availability.</w:t>
      </w:r>
    </w:p>
    <w:p>
      <w:pPr>
        <w:pStyle w:val="ListBullet"/>
      </w:pPr>
      <w:r>
        <w:t>Who Should Introduce the Proposal to the Program Owner, Host-Site Administrator, and External Reviewers.</w:t>
      </w:r>
    </w:p>
    <w:p>
      <w:pPr>
        <w:pStyle w:val="ListBullet"/>
      </w:pPr>
      <w:r>
        <w:t>Whether the Organization’s Existing Liability Coverage, Governing Documents, and Volunteer Rules Are Adequate for a Technology-Supported Carpool Activity.</w:t>
      </w:r>
    </w:p>
    <w:p>
      <w:pPr>
        <w:pStyle w:val="Heading2"/>
      </w:pPr>
      <w:r>
        <w:t>Required Update Gates</w:t>
      </w:r>
    </w:p>
    <w:tbl>
      <w:tblPr>
        <w:tblStyle w:val="TableGrid"/>
        <w:tblW w:type="dxa" w:w="9360"/>
        <w:tblLayout w:type="fixed"/>
        <w:tblLook w:firstColumn="1" w:firstRow="1" w:lastColumn="0" w:lastRow="0" w:noHBand="0" w:noVBand="1" w:val="04A0"/>
        <w:jc w:val="left"/>
        <w:tblInd w:w="120" w:type="dxa"/>
      </w:tblPr>
      <w:tblGrid>
        <w:gridCol w:w="1600"/>
        <w:gridCol w:w="1900"/>
        <w:gridCol w:w="4050"/>
        <w:gridCol w:w="1810"/>
      </w:tblGrid>
      <w:tr>
        <w:trPr>
          <w:cantSplit/>
          <w:tblHeader w:val="true"/>
        </w:trPr>
        <w:tc>
          <w:tcPr>
            <w:tcW w:type="dxa" w:w="1600"/>
            <w:tcMar>
              <w:top w:w="80" w:type="dxa"/>
              <w:start w:w="120" w:type="dxa"/>
              <w:bottom w:w="80" w:type="dxa"/>
              <w:end w:w="120" w:type="dxa"/>
            </w:tcMar>
            <w:vAlign w:val="center"/>
            <w:shd w:fill="E8EEF5"/>
          </w:tcPr>
          <w:p>
            <w:pPr>
              <w:jc w:val="center"/>
            </w:pPr>
            <w:r>
              <w:rPr>
                <w:rFonts w:ascii="Calibri" w:hAnsi="Calibri"/>
                <w:b/>
                <w:color w:val="1F4D78"/>
                <w:sz w:val="16"/>
              </w:rPr>
              <w:t>Gate</w:t>
            </w:r>
          </w:p>
        </w:tc>
        <w:tc>
          <w:tcPr>
            <w:tcW w:type="dxa" w:w="1900"/>
            <w:tcMar>
              <w:top w:w="80" w:type="dxa"/>
              <w:start w:w="120" w:type="dxa"/>
              <w:bottom w:w="80" w:type="dxa"/>
              <w:end w:w="120" w:type="dxa"/>
            </w:tcMar>
            <w:vAlign w:val="center"/>
            <w:shd w:fill="E8EEF5"/>
          </w:tcPr>
          <w:p>
            <w:pPr>
              <w:jc w:val="center"/>
            </w:pPr>
            <w:r>
              <w:rPr>
                <w:rFonts w:ascii="Calibri" w:hAnsi="Calibri"/>
                <w:b/>
                <w:color w:val="1F4D78"/>
                <w:sz w:val="16"/>
              </w:rPr>
              <w:t>When</w:t>
            </w:r>
          </w:p>
        </w:tc>
        <w:tc>
          <w:tcPr>
            <w:tcW w:type="dxa" w:w="4050"/>
            <w:tcMar>
              <w:top w:w="80" w:type="dxa"/>
              <w:start w:w="120" w:type="dxa"/>
              <w:bottom w:w="80" w:type="dxa"/>
              <w:end w:w="120" w:type="dxa"/>
            </w:tcMar>
            <w:vAlign w:val="center"/>
            <w:shd w:fill="E8EEF5"/>
          </w:tcPr>
          <w:p>
            <w:pPr>
              <w:jc w:val="center"/>
            </w:pPr>
            <w:r>
              <w:rPr>
                <w:rFonts w:ascii="Calibri" w:hAnsi="Calibri"/>
                <w:b/>
                <w:color w:val="1F4D78"/>
                <w:sz w:val="16"/>
              </w:rPr>
              <w:t>What Must Be Refreshed</w:t>
            </w:r>
          </w:p>
        </w:tc>
        <w:tc>
          <w:tcPr>
            <w:tcW w:type="dxa" w:w="1810"/>
            <w:tcMar>
              <w:top w:w="80" w:type="dxa"/>
              <w:start w:w="120" w:type="dxa"/>
              <w:bottom w:w="80" w:type="dxa"/>
              <w:end w:w="120" w:type="dxa"/>
            </w:tcMar>
            <w:vAlign w:val="center"/>
            <w:shd w:fill="E8EEF5"/>
          </w:tcPr>
          <w:p>
            <w:pPr>
              <w:jc w:val="center"/>
            </w:pPr>
            <w:r>
              <w:rPr>
                <w:rFonts w:ascii="Calibri" w:hAnsi="Calibri"/>
                <w:b/>
                <w:color w:val="1F4D78"/>
                <w:sz w:val="16"/>
              </w:rPr>
              <w:t>Decision</w:t>
            </w:r>
          </w:p>
        </w:tc>
      </w:tr>
      <w:tr>
        <w:trPr>
          <w:cantSplit/>
        </w:trPr>
        <w:tc>
          <w:tcPr>
            <w:tcW w:type="dxa" w:w="1600"/>
            <w:tcMar>
              <w:top w:w="80" w:type="dxa"/>
              <w:start w:w="120" w:type="dxa"/>
              <w:bottom w:w="80" w:type="dxa"/>
              <w:end w:w="120" w:type="dxa"/>
            </w:tcMar>
            <w:vAlign w:val="center"/>
          </w:tcPr>
          <w:p>
            <w:pPr>
              <w:spacing w:after="40" w:line="240" w:lineRule="auto"/>
            </w:pPr>
            <w:r>
              <w:rPr>
                <w:rFonts w:ascii="Calibri" w:hAnsi="Calibri"/>
                <w:color w:val="000000"/>
                <w:sz w:val="16"/>
              </w:rPr>
              <w:t>v0.5.2 Proposal Baseline</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6"/>
              </w:rPr>
              <w:t>Now</w:t>
            </w:r>
          </w:p>
        </w:tc>
        <w:tc>
          <w:tcPr>
            <w:tcW w:type="dxa" w:w="4050"/>
            <w:tcMar>
              <w:top w:w="80" w:type="dxa"/>
              <w:start w:w="120" w:type="dxa"/>
              <w:bottom w:w="80" w:type="dxa"/>
              <w:end w:w="120" w:type="dxa"/>
            </w:tcMar>
            <w:vAlign w:val="center"/>
          </w:tcPr>
          <w:p>
            <w:pPr>
              <w:spacing w:after="40" w:line="240" w:lineRule="auto"/>
            </w:pPr>
            <w:r>
              <w:rPr>
                <w:rFonts w:ascii="Calibri" w:hAnsi="Calibri"/>
                <w:color w:val="000000"/>
                <w:sz w:val="16"/>
              </w:rPr>
              <w:t>Reusable Organization Model, Approval Profile 1, Pilot Scope, Privacy Design, Proposed U.S. Residency, Optional Fields, Organization-Level Feature Controls, Funding Model, Platform Visibility, Provider Identity, ThirdParty Service Register, AI Choice, Time-Aware Matching, Driver-Controlled Detour Tolerance, and Common Stakeholder Questions and Answers</w:t>
            </w:r>
          </w:p>
        </w:tc>
        <w:tc>
          <w:tcPr>
            <w:tcW w:type="dxa" w:w="1810"/>
            <w:tcMar>
              <w:top w:w="80" w:type="dxa"/>
              <w:start w:w="120" w:type="dxa"/>
              <w:bottom w:w="80" w:type="dxa"/>
              <w:end w:w="120" w:type="dxa"/>
            </w:tcMar>
            <w:vAlign w:val="center"/>
          </w:tcPr>
          <w:p>
            <w:pPr>
              <w:spacing w:after="40" w:line="240" w:lineRule="auto"/>
            </w:pPr>
            <w:r>
              <w:rPr>
                <w:rFonts w:ascii="Calibri" w:hAnsi="Calibri"/>
                <w:color w:val="000000"/>
                <w:sz w:val="16"/>
              </w:rPr>
              <w:t>Accept and Route the Proposal for Review</w:t>
            </w:r>
          </w:p>
        </w:tc>
      </w:tr>
      <w:tr>
        <w:trPr>
          <w:cantSplit/>
        </w:trPr>
        <w:tc>
          <w:tcPr>
            <w:tcW w:type="dxa" w:w="1600"/>
            <w:tcMar>
              <w:top w:w="80" w:type="dxa"/>
              <w:start w:w="120" w:type="dxa"/>
              <w:bottom w:w="80" w:type="dxa"/>
              <w:end w:w="120" w:type="dxa"/>
            </w:tcMar>
            <w:vAlign w:val="center"/>
          </w:tcPr>
          <w:p>
            <w:pPr>
              <w:spacing w:after="40" w:line="240" w:lineRule="auto"/>
            </w:pPr>
            <w:r>
              <w:rPr>
                <w:rFonts w:ascii="Calibri" w:hAnsi="Calibri"/>
                <w:color w:val="000000"/>
                <w:sz w:val="16"/>
              </w:rPr>
              <w:t>v1 Feature Freeze</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6"/>
              </w:rPr>
              <w:t>Before Production Bapplicable Program Rulesd Authorization</w:t>
            </w:r>
          </w:p>
        </w:tc>
        <w:tc>
          <w:tcPr>
            <w:tcW w:type="dxa" w:w="4050"/>
            <w:tcMar>
              <w:top w:w="80" w:type="dxa"/>
              <w:start w:w="120" w:type="dxa"/>
              <w:bottom w:w="80" w:type="dxa"/>
              <w:end w:w="120" w:type="dxa"/>
            </w:tcMar>
            <w:vAlign w:val="center"/>
          </w:tcPr>
          <w:p>
            <w:pPr>
              <w:spacing w:after="40" w:line="240" w:lineRule="auto"/>
            </w:pPr>
            <w:r>
              <w:rPr>
                <w:rFonts w:ascii="Calibri" w:hAnsi="Calibri"/>
                <w:color w:val="000000"/>
                <w:sz w:val="16"/>
              </w:rPr>
              <w:t>Actual Fields, Validations, Roles, Data Flow, Providers, Retention, AI Behavior, Consent Text, and Security Test Evidence</w:t>
            </w:r>
          </w:p>
        </w:tc>
        <w:tc>
          <w:tcPr>
            <w:tcW w:type="dxa" w:w="1810"/>
            <w:tcMar>
              <w:top w:w="80" w:type="dxa"/>
              <w:start w:w="120" w:type="dxa"/>
              <w:bottom w:w="80" w:type="dxa"/>
              <w:end w:w="120" w:type="dxa"/>
            </w:tcMar>
            <w:vAlign w:val="center"/>
          </w:tcPr>
          <w:p>
            <w:pPr>
              <w:spacing w:after="40" w:line="240" w:lineRule="auto"/>
            </w:pPr>
            <w:r>
              <w:rPr>
                <w:rFonts w:ascii="Calibri" w:hAnsi="Calibri"/>
                <w:color w:val="000000"/>
                <w:sz w:val="16"/>
              </w:rPr>
              <w:t>Attach the Official Bapplicable Program Rulesd-Review Outcome</w:t>
            </w:r>
          </w:p>
        </w:tc>
      </w:tr>
      <w:tr>
        <w:trPr>
          <w:cantSplit/>
        </w:trPr>
        <w:tc>
          <w:tcPr>
            <w:tcW w:type="dxa" w:w="1600"/>
            <w:tcMar>
              <w:top w:w="80" w:type="dxa"/>
              <w:start w:w="120" w:type="dxa"/>
              <w:bottom w:w="80" w:type="dxa"/>
              <w:end w:w="120" w:type="dxa"/>
            </w:tcMar>
            <w:vAlign w:val="center"/>
          </w:tcPr>
          <w:p>
            <w:pPr>
              <w:spacing w:after="40" w:line="240" w:lineRule="auto"/>
            </w:pPr>
            <w:r>
              <w:rPr>
                <w:rFonts w:ascii="Calibri" w:hAnsi="Calibri"/>
                <w:color w:val="000000"/>
                <w:sz w:val="16"/>
              </w:rPr>
              <w:t>Pre-Production Deployment</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6"/>
              </w:rPr>
              <w:t>After Production Configuration</w:t>
            </w:r>
          </w:p>
        </w:tc>
        <w:tc>
          <w:tcPr>
            <w:tcW w:type="dxa" w:w="4050"/>
            <w:tcMar>
              <w:top w:w="80" w:type="dxa"/>
              <w:start w:w="120" w:type="dxa"/>
              <w:bottom w:w="80" w:type="dxa"/>
              <w:end w:w="120" w:type="dxa"/>
            </w:tcMar>
            <w:vAlign w:val="center"/>
          </w:tcPr>
          <w:p>
            <w:pPr>
              <w:spacing w:after="40" w:line="240" w:lineRule="auto"/>
            </w:pPr>
            <w:r>
              <w:rPr>
                <w:rFonts w:ascii="Calibri" w:hAnsi="Calibri"/>
                <w:color w:val="000000"/>
                <w:sz w:val="16"/>
              </w:rPr>
              <w:t>U.S. Region Evidence, Encryption Configuration, Secrets, Backup / Restore Test, Subprocessor Contracts, Role Tests, Incident Contacts</w:t>
            </w:r>
          </w:p>
        </w:tc>
        <w:tc>
          <w:tcPr>
            <w:tcW w:type="dxa" w:w="1810"/>
            <w:tcMar>
              <w:top w:w="80" w:type="dxa"/>
              <w:start w:w="120" w:type="dxa"/>
              <w:bottom w:w="80" w:type="dxa"/>
              <w:end w:w="120" w:type="dxa"/>
            </w:tcMar>
            <w:vAlign w:val="center"/>
          </w:tcPr>
          <w:p>
            <w:pPr>
              <w:spacing w:after="40" w:line="240" w:lineRule="auto"/>
            </w:pPr>
            <w:r>
              <w:rPr>
                <w:rFonts w:ascii="Calibri" w:hAnsi="Calibri"/>
                <w:color w:val="000000"/>
                <w:sz w:val="16"/>
              </w:rPr>
              <w:t>Final Go / No-Go</w:t>
            </w:r>
          </w:p>
        </w:tc>
      </w:tr>
      <w:tr>
        <w:trPr>
          <w:cantSplit/>
        </w:trPr>
        <w:tc>
          <w:tcPr>
            <w:tcW w:type="dxa" w:w="1600"/>
            <w:tcMar>
              <w:top w:w="80" w:type="dxa"/>
              <w:start w:w="120" w:type="dxa"/>
              <w:bottom w:w="80" w:type="dxa"/>
              <w:end w:w="120" w:type="dxa"/>
            </w:tcMar>
            <w:vAlign w:val="center"/>
          </w:tcPr>
          <w:p>
            <w:pPr>
              <w:spacing w:after="40" w:line="240" w:lineRule="auto"/>
            </w:pPr>
            <w:r>
              <w:rPr>
                <w:rFonts w:ascii="Calibri" w:hAnsi="Calibri"/>
                <w:color w:val="000000"/>
                <w:sz w:val="16"/>
              </w:rPr>
              <w:t>Post-Pilot Review</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6"/>
              </w:rPr>
              <w:t>30-45 Days After Launch</w:t>
            </w:r>
          </w:p>
        </w:tc>
        <w:tc>
          <w:tcPr>
            <w:tcW w:type="dxa" w:w="4050"/>
            <w:tcMar>
              <w:top w:w="80" w:type="dxa"/>
              <w:start w:w="120" w:type="dxa"/>
              <w:bottom w:w="80" w:type="dxa"/>
              <w:end w:w="120" w:type="dxa"/>
            </w:tcMar>
            <w:vAlign w:val="center"/>
          </w:tcPr>
          <w:p>
            <w:pPr>
              <w:spacing w:after="40" w:line="240" w:lineRule="auto"/>
            </w:pPr>
            <w:r>
              <w:rPr>
                <w:rFonts w:ascii="Calibri" w:hAnsi="Calibri"/>
                <w:color w:val="000000"/>
                <w:sz w:val="16"/>
              </w:rPr>
              <w:t>Incidents, Metrics, Privacy Requests, Admin Access, Feature Changes, Provider Changes, and Parent Feedback</w:t>
            </w:r>
          </w:p>
        </w:tc>
        <w:tc>
          <w:tcPr>
            <w:tcW w:type="dxa" w:w="1810"/>
            <w:tcMar>
              <w:top w:w="80" w:type="dxa"/>
              <w:start w:w="120" w:type="dxa"/>
              <w:bottom w:w="80" w:type="dxa"/>
              <w:end w:w="120" w:type="dxa"/>
            </w:tcMar>
            <w:vAlign w:val="center"/>
          </w:tcPr>
          <w:p>
            <w:pPr>
              <w:spacing w:after="40" w:line="240" w:lineRule="auto"/>
            </w:pPr>
            <w:r>
              <w:rPr>
                <w:rFonts w:ascii="Calibri" w:hAnsi="Calibri"/>
                <w:color w:val="000000"/>
                <w:sz w:val="16"/>
              </w:rPr>
              <w:t>Continue, Modify, Expand, or STOP</w:t>
            </w:r>
          </w:p>
        </w:tc>
      </w:tr>
    </w:tbl>
    <w:p>
      <w:pPr>
        <w:spacing w:after="0"/>
      </w:pPr>
    </w:p>
    <w:p>
      <w:pPr>
        <w:pStyle w:val="Heading2"/>
      </w:pPr>
      <w:r>
        <w:t>Recommended Message from the Participating Organization</w:t>
      </w:r>
    </w:p>
    <w:p>
      <w:r>
        <w:t>“We are submitting a proposal for a limited, voluntary parent-to-parent coordination pilot with strong privacy controls, parent consent, approved adult drivers, and clear separation from official transportation. We are not asking any school, district, league, church, nonprofit, or host organization to provide participant data or operate transportation. Please route the proposal through the normal review process and return or attach the official decision and any required conditions before the pilot begins.”</w:t>
      </w:r>
    </w:p>
    <w:p>
      <w:pPr>
        <w:pageBreakBefore/>
        <w:spacing w:after="80"/>
      </w:pPr>
      <w:r>
        <w:rPr>
          <w:rFonts w:ascii="Calibri" w:hAnsi="Calibri"/>
          <w:b/>
          <w:color w:val="5C6B7A"/>
          <w:sz w:val="18"/>
        </w:rPr>
        <w:t>PART II - GOVERNANCE</w:t>
      </w:r>
    </w:p>
    <w:p>
      <w:pPr>
        <w:pStyle w:val="Heading1"/>
      </w:pPr>
      <w:r>
        <w:t>Proposed Operating Model and Review Logic</w:t>
      </w:r>
    </w:p>
    <w:p>
      <w:pPr>
        <w:pStyle w:val="Heading2"/>
      </w:pPr>
      <w:r>
        <w:t>Recommended Legal and Operational Posture</w:t>
      </w:r>
    </w:p>
    <w:p>
      <w:r>
        <w:t>The proposal should be framed as an organization-sponsored, parent-directed coordination service. That positioning does not eliminate the interests of a school, district, league, church, nonprofit parent organization, venue, insurer, or other governing authority. Affiliation, use of an institution’s name, service to its members, activity involving minors, transportation, staff participation, device use, or data access may create separate review duties. The package therefore seeks written review instead of relying on an organization’s separate legal status.</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Do Not Overstate Independence: </w:t>
            </w:r>
            <w:r>
              <w:rPr>
                <w:rFonts w:ascii="Calibri" w:hAnsi="Calibri"/>
                <w:color w:val="000000"/>
              </w:rPr>
              <w:t>A Participating Organization May Be Legally Separate from a Host Institution, but Affiliation, Branding, Service to Current Members, Use of Facilities, Transportation Purpose, Staff Involvement, or Access to Institutional Systems Can Create a Legitimate Governance Interest. The Proposal Should Acknowledge That Plainly.</w:t>
            </w:r>
          </w:p>
        </w:tc>
      </w:tr>
    </w:tbl>
    <w:p>
      <w:pPr>
        <w:spacing w:after="0"/>
      </w:pPr>
    </w:p>
    <w:p>
      <w:pPr>
        <w:pStyle w:val="Heading2"/>
      </w:pPr>
      <w:r>
        <w:t>RACI - Pilot Governance</w:t>
      </w:r>
    </w:p>
    <w:tbl>
      <w:tblPr>
        <w:tblStyle w:val="TableGrid"/>
        <w:tblW w:type="dxa" w:w="9360"/>
        <w:tblLayout w:type="fixed"/>
        <w:tblLook w:firstColumn="1" w:firstRow="1" w:lastColumn="0" w:lastRow="0" w:noHBand="0" w:noVBand="1" w:val="04A0"/>
        <w:jc w:val="left"/>
        <w:tblInd w:w="120" w:type="dxa"/>
      </w:tblPr>
      <w:tblGrid>
        <w:gridCol w:w="2400"/>
        <w:gridCol w:w="1750"/>
        <w:gridCol w:w="1850"/>
        <w:gridCol w:w="1800"/>
        <w:gridCol w:w="1560"/>
      </w:tblGrid>
      <w:tr>
        <w:trPr>
          <w:cantSplit/>
          <w:tblHeader w:val="true"/>
        </w:trPr>
        <w:tc>
          <w:tcPr>
            <w:tcW w:type="dxa" w:w="2400"/>
            <w:tcMar>
              <w:top w:w="80" w:type="dxa"/>
              <w:start w:w="120" w:type="dxa"/>
              <w:bottom w:w="80" w:type="dxa"/>
              <w:end w:w="120" w:type="dxa"/>
            </w:tcMar>
            <w:vAlign w:val="center"/>
            <w:shd w:fill="E8EEF5"/>
          </w:tcPr>
          <w:p>
            <w:pPr>
              <w:jc w:val="center"/>
            </w:pPr>
            <w:r>
              <w:rPr>
                <w:rFonts w:ascii="Calibri" w:hAnsi="Calibri"/>
                <w:b/>
                <w:color w:val="1F4D78"/>
                <w:sz w:val="16"/>
              </w:rPr>
              <w:t>Activity</w:t>
            </w:r>
          </w:p>
        </w:tc>
        <w:tc>
          <w:tcPr>
            <w:tcW w:type="dxa" w:w="1750"/>
            <w:tcMar>
              <w:top w:w="80" w:type="dxa"/>
              <w:start w:w="120" w:type="dxa"/>
              <w:bottom w:w="80" w:type="dxa"/>
              <w:end w:w="120" w:type="dxa"/>
            </w:tcMar>
            <w:vAlign w:val="center"/>
            <w:shd w:fill="E8EEF5"/>
          </w:tcPr>
          <w:p>
            <w:pPr>
              <w:jc w:val="center"/>
            </w:pPr>
            <w:r>
              <w:rPr>
                <w:rFonts w:ascii="Calibri" w:hAnsi="Calibri"/>
                <w:b/>
                <w:color w:val="1F4D78"/>
                <w:sz w:val="16"/>
              </w:rPr>
              <w:t>Responsible</w:t>
            </w:r>
          </w:p>
        </w:tc>
        <w:tc>
          <w:tcPr>
            <w:tcW w:type="dxa" w:w="1850"/>
            <w:tcMar>
              <w:top w:w="80" w:type="dxa"/>
              <w:start w:w="120" w:type="dxa"/>
              <w:bottom w:w="80" w:type="dxa"/>
              <w:end w:w="120" w:type="dxa"/>
            </w:tcMar>
            <w:vAlign w:val="center"/>
            <w:shd w:fill="E8EEF5"/>
          </w:tcPr>
          <w:p>
            <w:pPr>
              <w:jc w:val="center"/>
            </w:pPr>
            <w:r>
              <w:rPr>
                <w:rFonts w:ascii="Calibri" w:hAnsi="Calibri"/>
                <w:b/>
                <w:color w:val="1F4D78"/>
                <w:sz w:val="16"/>
              </w:rPr>
              <w:t>Accountable</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6"/>
              </w:rPr>
              <w:t>Consulted</w:t>
            </w:r>
          </w:p>
        </w:tc>
        <w:tc>
          <w:tcPr>
            <w:tcW w:type="dxa" w:w="1560"/>
            <w:tcMar>
              <w:top w:w="80" w:type="dxa"/>
              <w:start w:w="120" w:type="dxa"/>
              <w:bottom w:w="80" w:type="dxa"/>
              <w:end w:w="120" w:type="dxa"/>
            </w:tcMar>
            <w:vAlign w:val="center"/>
            <w:shd w:fill="E8EEF5"/>
          </w:tcPr>
          <w:p>
            <w:pPr>
              <w:jc w:val="center"/>
            </w:pPr>
            <w:r>
              <w:rPr>
                <w:rFonts w:ascii="Calibri" w:hAnsi="Calibri"/>
                <w:b/>
                <w:color w:val="1F4D78"/>
                <w:sz w:val="16"/>
              </w:rPr>
              <w:t>Informed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Approve Organization Sponsorship</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Organization Executive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Program Owner, Host-Site Administrator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Membership</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Approve Funding and Sponsor Recognition</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Governing Body / Organization Owner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Executive Owner / Organization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Treasurer, Privacy Contact, Platform Operator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Participants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Approve Host-Site Activity</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Host-Site Administrator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Host-Site Administrator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Program Owner, Organization Executive Owner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External Reviewer as Directed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Privacy / Security Review</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BandWagon Operator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Named Data Privacy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Technology, Counsel, and Governing Authority as Applicable</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Parents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Driver Eligibility Rules</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Pilot Safety Owner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 or Named Authority</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Risk Management, Insurer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Drivers and Parents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User Administration</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Named Organization Administrators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Organization Executive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BandWagon Operator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Participants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Platform Security and Operations</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Harrison Ward Technology</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Harrison Ward Technology</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Organization Privacy Contact</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External Authority Only as Agreed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Incident Response</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BandWagon Operator + Pilot Owner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Organization Executive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Governing Authority, Insurer, and Counsel as Applicable</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Affected Parents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Pilot Suspension or Termination</w:t>
            </w:r>
          </w:p>
        </w:tc>
        <w:tc>
          <w:tcPr>
            <w:tcW w:type="dxa" w:w="1750"/>
            <w:tcMar>
              <w:top w:w="80" w:type="dxa"/>
              <w:start w:w="120" w:type="dxa"/>
              <w:bottom w:w="80" w:type="dxa"/>
              <w:end w:w="120" w:type="dxa"/>
            </w:tcMar>
            <w:vAlign w:val="center"/>
          </w:tcPr>
          <w:p>
            <w:pPr>
              <w:spacing w:after="40" w:line="240" w:lineRule="auto"/>
            </w:pPr>
            <w:r>
              <w:rPr>
                <w:rFonts w:ascii="Calibri" w:hAnsi="Calibri"/>
                <w:color w:val="000000"/>
                <w:sz w:val="16"/>
              </w:rPr>
              <w:t>Pilot Owner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6"/>
              </w:rPr>
              <w:t>Organization Executive Owner / Host-Site Administrator Within Their Authority</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Program Owner, Operator</w:t>
            </w:r>
          </w:p>
        </w:tc>
        <w:tc>
          <w:tcPr>
            <w:tcW w:type="dxa" w:w="1560"/>
            <w:tcMar>
              <w:top w:w="80" w:type="dxa"/>
              <w:start w:w="120" w:type="dxa"/>
              <w:bottom w:w="80" w:type="dxa"/>
              <w:end w:w="120" w:type="dxa"/>
            </w:tcMar>
            <w:vAlign w:val="center"/>
          </w:tcPr>
          <w:p>
            <w:pPr>
              <w:spacing w:after="40" w:line="240" w:lineRule="auto"/>
            </w:pPr>
            <w:r>
              <w:rPr>
                <w:rFonts w:ascii="Calibri" w:hAnsi="Calibri"/>
                <w:color w:val="000000"/>
                <w:sz w:val="16"/>
              </w:rPr>
              <w:t>Participants</w:t>
            </w:r>
          </w:p>
        </w:tc>
      </w:tr>
    </w:tbl>
    <w:p>
      <w:pPr>
        <w:spacing w:after="0"/>
      </w:pPr>
    </w:p>
    <w:p>
      <w:pPr>
        <w:pStyle w:val="Heading2"/>
      </w:pPr>
      <w:r>
        <w:t>Review Is Layered - Official Decisions Stay with Each Organization</w:t>
      </w:r>
    </w:p>
    <w:p>
      <w:r>
        <w:t>Each reviewing body owns a different decision and should issue that decision through its normal process. An organization vote may authorize sponsorship and funding, but it does not bind a host institution, insurer, league, district, or other authority. The program owner addresses program alignment. The host-site administrator determines facility treatment and routing. Technology / Data Privacy evaluates data handling and application posture. Risk / Transportation / Insurance determines whether driver screening, insurance, releases, or other controls are needed. This proposal records the questions and evidence; the official outcomes are attached.</w:t>
      </w:r>
    </w:p>
    <w:p>
      <w:pPr>
        <w:pStyle w:val="Heading2"/>
      </w:pPr>
      <w:r>
        <w:t>Ownership and Conflict Disclosure</w:t>
      </w:r>
    </w:p>
    <w:p>
      <w:pPr>
        <w:pStyle w:val="ListBullet"/>
      </w:pPr>
      <w:r>
        <w:t>BandWagon Is a Product and Service Offered and Operated by Harrison Ward Technology. Throughout This Package, Platform Provider, Platform Operator, BandWagon Operator, and Technical Operator Mean Harrison Ward Technology Acting in Its Business Capacity - Not Harrison Ward Personally.</w:t>
      </w:r>
    </w:p>
    <w:p>
      <w:pPr>
        <w:pStyle w:val="ListBullet"/>
      </w:pPr>
      <w:r>
        <w:t>Any Personal, Family, Employment, Volunteer, Governance, or Financial Relationship Involving Harrison Ward Technology Personnel and the Participating Organization Should Be Disclosed in the Meeting Minutes and Attached Official Decision Record.</w:t>
      </w:r>
    </w:p>
    <w:p>
      <w:pPr>
        <w:pStyle w:val="ListBullet"/>
      </w:pPr>
      <w:r>
        <w:t>Recommended Governance: Harrison Ward Technology Representatives Present Facts and Answer Technical Questions but Do Not Vote on an Organization Decision Approving a Paid Relationship or Material Benefit to Harrison Ward Technology or Its Affiliates.</w:t>
      </w:r>
    </w:p>
    <w:p>
      <w:pPr>
        <w:pStyle w:val="ListBullet"/>
      </w:pPr>
      <w:r>
        <w:t>Recommended Pilot Economics: No Cost to the Participating Organization, Any Affiliated Institution, or Participating Families. Bandwagon’s Approved Core Platform Is Free and May Be Sustained Through Optional Adult-User Contributions, Organization Support, Grants, in-Kind Services, and Approved Outside Funding Sponsors.</w:t>
      </w:r>
    </w:p>
    <w:p>
      <w:pPr>
        <w:pStyle w:val="ListBullet"/>
      </w:pPr>
      <w:r>
        <w:t>Each Organization May Disable Contribution Prompts and Sponsor Recognition. Any Required Fee, Paid Contract, Targeted Advertising, Exclusive Sponsor Arrangement, or Material Financial Benefit to Harrison Ward Technology Requires Separate Disclosure, Recusal Where Appropriate, and Written Approval.</w:t>
      </w:r>
    </w:p>
    <w:p>
      <w:pPr>
        <w:pStyle w:val="ListBullet"/>
      </w:pPr>
      <w:r>
        <w:t>The Public Repository May Be Reviewed Independently. The Production Source and Explicit License Must Be Published Before Calling the Platform Open Source; Source Availability Does Not Replace Contractual, Privacy, Security, or Insurance Review.</w:t>
      </w:r>
    </w:p>
    <w:p>
      <w:pPr>
        <w:pStyle w:val="Heading2"/>
      </w:pPr>
      <w:r>
        <w:t>Funding and Sustainability</w:t>
      </w:r>
    </w:p>
    <w:p>
      <w:r>
        <w:t>BandWagon’s approved core platform is free to use, but it is not free to operate. Hosting, messaging, mapping, payment processing, security, support, and continued development create real costs. The proposed business model covers those costs through voluntary support while keeping the core coordination service available without a participation fee.</w:t>
      </w:r>
    </w:p>
    <w:p>
      <w:r>
        <w:t>In this package, Funding Sponsor means an outside person or business supporting platform costs. It is separate from the Program Owner / Organization Sponsor role and creates no program, governance, approval, administrative, or data-access authority.</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Funding Boundary: </w:t>
            </w:r>
            <w:r>
              <w:rPr>
                <w:rFonts w:ascii="Calibri" w:hAnsi="Calibri"/>
                <w:color w:val="000000"/>
              </w:rPr>
              <w:t>Money Does Not Buy Access, Visibility, Matching Priority, Safety Approval, Influence Over Organization Decisions, or Participant Data. Funding Features Are Adult-Facing, Independently Configurable by Each Organization, and Separated from Ride Requests, Driver Recommendations, Student Screens, and Safety Workflows.</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2300"/>
        <w:gridCol w:w="3400"/>
        <w:gridCol w:w="3660"/>
      </w:tblGrid>
      <w:tr>
        <w:trPr>
          <w:cantSplit/>
          <w:tblHeader w:val="true"/>
        </w:trPr>
        <w:tc>
          <w:tcPr>
            <w:tcW w:type="dxa" w:w="2300"/>
            <w:tcMar>
              <w:top w:w="80" w:type="dxa"/>
              <w:start w:w="120" w:type="dxa"/>
              <w:bottom w:w="80" w:type="dxa"/>
              <w:end w:w="120" w:type="dxa"/>
            </w:tcMar>
            <w:vAlign w:val="center"/>
            <w:shd w:fill="E8EEF5"/>
          </w:tcPr>
          <w:p>
            <w:pPr>
              <w:jc w:val="center"/>
            </w:pPr>
            <w:r>
              <w:rPr>
                <w:rFonts w:ascii="Calibri" w:hAnsi="Calibri"/>
                <w:b/>
                <w:color w:val="1F4D78"/>
                <w:sz w:val="15"/>
              </w:rPr>
              <w:t>Funding Source / Feature</w:t>
            </w:r>
          </w:p>
        </w:tc>
        <w:tc>
          <w:tcPr>
            <w:tcW w:type="dxa" w:w="3400"/>
            <w:tcMar>
              <w:top w:w="80" w:type="dxa"/>
              <w:start w:w="120" w:type="dxa"/>
              <w:bottom w:w="80" w:type="dxa"/>
              <w:end w:w="120" w:type="dxa"/>
            </w:tcMar>
            <w:vAlign w:val="center"/>
            <w:shd w:fill="E8EEF5"/>
          </w:tcPr>
          <w:p>
            <w:pPr>
              <w:jc w:val="center"/>
            </w:pPr>
            <w:r>
              <w:rPr>
                <w:rFonts w:ascii="Calibri" w:hAnsi="Calibri"/>
                <w:b/>
                <w:color w:val="1F4D78"/>
                <w:sz w:val="15"/>
              </w:rPr>
              <w:t>Organization Control</w:t>
            </w:r>
          </w:p>
        </w:tc>
        <w:tc>
          <w:tcPr>
            <w:tcW w:type="dxa" w:w="3660"/>
            <w:tcMar>
              <w:top w:w="80" w:type="dxa"/>
              <w:start w:w="120" w:type="dxa"/>
              <w:bottom w:w="80" w:type="dxa"/>
              <w:end w:w="120" w:type="dxa"/>
            </w:tcMar>
            <w:vAlign w:val="center"/>
            <w:shd w:fill="E8EEF5"/>
          </w:tcPr>
          <w:p>
            <w:pPr>
              <w:jc w:val="center"/>
            </w:pPr>
            <w:r>
              <w:rPr>
                <w:rFonts w:ascii="Calibri" w:hAnsi="Calibri"/>
                <w:b/>
                <w:color w:val="1F4D78"/>
                <w:sz w:val="15"/>
              </w:rPr>
              <w:t>Required Boundary</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Adult-User Contributions</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May Be Enabled or Disabled. The Organization May Choose Where an Optional Support Prompt Appears and May Disable It Entirely.</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Voluntary; Adult-Facing; No Effect on Service, Matching, Priority, Support, or Safety Decisions.</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Organization Support</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An Organization May Choose to Contribute Operating Support Under Its Own Approval, Budget, and Accounting Process.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No Required Payment for the Standard Platform; Any Paid Agreement Is Separately Documented and Approved.</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Outside Funding Sponsors</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The Organization May Allow, Restrict, Approve Individually, or Disable Sponsor Participation and Recognition.</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Sponsors Receive No Participant Data, Contact Rights, Targeted Audience, Ride Visibility, or Influence Over Platform Decisions.</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Sponsor Acknowledgement</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Off by Default. If Enabled, the Organization Approves Placement, Name / Logo, Wording, Duration, and Audience.</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Recognition Only - Not Behavioral or Targeted Advertising; Never Placed Inside Matching, Safety, or Child-Directed Decision Screens.</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Grants and in-Kind Services</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The Platform or Organization May Accept Disclosed Support if Conditions Are Compatible with Approved Privacy and Governance Rules.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No Grant or Provider Term May Require Participant Data, Secondary Use, Exclusivity That Harms Users, or Weaker Security Controls.</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Payment Processing</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Disabled When Contributions Are Disabled. If Enabled, the Organization May Choose Approved Contribution Options and Suggested Amounts.</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Use an Approved Payment Processor; BandWagon Stores Only Transaction Reference, Amount, Status, and Limited Receipt Data - Never a Full Card Number or Security Code.</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Future Paid or Premium Service</w:t>
            </w:r>
          </w:p>
        </w:tc>
        <w:tc>
          <w:tcPr>
            <w:tcW w:type="dxa" w:w="3400"/>
            <w:tcMar>
              <w:top w:w="80" w:type="dxa"/>
              <w:start w:w="120" w:type="dxa"/>
              <w:bottom w:w="80" w:type="dxa"/>
              <w:end w:w="120" w:type="dxa"/>
            </w:tcMar>
            <w:vAlign w:val="center"/>
          </w:tcPr>
          <w:p>
            <w:pPr>
              <w:spacing w:after="40" w:line="240" w:lineRule="auto"/>
            </w:pPr>
            <w:r>
              <w:rPr>
                <w:rFonts w:ascii="Calibri" w:hAnsi="Calibri"/>
                <w:color w:val="000000"/>
                <w:sz w:val="15"/>
              </w:rPr>
              <w:t>Not Part of This Proposal. An Organization May Decline Any Future Paid Offering and Continue Using the Approved Free Core.</w:t>
            </w:r>
          </w:p>
        </w:tc>
        <w:tc>
          <w:tcPr>
            <w:tcW w:type="dxa" w:w="3660"/>
            <w:tcMar>
              <w:top w:w="80" w:type="dxa"/>
              <w:start w:w="120" w:type="dxa"/>
              <w:bottom w:w="80" w:type="dxa"/>
              <w:end w:w="120" w:type="dxa"/>
            </w:tcMar>
            <w:vAlign w:val="center"/>
          </w:tcPr>
          <w:p>
            <w:pPr>
              <w:spacing w:after="40" w:line="240" w:lineRule="auto"/>
            </w:pPr>
            <w:r>
              <w:rPr>
                <w:rFonts w:ascii="Calibri" w:hAnsi="Calibri"/>
                <w:color w:val="000000"/>
                <w:sz w:val="15"/>
              </w:rPr>
              <w:t>Requires Separate Pricing, Contract, Conflict, Privacy, and Approval Review. No Silent Conversion from Free to Paid.</w:t>
            </w:r>
          </w:p>
        </w:tc>
      </w:tr>
    </w:tbl>
    <w:p>
      <w:pPr>
        <w:spacing w:after="0"/>
      </w:pPr>
    </w:p>
    <w:p>
      <w:pPr>
        <w:pStyle w:val="SmallNote"/>
      </w:pPr>
      <w:r>
        <w:t>Contributions paid directly to Harrison Ward Technology are platform-support payments and should not be described as charitable or tax-deductible donations. If a qualified nonprofit collects funds, that organization remains responsible for its own tax, accounting, acknowledgement, and restricted-fund requirements.</w:t>
      </w:r>
    </w:p>
    <w:p>
      <w:pPr>
        <w:pageBreakBefore/>
        <w:spacing w:after="80"/>
      </w:pPr>
      <w:r>
        <w:rPr>
          <w:rFonts w:ascii="Calibri" w:hAnsi="Calibri"/>
          <w:b/>
          <w:color w:val="5C6B7A"/>
          <w:sz w:val="18"/>
        </w:rPr>
        <w:t>PART II-A - ORGANIZATION CONTROLS</w:t>
      </w:r>
    </w:p>
    <w:p>
      <w:pPr>
        <w:pStyle w:val="Heading1"/>
      </w:pPr>
      <w:r>
        <w:t>Organization Feature Control Matrix</w:t>
      </w:r>
    </w:p>
    <w:p>
      <w:pPr>
        <w:spacing w:after="240"/>
      </w:pPr>
      <w:r>
        <w:rPr>
          <w:rFonts w:ascii="Calibri" w:hAnsi="Calibri"/>
          <w:i/>
          <w:color w:val="5C6B7A"/>
          <w:sz w:val="22"/>
        </w:rPr>
        <w:t>Every organization controls its own optional modules. New or unlisted capabilities remain disabled until they are documented, reviewed, and deliberately enabled.</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Organization Choice: </w:t>
            </w:r>
            <w:r>
              <w:rPr>
                <w:rFonts w:ascii="Calibri" w:hAnsi="Calibri"/>
                <w:color w:val="000000"/>
              </w:rPr>
              <w:t>An Organization May Disable Any Optional Feature - or All Optional Features - without Enabling or Disabling That Feature for Another Organization. When a Feature Is Off, Its User Interface, Provider Calls, and New Feature-Specific Data Collection Are Off. Required Privacy, Consent, Security, Audit, Parent-Control, and Safety Boundaries Cannot Be Disabled.</w:t>
            </w:r>
          </w:p>
        </w:tc>
      </w:tr>
    </w:tbl>
    <w:p>
      <w:pPr>
        <w:spacing w:after="0"/>
      </w:pPr>
    </w:p>
    <w:p>
      <w:pPr>
        <w:pStyle w:val="Heading2"/>
      </w:pPr>
      <w:r>
        <w:t>How Configuration Works</w:t>
      </w:r>
    </w:p>
    <w:p>
      <w:pPr>
        <w:pStyle w:val="ListBullet"/>
      </w:pPr>
      <w:r>
        <w:t>Configuration Is Tenant-Specific. A BandWagon System Administrator Can Make a Capability Available, but Each Organization Decides Whether to Enable It for Its Own Participants.</w:t>
      </w:r>
    </w:p>
    <w:p>
      <w:pPr>
        <w:pStyle w:val="ListBullet"/>
      </w:pPr>
      <w:r>
        <w:t>Where a Feature Also Requires Individual Choice, Both Approvals Are Required: The Organization Enables the Option and the Adult User or Parent Separately Opts In.</w:t>
      </w:r>
    </w:p>
    <w:p>
      <w:pPr>
        <w:pStyle w:val="ListBullet"/>
      </w:pPr>
      <w:r>
        <w:t>Disabling a Feature Stops New Use and Provider Calls. Existing Feature Data Is Deleted, Minimized, or Retained Only Under the Approved Retention Schedule, Incident Hold, or Legal Requirement.</w:t>
      </w:r>
    </w:p>
    <w:p>
      <w:pPr>
        <w:pStyle w:val="ListBullet"/>
      </w:pPr>
      <w:r>
        <w:t>Material Configuration Changes Are Named, Logged, Dated, and Attributable to an Authorized Organization Administrator. Changes That Alter Collection, Disclosure, AI Use, Sponsorship, or Minor Participation Require Updated Notice and Approval Where Applicable.</w:t>
      </w:r>
    </w:p>
    <w:p>
      <w:pPr>
        <w:pStyle w:val="ListBullet"/>
      </w:pPr>
      <w:r>
        <w:t>A New Feature That Is Not Listed in the Approved Registry Defaults to Disabled and Enters the Same Privacy, Security, Risk, and Organization-Approval Process Before Use.</w:t>
      </w:r>
    </w:p>
    <w:p>
      <w:pPr>
        <w:pStyle w:val="Heading2"/>
      </w:pPr>
      <w:r>
        <w:t>Participation and Safety Controls</w:t>
      </w:r>
    </w:p>
    <w:tbl>
      <w:tblPr>
        <w:tblStyle w:val="TableGrid"/>
        <w:tblW w:type="dxa" w:w="9360"/>
        <w:tblLayout w:type="fixed"/>
        <w:tblLook w:firstColumn="1" w:firstRow="1" w:lastColumn="0" w:lastRow="0" w:noHBand="0" w:noVBand="1" w:val="04A0"/>
        <w:jc w:val="left"/>
        <w:tblInd w:w="120" w:type="dxa"/>
      </w:tblPr>
      <w:tblGrid>
        <w:gridCol w:w="1800"/>
        <w:gridCol w:w="1200"/>
        <w:gridCol w:w="3420"/>
        <w:gridCol w:w="2940"/>
      </w:tblGrid>
      <w:tr>
        <w:trPr>
          <w:cantSplit/>
          <w:tblHeader w:val="true"/>
        </w:trPr>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Feature</w:t>
            </w:r>
          </w:p>
        </w:tc>
        <w:tc>
          <w:tcPr>
            <w:tcW w:type="dxa" w:w="1200"/>
            <w:tcMar>
              <w:top w:w="80" w:type="dxa"/>
              <w:start w:w="120" w:type="dxa"/>
              <w:bottom w:w="80" w:type="dxa"/>
              <w:end w:w="120" w:type="dxa"/>
            </w:tcMar>
            <w:vAlign w:val="center"/>
            <w:shd w:fill="E8EEF5"/>
          </w:tcPr>
          <w:p>
            <w:pPr>
              <w:jc w:val="center"/>
            </w:pPr>
            <w:r>
              <w:rPr>
                <w:rFonts w:ascii="Calibri" w:hAnsi="Calibri"/>
                <w:b/>
                <w:color w:val="1F4D78"/>
                <w:sz w:val="14"/>
              </w:rPr>
              <w:t>Default</w:t>
            </w:r>
          </w:p>
        </w:tc>
        <w:tc>
          <w:tcPr>
            <w:tcW w:type="dxa" w:w="3420"/>
            <w:tcMar>
              <w:top w:w="80" w:type="dxa"/>
              <w:start w:w="120" w:type="dxa"/>
              <w:bottom w:w="80" w:type="dxa"/>
              <w:end w:w="120" w:type="dxa"/>
            </w:tcMar>
            <w:vAlign w:val="center"/>
            <w:shd w:fill="E8EEF5"/>
          </w:tcPr>
          <w:p>
            <w:pPr>
              <w:jc w:val="center"/>
            </w:pPr>
            <w:r>
              <w:rPr>
                <w:rFonts w:ascii="Calibri" w:hAnsi="Calibri"/>
                <w:b/>
                <w:color w:val="1F4D78"/>
                <w:sz w:val="14"/>
              </w:rPr>
              <w:t>Organization Control</w:t>
            </w:r>
          </w:p>
        </w:tc>
        <w:tc>
          <w:tcPr>
            <w:tcW w:type="dxa" w:w="2940"/>
            <w:tcMar>
              <w:top w:w="80" w:type="dxa"/>
              <w:start w:w="120" w:type="dxa"/>
              <w:bottom w:w="80" w:type="dxa"/>
              <w:end w:w="120" w:type="dxa"/>
            </w:tcMar>
            <w:vAlign w:val="center"/>
            <w:shd w:fill="E8EEF5"/>
          </w:tcPr>
          <w:p>
            <w:pPr>
              <w:jc w:val="center"/>
            </w:pPr>
            <w:r>
              <w:rPr>
                <w:rFonts w:ascii="Calibri" w:hAnsi="Calibri"/>
                <w:b/>
                <w:color w:val="1F4D78"/>
                <w:sz w:val="14"/>
              </w:rPr>
              <w:t>Mandatory Boundary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Invitations and Organization Codes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 Approval Required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Choose Invite Method, Code Lifetime, Membership Approval, Eligible Groups, and Whether Self-Join Is Unavailable.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Affiliated Institution Roster Import; Organization Membership Is Verified Server-Side.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Parent / Guardian Households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Require Verified Membership and Additional Acknowledgement; Cannot Remove Guardian Authority for a Minor.</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Parent Controls Linked Minors, Permissions, Disclosure, and Ride Approval.</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Student Access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for Independent Under-13 Use</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Disable All Student Logins or Allow Approved Age Groups and Limited Actions After Separate Review.</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Independent Under-13 Account; Parent Visibility and Control Remain.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Student-Initiated Requests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for Pilot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Remain Disabled or Be Enabled for Approved Students, Events, and Times.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Parent Approval Rule Cannot Be Bypassed; a Student Cannot Approve a Driver.</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Student Drivers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for Pilot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Remain Disabled. Enabling Requires a Separate Official Risk, Insurance, Eligibility, and Authorization Record.</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Silent Expansion Beyond the Approved Driver Population.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Adult-Driver Profiles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for Pilot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Set Adult-Only Mode, Required Attestations, Eligibility Status, Capacity Rules, and Approved Display Fields.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The Platform Does Not Certify Safety or Replace Organization / Insurer Screening.</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Driver Verification Status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Policy Dependent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Select Approved External Authority, Accepted Status, Expiry, and Recheck Rules.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Store Outcome Metadata Only Unless Underlying Documents Receive Separate Approval.</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Optional Bios and Vehicle Descriptions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Set Length Limits, and Restrict Fields for the Entire Organization.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License Plate, VIN, Insurance Number, Medical Detail, or Background Information.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Blocks, Reports, and Incident Escalation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Name Safety Owners, Escalation Contacts, Suspension Rules, and Report Categories.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Users Can Block / Report; Required Evidence and Incident Controls Cannot Be Disabled.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Public Ratings or Driver Rankings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Prohibited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No Organization Enablement Available.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Public Reputation Score, Safety Score, Popularity Ranking, or Student Leaderboard.</w:t>
            </w:r>
          </w:p>
        </w:tc>
      </w:tr>
    </w:tbl>
    <w:p>
      <w:pPr>
        <w:spacing w:after="0"/>
      </w:pPr>
    </w:p>
    <w:p>
      <w:pPr>
        <w:pStyle w:val="Heading2"/>
      </w:pPr>
      <w:r>
        <w:t>Ride and Matching Controls</w:t>
      </w:r>
    </w:p>
    <w:tbl>
      <w:tblPr>
        <w:tblStyle w:val="TableGrid"/>
        <w:tblW w:type="dxa" w:w="9360"/>
        <w:tblLayout w:type="fixed"/>
        <w:tblLook w:firstColumn="1" w:firstRow="1" w:lastColumn="0" w:lastRow="0" w:noHBand="0" w:noVBand="1" w:val="04A0"/>
        <w:jc w:val="left"/>
        <w:tblInd w:w="120" w:type="dxa"/>
      </w:tblPr>
      <w:tblGrid>
        <w:gridCol w:w="1800"/>
        <w:gridCol w:w="1200"/>
        <w:gridCol w:w="3420"/>
        <w:gridCol w:w="2940"/>
      </w:tblGrid>
      <w:tr>
        <w:trPr>
          <w:cantSplit/>
          <w:tblHeader w:val="true"/>
        </w:trPr>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Feature</w:t>
            </w:r>
          </w:p>
        </w:tc>
        <w:tc>
          <w:tcPr>
            <w:tcW w:type="dxa" w:w="1200"/>
            <w:tcMar>
              <w:top w:w="80" w:type="dxa"/>
              <w:start w:w="120" w:type="dxa"/>
              <w:bottom w:w="80" w:type="dxa"/>
              <w:end w:w="120" w:type="dxa"/>
            </w:tcMar>
            <w:vAlign w:val="center"/>
            <w:shd w:fill="E8EEF5"/>
          </w:tcPr>
          <w:p>
            <w:pPr>
              <w:jc w:val="center"/>
            </w:pPr>
            <w:r>
              <w:rPr>
                <w:rFonts w:ascii="Calibri" w:hAnsi="Calibri"/>
                <w:b/>
                <w:color w:val="1F4D78"/>
                <w:sz w:val="14"/>
              </w:rPr>
              <w:t>Default</w:t>
            </w:r>
          </w:p>
        </w:tc>
        <w:tc>
          <w:tcPr>
            <w:tcW w:type="dxa" w:w="3420"/>
            <w:tcMar>
              <w:top w:w="80" w:type="dxa"/>
              <w:start w:w="120" w:type="dxa"/>
              <w:bottom w:w="80" w:type="dxa"/>
              <w:end w:w="120" w:type="dxa"/>
            </w:tcMar>
            <w:vAlign w:val="center"/>
            <w:shd w:fill="E8EEF5"/>
          </w:tcPr>
          <w:p>
            <w:pPr>
              <w:jc w:val="center"/>
            </w:pPr>
            <w:r>
              <w:rPr>
                <w:rFonts w:ascii="Calibri" w:hAnsi="Calibri"/>
                <w:b/>
                <w:color w:val="1F4D78"/>
                <w:sz w:val="14"/>
              </w:rPr>
              <w:t>Organization Control</w:t>
            </w:r>
          </w:p>
        </w:tc>
        <w:tc>
          <w:tcPr>
            <w:tcW w:type="dxa" w:w="2940"/>
            <w:tcMar>
              <w:top w:w="80" w:type="dxa"/>
              <w:start w:w="120" w:type="dxa"/>
              <w:bottom w:w="80" w:type="dxa"/>
              <w:end w:w="120" w:type="dxa"/>
            </w:tcMar>
            <w:vAlign w:val="center"/>
            <w:shd w:fill="E8EEF5"/>
          </w:tcPr>
          <w:p>
            <w:pPr>
              <w:jc w:val="center"/>
            </w:pPr>
            <w:r>
              <w:rPr>
                <w:rFonts w:ascii="Calibri" w:hAnsi="Calibri"/>
                <w:b/>
                <w:color w:val="1F4D78"/>
                <w:sz w:val="14"/>
              </w:rPr>
              <w:t>Mandatory Boundary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Ride Requests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Limit Event Types, Sections, Participant Groups, Request Windows, One-Way / Round-Trip Options, and Passenger Counts.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Voluntary Use; No Guaranteed Ride, Dispatch Service, or Affiliated Institution Transportation Record.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Open-Request Discovery</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Limit Audience, and Define Minimum Preview Fields.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Only Eligible Users See Approximate Information; Exact Pickup Details Remain Hidden.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Route-Corridor Matching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or Disable and Set Allowed Corridor Methods and Organization Policy Ranges.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Private Server-Side Comparison; No Route Shown to Requesters or Organization Administrators; No Live Tracking.</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Detour Tolerance</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 / User Controlled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Set Allowed Percentage / Minute Ranges, and Choose Whether 0 Means No Detour Recommendations.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Driver Sets or Withdraws the Preference; It Does Not Become a Route Guarantee.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Time-Aware and on-the-Way Suggestions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Set Arrival Buffers, Operating Windows, and Event Boundaries.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Advisory Only; Parents and Drivers Confirm the Plan and No Arrival Time Is Guaranteed.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Always-Willing Service Area</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Constrain Maximum Area, and Limit Applicable Events or Times.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Stored Privately; User May Pause or Delete; No Public Geometry.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Seat Capacity and Multi-Passenger Rides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 Configurable</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Set Capacity Limits, Whether Multi-Household Rides Are Allowed, and Required Acknowledgements.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Never Exceed User-Entered Belted-Seat Capacity; Driver Confirms Actual Availability.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Exact Pickup / Drop Disclosure</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Protected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Require a Later Disclosure Point or More Restrictive Workflow; Cannot Expose It Earlier Than the Approved Rule.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Only Confirmed Participants Receive Exact Logistics When Required to Complete the Ride.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Direct Contact Visibility</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Hidden by Default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Disable Direct Sharing, Allow User Choice, or Require Approved Relay / Masking.</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Pre-Match Phone / Email Disclosure; Owner Choice and Least Privilege Apply.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Pickup, Drop, and No-Show Status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Configurable</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Confirmations, Reminder Cadence, Exception Workflow, and Limited No-Show Records.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Status Is Not a Public Score; Material Safety Reports Follow Incident Controls.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Participation Badges / Gamification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 / No Rankings</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Choose Neutral Milestones, or Remove All Gamification.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Coercion, Public Driver Ranking, Child Engagement Optimization, or Safety Inference.</w:t>
            </w:r>
          </w:p>
        </w:tc>
      </w:tr>
    </w:tbl>
    <w:p>
      <w:pPr>
        <w:spacing w:after="0"/>
      </w:pPr>
    </w:p>
    <w:p>
      <w:pPr>
        <w:pStyle w:val="Heading2"/>
      </w:pPr>
      <w:r>
        <w:t>Communications and Integration Controls</w:t>
      </w:r>
    </w:p>
    <w:tbl>
      <w:tblPr>
        <w:tblStyle w:val="TableGrid"/>
        <w:tblW w:type="dxa" w:w="9360"/>
        <w:tblLayout w:type="fixed"/>
        <w:tblLook w:firstColumn="1" w:firstRow="1" w:lastColumn="0" w:lastRow="0" w:noHBand="0" w:noVBand="1" w:val="04A0"/>
        <w:jc w:val="left"/>
        <w:tblInd w:w="120" w:type="dxa"/>
      </w:tblPr>
      <w:tblGrid>
        <w:gridCol w:w="1800"/>
        <w:gridCol w:w="1200"/>
        <w:gridCol w:w="3420"/>
        <w:gridCol w:w="2940"/>
      </w:tblGrid>
      <w:tr>
        <w:trPr>
          <w:cantSplit/>
          <w:tblHeader w:val="true"/>
        </w:trPr>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Feature</w:t>
            </w:r>
          </w:p>
        </w:tc>
        <w:tc>
          <w:tcPr>
            <w:tcW w:type="dxa" w:w="1200"/>
            <w:tcMar>
              <w:top w:w="80" w:type="dxa"/>
              <w:start w:w="120" w:type="dxa"/>
              <w:bottom w:w="80" w:type="dxa"/>
              <w:end w:w="120" w:type="dxa"/>
            </w:tcMar>
            <w:vAlign w:val="center"/>
            <w:shd w:fill="E8EEF5"/>
          </w:tcPr>
          <w:p>
            <w:pPr>
              <w:jc w:val="center"/>
            </w:pPr>
            <w:r>
              <w:rPr>
                <w:rFonts w:ascii="Calibri" w:hAnsi="Calibri"/>
                <w:b/>
                <w:color w:val="1F4D78"/>
                <w:sz w:val="14"/>
              </w:rPr>
              <w:t>Default</w:t>
            </w:r>
          </w:p>
        </w:tc>
        <w:tc>
          <w:tcPr>
            <w:tcW w:type="dxa" w:w="3420"/>
            <w:tcMar>
              <w:top w:w="80" w:type="dxa"/>
              <w:start w:w="120" w:type="dxa"/>
              <w:bottom w:w="80" w:type="dxa"/>
              <w:end w:w="120" w:type="dxa"/>
            </w:tcMar>
            <w:vAlign w:val="center"/>
            <w:shd w:fill="E8EEF5"/>
          </w:tcPr>
          <w:p>
            <w:pPr>
              <w:jc w:val="center"/>
            </w:pPr>
            <w:r>
              <w:rPr>
                <w:rFonts w:ascii="Calibri" w:hAnsi="Calibri"/>
                <w:b/>
                <w:color w:val="1F4D78"/>
                <w:sz w:val="14"/>
              </w:rPr>
              <w:t>Organization Control</w:t>
            </w:r>
          </w:p>
        </w:tc>
        <w:tc>
          <w:tcPr>
            <w:tcW w:type="dxa" w:w="2940"/>
            <w:tcMar>
              <w:top w:w="80" w:type="dxa"/>
              <w:start w:w="120" w:type="dxa"/>
              <w:bottom w:w="80" w:type="dxa"/>
              <w:end w:w="120" w:type="dxa"/>
            </w:tcMar>
            <w:vAlign w:val="center"/>
            <w:shd w:fill="E8EEF5"/>
          </w:tcPr>
          <w:p>
            <w:pPr>
              <w:jc w:val="center"/>
            </w:pPr>
            <w:r>
              <w:rPr>
                <w:rFonts w:ascii="Calibri" w:hAnsi="Calibri"/>
                <w:b/>
                <w:color w:val="1F4D78"/>
                <w:sz w:val="14"/>
              </w:rPr>
              <w:t>Mandatory Boundary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Transactional Email</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Select Approved Templates, Reminder Timing, Sender Identity, and Nonessential Message Categories.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Security, Consent, Privacy, and Critical Ride Notices Remain Purpose Limited.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SMS / RCS Messaging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Until Approved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or Disable; Choose Approved Message Types and Sender Configuration.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Separate User Opt-in; STOP / HELP Honored; No Marketing Reuse.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Phone Verification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Organization Configurable</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Require for All Users, Require Only for Drivers / SMS Users, or Allow Verified-Email-Only Participation.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OTP Is Single Use, Short Lived, Rate Limited, and Never Logged.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Browser / PWA Notifications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or Disable and Select Approved Transactional Notification Categories.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User Permission Required; No Deceptive Prompts or Engagement-Driven Notifications.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Google / Microsoft Calendar</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by Default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Either Provider, Both, or Neither; Choose Approved Event Source and Sync Direction.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Individual OAuth Consent; Minimum Scopes; Disconnect and Deletion Controls.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Mapping and Geocoding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Only if Approved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Provider-Backed Routing, Restrict Features, or Use Reduced Manual / Approximate-Area Workflows.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Minimum Address Submission; Provider, Region, Cache, Retention, and Contract Disclosed.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Custom Domain and Organization Branding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Optional</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Choose Approved Name, Logo, Colors, and Verified Domain.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Implication of Affiliated Institution Endorsement without Written Authorization.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NFC / Device-Tap Confirmation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Future / Disabled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May Remain Disabled or Enter Separate Review for Approved Devices and Actions.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Silent Exchange of Contact, Location, Identity, or Ride Approval; Clear Confirmation Required.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Public Directory or Social Discovery</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Prohibited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No Organization Enablement Available.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Public Student Directory, Open Social Network, Broad Contact Search, or Public Ride Map.</w:t>
            </w:r>
          </w:p>
        </w:tc>
      </w:tr>
    </w:tbl>
    <w:p>
      <w:pPr>
        <w:spacing w:after="0"/>
      </w:pPr>
    </w:p>
    <w:p>
      <w:pPr>
        <w:pStyle w:val="Heading2"/>
      </w:pPr>
      <w:r>
        <w:t>AI, Funding, and Administration Controls</w:t>
      </w:r>
    </w:p>
    <w:tbl>
      <w:tblPr>
        <w:tblStyle w:val="TableGrid"/>
        <w:tblW w:type="dxa" w:w="9360"/>
        <w:tblLayout w:type="fixed"/>
        <w:tblLook w:firstColumn="1" w:firstRow="1" w:lastColumn="0" w:lastRow="0" w:noHBand="0" w:noVBand="1" w:val="04A0"/>
        <w:jc w:val="left"/>
        <w:tblInd w:w="120" w:type="dxa"/>
      </w:tblPr>
      <w:tblGrid>
        <w:gridCol w:w="1800"/>
        <w:gridCol w:w="1200"/>
        <w:gridCol w:w="3420"/>
        <w:gridCol w:w="2940"/>
      </w:tblGrid>
      <w:tr>
        <w:trPr>
          <w:cantSplit/>
          <w:tblHeader w:val="true"/>
        </w:trPr>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Feature</w:t>
            </w:r>
          </w:p>
        </w:tc>
        <w:tc>
          <w:tcPr>
            <w:tcW w:type="dxa" w:w="1200"/>
            <w:tcMar>
              <w:top w:w="80" w:type="dxa"/>
              <w:start w:w="120" w:type="dxa"/>
              <w:bottom w:w="80" w:type="dxa"/>
              <w:end w:w="120" w:type="dxa"/>
            </w:tcMar>
            <w:vAlign w:val="center"/>
            <w:shd w:fill="E8EEF5"/>
          </w:tcPr>
          <w:p>
            <w:pPr>
              <w:jc w:val="center"/>
            </w:pPr>
            <w:r>
              <w:rPr>
                <w:rFonts w:ascii="Calibri" w:hAnsi="Calibri"/>
                <w:b/>
                <w:color w:val="1F4D78"/>
                <w:sz w:val="14"/>
              </w:rPr>
              <w:t>Default</w:t>
            </w:r>
          </w:p>
        </w:tc>
        <w:tc>
          <w:tcPr>
            <w:tcW w:type="dxa" w:w="3420"/>
            <w:tcMar>
              <w:top w:w="80" w:type="dxa"/>
              <w:start w:w="120" w:type="dxa"/>
              <w:bottom w:w="80" w:type="dxa"/>
              <w:end w:w="120" w:type="dxa"/>
            </w:tcMar>
            <w:vAlign w:val="center"/>
            <w:shd w:fill="E8EEF5"/>
          </w:tcPr>
          <w:p>
            <w:pPr>
              <w:jc w:val="center"/>
            </w:pPr>
            <w:r>
              <w:rPr>
                <w:rFonts w:ascii="Calibri" w:hAnsi="Calibri"/>
                <w:b/>
                <w:color w:val="1F4D78"/>
                <w:sz w:val="14"/>
              </w:rPr>
              <w:t>Organization Control</w:t>
            </w:r>
          </w:p>
        </w:tc>
        <w:tc>
          <w:tcPr>
            <w:tcW w:type="dxa" w:w="2940"/>
            <w:tcMar>
              <w:top w:w="80" w:type="dxa"/>
              <w:start w:w="120" w:type="dxa"/>
              <w:bottom w:w="80" w:type="dxa"/>
              <w:end w:w="120" w:type="dxa"/>
            </w:tcMar>
            <w:vAlign w:val="center"/>
            <w:shd w:fill="E8EEF5"/>
          </w:tcPr>
          <w:p>
            <w:pPr>
              <w:jc w:val="center"/>
            </w:pPr>
            <w:r>
              <w:rPr>
                <w:rFonts w:ascii="Calibri" w:hAnsi="Calibri"/>
                <w:b/>
                <w:color w:val="1F4D78"/>
                <w:sz w:val="14"/>
              </w:rPr>
              <w:t>Mandatory Boundary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Open-Request AI Explanation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or Disable Independently After the AI Approval Gate.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Deterministic Eligibility Runs First; AI Cannot Rank Drivers, Reveal Routes, Approve Rides, or Decide Safety.</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Message Assistance</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or Disable Independently and Limit to Approved Transactional Intents.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Redacted Proposal Only; User Confirms Material Action; Deterministic Alternative Remains.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Support Drafting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for Named Support Roles or Keep Unavailable.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Human Review Before Sending; No Standing Content Browsing or Autonomous Response.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Aggregate Feedback Summary</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for Sufficiently Large, De-Identified Feedback Sets or Keep Unavailable.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Household / Minor Profiling, Sentiment Ranking, Small-Cell Disclosure, Advertising, or Model Training.</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Adult-User Contribution Prompts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for Baseline Pilot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Disable, Select Adult-Facing Placement, Frequency, and Suggested Amounts.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Voluntary; No Effect on Service, Matching, Support, Safety, or Feature Access.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Outside Sponsor Recognition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for Baseline Pilot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Approve Sponsors Individually; Enable, Restrict, or Disable Names / Logos and Approved Placement.</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Recognition Only; No Participant Data, Targeted Ads, Direct Contact, Matching Influence, or Child-Directed Ride-Screen Placement.</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Payment Processing</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with Contributions</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Only with an Approved Processor and Contribution Feature; Disable without Affecting Ride Service.</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Full Card Number or Security Code Stored by BandWagon; Receipt and Financial Retention Documented.</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Usage Budget and Cost Alerts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for Platform Owner</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Organization May Set an Operating Budget and Alerts at 50%, 75%, 90%, 95%, and 100% Where Metered Features Create Organization Costs.</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Platform-Wide Safety Caps Remain; Reaching a Limit Cannot Bypass Privacy Controls or Create an Undisclosed Charge.</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Aggregate Organization Analytics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Enabled / Minimized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Choose Approved Metrics, Reporting Audience, and Whether Optional Dashboards Are Disabled.</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De-Identified, Location Generalized, Minimum Group Size, and No Public or Sponsor Access.</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Administrative Exports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by Default</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Enable Limited Export Types for Named Roles or Keep All Bulk Exports Disabled.</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No Unrestricted Cross-Tenant, Precise-Location, Minor, Contact, Security, or Incident Export.</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Optional Profile and Ride Fields</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Disabled Unless Selected</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Choose Only Documented Fields Needed by the Organization; Disable Any Optional Field.</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Purpose, Validation, Visibility, Retention, and Deletion Must Be Defined Before Collection.</w:t>
            </w:r>
          </w:p>
        </w:tc>
      </w:tr>
      <w:tr>
        <w:trPr>
          <w:cantSplit/>
        </w:trPr>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Organization Pause / Shutdown</w:t>
            </w:r>
          </w:p>
        </w:tc>
        <w:tc>
          <w:tcPr>
            <w:tcW w:type="dxa" w:w="1200"/>
            <w:tcMar>
              <w:top w:w="80" w:type="dxa"/>
              <w:start w:w="120" w:type="dxa"/>
              <w:bottom w:w="80" w:type="dxa"/>
              <w:end w:w="120" w:type="dxa"/>
            </w:tcMar>
            <w:vAlign w:val="center"/>
          </w:tcPr>
          <w:p>
            <w:pPr>
              <w:spacing w:after="40" w:line="240" w:lineRule="auto"/>
            </w:pPr>
            <w:r>
              <w:rPr>
                <w:rFonts w:ascii="Calibri" w:hAnsi="Calibri"/>
                <w:color w:val="000000"/>
                <w:sz w:val="14"/>
              </w:rPr>
              <w:t>Available</w:t>
            </w:r>
          </w:p>
        </w:tc>
        <w:tc>
          <w:tcPr>
            <w:tcW w:type="dxa" w:w="3420"/>
            <w:tcMar>
              <w:top w:w="80" w:type="dxa"/>
              <w:start w:w="120" w:type="dxa"/>
              <w:bottom w:w="80" w:type="dxa"/>
              <w:end w:w="120" w:type="dxa"/>
            </w:tcMar>
            <w:vAlign w:val="center"/>
          </w:tcPr>
          <w:p>
            <w:pPr>
              <w:spacing w:after="40" w:line="240" w:lineRule="auto"/>
            </w:pPr>
            <w:r>
              <w:rPr>
                <w:rFonts w:ascii="Calibri" w:hAnsi="Calibri"/>
                <w:color w:val="000000"/>
                <w:sz w:val="14"/>
              </w:rPr>
              <w:t>Pause New Requests, Disable Selected Modules, Suspend Participation, or Close the Organization.</w:t>
            </w:r>
          </w:p>
        </w:tc>
        <w:tc>
          <w:tcPr>
            <w:tcW w:type="dxa" w:w="2940"/>
            <w:tcMar>
              <w:top w:w="80" w:type="dxa"/>
              <w:start w:w="120" w:type="dxa"/>
              <w:bottom w:w="80" w:type="dxa"/>
              <w:end w:w="120" w:type="dxa"/>
            </w:tcMar>
            <w:vAlign w:val="center"/>
          </w:tcPr>
          <w:p>
            <w:pPr>
              <w:spacing w:after="40" w:line="240" w:lineRule="auto"/>
            </w:pPr>
            <w:r>
              <w:rPr>
                <w:rFonts w:ascii="Calibri" w:hAnsi="Calibri"/>
                <w:color w:val="000000"/>
                <w:sz w:val="14"/>
              </w:rPr>
              <w:t>Incident Preservation, Required Notices, Deletion, Export, and Retention Obligations Still Apply.</w:t>
            </w:r>
          </w:p>
        </w:tc>
      </w:tr>
    </w:tbl>
    <w:p>
      <w:pPr>
        <w:spacing w:after="0"/>
      </w:pPr>
    </w:p>
    <w:p>
      <w:pPr>
        <w:pStyle w:val="Heading2"/>
      </w:pPr>
      <w:r>
        <w:t>Controls an Organization Cannot Disable</w:t>
      </w:r>
    </w:p>
    <w:tbl>
      <w:tblPr>
        <w:tblStyle w:val="TableGrid"/>
        <w:tblW w:type="dxa" w:w="9360"/>
        <w:tblLayout w:type="fixed"/>
        <w:tblLook w:firstColumn="1" w:firstRow="1" w:lastColumn="0" w:lastRow="0" w:noHBand="0" w:noVBand="1" w:val="04A0"/>
        <w:jc w:val="left"/>
        <w:tblInd w:w="120" w:type="dxa"/>
      </w:tblPr>
      <w:tblGrid>
        <w:gridCol w:w="3400"/>
        <w:gridCol w:w="5960"/>
      </w:tblGrid>
      <w:tr>
        <w:trPr>
          <w:cantSplit/>
          <w:tblHeader w:val="true"/>
        </w:trPr>
        <w:tc>
          <w:tcPr>
            <w:tcW w:type="dxa" w:w="3400"/>
            <w:tcMar>
              <w:top w:w="80" w:type="dxa"/>
              <w:start w:w="120" w:type="dxa"/>
              <w:bottom w:w="80" w:type="dxa"/>
              <w:end w:w="120" w:type="dxa"/>
            </w:tcMar>
            <w:vAlign w:val="center"/>
            <w:shd w:fill="E8EEF5"/>
          </w:tcPr>
          <w:p>
            <w:pPr>
              <w:jc w:val="center"/>
            </w:pPr>
            <w:r>
              <w:rPr>
                <w:rFonts w:ascii="Calibri" w:hAnsi="Calibri"/>
                <w:b/>
                <w:color w:val="1F4D78"/>
                <w:sz w:val="16"/>
              </w:rPr>
              <w:t>Required Control</w:t>
            </w:r>
          </w:p>
        </w:tc>
        <w:tc>
          <w:tcPr>
            <w:tcW w:type="dxa" w:w="5960"/>
            <w:tcMar>
              <w:top w:w="80" w:type="dxa"/>
              <w:start w:w="120" w:type="dxa"/>
              <w:bottom w:w="80" w:type="dxa"/>
              <w:end w:w="120" w:type="dxa"/>
            </w:tcMar>
            <w:vAlign w:val="center"/>
            <w:shd w:fill="E8EEF5"/>
          </w:tcPr>
          <w:p>
            <w:pPr>
              <w:jc w:val="center"/>
            </w:pPr>
            <w:r>
              <w:rPr>
                <w:rFonts w:ascii="Calibri" w:hAnsi="Calibri"/>
                <w:b/>
                <w:color w:val="1F4D78"/>
                <w:sz w:val="16"/>
              </w:rPr>
              <w:t>Why It Remains Mandatory</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Guardian Authority and Consent Records</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A Minor Cannot Override Parent / Guardian Control, and Material Notices and Permissions Must Remain Provable.</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Tenant Isolation, Role-Based Access, and Least Privilege</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One Organization or Administrator Cannot Browse Another Tenant or Receive Unrelated Household, Ride, or Security Data.</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Encryption, Approved U.S. Data Posture, and Secret Protection</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Security and Residency Requirements Protect Every Organization and Are Not Optional Convenience Settings.</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Exact-Location Disclosure Gates and No Live GPS Tracking</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Approximate Discovery and Confirmed-Match Boundaries Prevent Premature Location Exposure.</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No Data Sale, Behavioral Advertising, or Sponsor Data Access</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The Funding Model Cannot Convert Participant Information into a Product or Targeted Audience.</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User Communication Choices and STOP / HELP Controls</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An Organization Cannot Override Required Consent, Opt-Out, Channel, and Preference Controls.</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Audit Logging, Incident Response, Blocking, and Privacy-Request Handling</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Accountability, Safety Escalation, Access / Correction / Deletion, and Evidence Preservation Remain Available.</w:t>
            </w:r>
          </w:p>
        </w:tc>
      </w:tr>
      <w:tr>
        <w:trPr>
          <w:cantSplit/>
        </w:trPr>
        <w:tc>
          <w:tcPr>
            <w:tcW w:type="dxa" w:w="3400"/>
            <w:tcMar>
              <w:top w:w="80" w:type="dxa"/>
              <w:start w:w="120" w:type="dxa"/>
              <w:bottom w:w="80" w:type="dxa"/>
              <w:end w:w="120" w:type="dxa"/>
            </w:tcMar>
            <w:vAlign w:val="center"/>
          </w:tcPr>
          <w:p>
            <w:pPr>
              <w:spacing w:after="40" w:line="240" w:lineRule="auto"/>
            </w:pPr>
            <w:r>
              <w:rPr>
                <w:rFonts w:ascii="Calibri" w:hAnsi="Calibri"/>
                <w:color w:val="000000"/>
                <w:sz w:val="16"/>
              </w:rPr>
              <w:t>Approved Retention, Deletion, and Legal-Hold Boundaries</w:t>
            </w:r>
          </w:p>
        </w:tc>
        <w:tc>
          <w:tcPr>
            <w:tcW w:type="dxa" w:w="5960"/>
            <w:tcMar>
              <w:top w:w="80" w:type="dxa"/>
              <w:start w:w="120" w:type="dxa"/>
              <w:bottom w:w="80" w:type="dxa"/>
              <w:end w:w="120" w:type="dxa"/>
            </w:tcMar>
            <w:vAlign w:val="center"/>
          </w:tcPr>
          <w:p>
            <w:pPr>
              <w:spacing w:after="40" w:line="240" w:lineRule="auto"/>
            </w:pPr>
            <w:r>
              <w:rPr>
                <w:rFonts w:ascii="Calibri" w:hAnsi="Calibri"/>
                <w:color w:val="000000"/>
                <w:sz w:val="16"/>
              </w:rPr>
              <w:t>An Organization May Choose a Shorter Approved Period, but Cannot Silently Retain Data Longer or Bypass Required Deletion.</w:t>
            </w:r>
          </w:p>
        </w:tc>
      </w:tr>
    </w:tbl>
    <w:p>
      <w:pPr>
        <w:pageBreakBefore/>
        <w:spacing w:after="80"/>
      </w:pPr>
      <w:r>
        <w:rPr>
          <w:rFonts w:ascii="Calibri" w:hAnsi="Calibri"/>
          <w:b/>
          <w:color w:val="5C6B7A"/>
          <w:sz w:val="18"/>
        </w:rPr>
        <w:t>REVIEW 1</w:t>
      </w:r>
    </w:p>
    <w:p>
      <w:pPr>
        <w:pStyle w:val="Heading1"/>
      </w:pPr>
      <w:r>
        <w:t>Organization Governing Body Review</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40"/>
            </w:pPr>
            <w:r>
              <w:rPr>
                <w:rFonts w:ascii="Calibri" w:hAnsi="Calibri"/>
                <w:b/>
                <w:color w:val="1F4D78"/>
              </w:rPr>
              <w:t xml:space="preserve">Requested Review: </w:t>
            </w:r>
            <w:r>
              <w:rPr>
                <w:rFonts w:ascii="Calibri" w:hAnsi="Calibri"/>
                <w:color w:val="000000"/>
              </w:rPr>
              <w:t>Consider Whether the Organization Should Sponsor a Limited, No-Cost Pilot, Subject to Program-Owner, Host-Site, Applicable Technology / Data Privacy, and Risk / Transportation / Insurer Conditions. The Governing Body Should Record Its Official Action in Its Own Minutes, Resolution, Ticket, or Approval Record and Attach That Record to This Proposal.</w:t>
            </w:r>
          </w:p>
        </w:tc>
      </w:tr>
    </w:tbl>
    <w:p>
      <w:pPr>
        <w:spacing w:after="0"/>
      </w:pPr>
    </w:p>
    <w:p>
      <w:pPr>
        <w:pStyle w:val="Heading2"/>
      </w:pPr>
      <w:r>
        <w:t>Board Findings</w:t>
      </w:r>
    </w:p>
    <w:p>
      <w:pPr>
        <w:pStyle w:val="ListBullet"/>
      </w:pPr>
      <w:r>
        <w:t>Transportation Gaps Are Already Being Resolved Informally Through Private Texts, Social Posts, and Volunteer Coordination.</w:t>
      </w:r>
    </w:p>
    <w:p>
      <w:pPr>
        <w:pStyle w:val="ListBullet"/>
      </w:pPr>
      <w:r>
        <w:t>A Structured Tool May Reduce Unnecessary Disclosure of Addresses and Phone Numbers and Make It Easier to Confirm Whether a Request Was Filled.</w:t>
      </w:r>
    </w:p>
    <w:p>
      <w:pPr>
        <w:pStyle w:val="ListBullet"/>
      </w:pPr>
      <w:r>
        <w:t>Participation Will Be Voluntary and Parent Initiated.</w:t>
      </w:r>
    </w:p>
    <w:p>
      <w:pPr>
        <w:pStyle w:val="ListBullet"/>
      </w:pPr>
      <w:r>
        <w:t>The Organization Will Not Obtain or Provide Affiliated Institution Education Records, Rosters, Passwords, Student IDs, Grades, Attendance, or Official Transportation Data.</w:t>
      </w:r>
    </w:p>
    <w:p>
      <w:pPr>
        <w:pStyle w:val="ListBullet"/>
      </w:pPr>
      <w:r>
        <w:t>The Pilot Will Use Adult Parent / Guardian Drivers Only Unless a Later Written Approval Expands the Driver Population.</w:t>
      </w:r>
    </w:p>
    <w:p>
      <w:pPr>
        <w:pStyle w:val="ListBullet"/>
      </w:pPr>
      <w:r>
        <w:t>The Board Recognizes That Organization Activities Remain Subordinate to Affiliated Institution, Host Site, Applicable Program Rules, and Program Requirements.</w:t>
      </w:r>
    </w:p>
    <w:p>
      <w:pPr>
        <w:pStyle w:val="ListBullet"/>
      </w:pPr>
      <w:r>
        <w:t>Any Relationship Between Harrison Ward Technology Personnel and the Participating Organization Has Been Disclosed Through the Governing Body’s Normal Conflict Process.</w:t>
      </w:r>
    </w:p>
    <w:p>
      <w:pPr>
        <w:pStyle w:val="Heading2"/>
      </w:pPr>
      <w:r>
        <w:t>Suggested Board Motion - Optional Reference</w:t>
      </w:r>
    </w:p>
    <w:p>
      <w:pPr>
        <w:pStyle w:val="SmallNote"/>
      </w:pPr>
      <w:r>
        <w:t>The board should use its own agenda, motion, minutes, and approval format. The following language is only a drafting aid and does not become an official board action unless adopted and recorded through the board’s normal process.</w:t>
      </w:r>
    </w:p>
    <w:p>
      <w:r>
        <w:t>Resolved, that the Participating organization authorizes its officers to submit the BandWagon / Organization-branded BandWagon instance limited pilot proposal for review by the program director / sponsor, Host-site administrator, and the Affiliated institution or governing authority departments identified by the host-site administrator; further resolved, that no organization-wide launch will occur until the required approvals and conditions are documented; further resolved, that the initial pilot will be voluntary, parent initiated, adult-driver only, free to participating families and the organization, and conducted without the transfer of affiliated institution student records; further resolved, that Organization contribution prompts and sponsor recognition remain disabled unless separately approved by the board; and further resolved, that any required fee, paid contract, targeted advertising, exclusive sponsorship, or material expansion will return to the board for separate approval.</w:t>
      </w:r>
    </w:p>
    <w:p>
      <w:pPr>
        <w:pStyle w:val="Heading2"/>
      </w:pPr>
      <w:r>
        <w:t>Required Board Assignments</w:t>
      </w:r>
    </w:p>
    <w:tbl>
      <w:tblPr>
        <w:tblStyle w:val="TableGrid"/>
        <w:tblW w:type="dxa" w:w="9360"/>
        <w:tblLayout w:type="fixed"/>
        <w:tblLook w:firstColumn="1" w:firstRow="1" w:lastColumn="0" w:lastRow="0" w:noHBand="0" w:noVBand="1" w:val="04A0"/>
        <w:jc w:val="left"/>
        <w:tblInd w:w="120" w:type="dxa"/>
      </w:tblPr>
      <w:tblGrid>
        <w:gridCol w:w="1850"/>
        <w:gridCol w:w="2300"/>
        <w:gridCol w:w="5210"/>
      </w:tblGrid>
      <w:tr>
        <w:trPr>
          <w:cantSplit/>
          <w:tblHeader w:val="true"/>
        </w:trPr>
        <w:tc>
          <w:tcPr>
            <w:tcW w:type="dxa" w:w="1850"/>
            <w:tcMar>
              <w:top w:w="80" w:type="dxa"/>
              <w:start w:w="120" w:type="dxa"/>
              <w:bottom w:w="80" w:type="dxa"/>
              <w:end w:w="120" w:type="dxa"/>
            </w:tcMar>
            <w:vAlign w:val="center"/>
            <w:shd w:fill="E8EEF5"/>
          </w:tcPr>
          <w:p>
            <w:pPr>
              <w:jc w:val="center"/>
            </w:pPr>
            <w:r>
              <w:rPr>
                <w:rFonts w:ascii="Calibri" w:hAnsi="Calibri"/>
                <w:b/>
                <w:color w:val="1F4D78"/>
                <w:sz w:val="17"/>
              </w:rPr>
              <w:t>Role</w:t>
            </w:r>
          </w:p>
        </w:tc>
        <w:tc>
          <w:tcPr>
            <w:tcW w:type="dxa" w:w="2300"/>
            <w:tcMar>
              <w:top w:w="80" w:type="dxa"/>
              <w:start w:w="120" w:type="dxa"/>
              <w:bottom w:w="80" w:type="dxa"/>
              <w:end w:w="120" w:type="dxa"/>
            </w:tcMar>
            <w:vAlign w:val="center"/>
            <w:shd w:fill="E8EEF5"/>
          </w:tcPr>
          <w:p>
            <w:pPr>
              <w:jc w:val="center"/>
            </w:pPr>
            <w:r>
              <w:rPr>
                <w:rFonts w:ascii="Calibri" w:hAnsi="Calibri"/>
                <w:b/>
                <w:color w:val="1F4D78"/>
                <w:sz w:val="17"/>
              </w:rPr>
              <w:t>Named Person</w:t>
            </w:r>
          </w:p>
        </w:tc>
        <w:tc>
          <w:tcPr>
            <w:tcW w:type="dxa" w:w="5210"/>
            <w:tcMar>
              <w:top w:w="80" w:type="dxa"/>
              <w:start w:w="120" w:type="dxa"/>
              <w:bottom w:w="80" w:type="dxa"/>
              <w:end w:w="120" w:type="dxa"/>
            </w:tcMar>
            <w:vAlign w:val="center"/>
            <w:shd w:fill="E8EEF5"/>
          </w:tcPr>
          <w:p>
            <w:pPr>
              <w:jc w:val="center"/>
            </w:pPr>
            <w:r>
              <w:rPr>
                <w:rFonts w:ascii="Calibri" w:hAnsi="Calibri"/>
                <w:b/>
                <w:color w:val="1F4D78"/>
                <w:sz w:val="17"/>
              </w:rPr>
              <w:t>Responsibility</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Executive Owner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Owns the Decision File and Reports to the Organization Governing Body.</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Operational Admin</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Manages Organization Membership and Only the Minimum Required Information.</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Privacy Contact</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Receives Parent Privacy and Deletion Requests.</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Safety Escalation Contact</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Receives Ride Safety Reports and May Suspend Participation.</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Funding / Finance Owner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Owns Approved Contribution and Sponsor Settings, Reconciliation, Disclosures, and Conflict Controls.</w:t>
            </w:r>
          </w:p>
        </w:tc>
      </w:tr>
      <w:tr>
        <w:trPr>
          <w:cantSplit/>
        </w:trPr>
        <w:tc>
          <w:tcPr>
            <w:tcW w:type="dxa" w:w="1850"/>
            <w:tcMar>
              <w:top w:w="80" w:type="dxa"/>
              <w:start w:w="120" w:type="dxa"/>
              <w:bottom w:w="80" w:type="dxa"/>
              <w:end w:w="120" w:type="dxa"/>
            </w:tcMar>
            <w:vAlign w:val="center"/>
          </w:tcPr>
          <w:p>
            <w:pPr>
              <w:spacing w:after="40" w:line="240" w:lineRule="auto"/>
            </w:pPr>
            <w:r>
              <w:rPr>
                <w:rFonts w:ascii="Calibri" w:hAnsi="Calibri"/>
                <w:color w:val="000000"/>
                <w:sz w:val="17"/>
              </w:rPr>
              <w:t>Technical Operator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7"/>
              </w:rPr>
              <w:t>Harrison Ward Technology</w:t>
            </w:r>
          </w:p>
        </w:tc>
        <w:tc>
          <w:tcPr>
            <w:tcW w:type="dxa" w:w="5210"/>
            <w:tcMar>
              <w:top w:w="80" w:type="dxa"/>
              <w:start w:w="120" w:type="dxa"/>
              <w:bottom w:w="80" w:type="dxa"/>
              <w:end w:w="120" w:type="dxa"/>
            </w:tcMar>
            <w:vAlign w:val="center"/>
          </w:tcPr>
          <w:p>
            <w:pPr>
              <w:spacing w:after="40" w:line="240" w:lineRule="auto"/>
            </w:pPr>
            <w:r>
              <w:rPr>
                <w:rFonts w:ascii="Calibri" w:hAnsi="Calibri"/>
                <w:color w:val="000000"/>
                <w:sz w:val="17"/>
              </w:rPr>
              <w:t>Operates the Platform, Security, Backups, Support, and Incident Response.</w:t>
            </w:r>
          </w:p>
        </w:tc>
      </w:tr>
    </w:tbl>
    <w:p>
      <w:pPr>
        <w:spacing w:after="0"/>
      </w:pP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Organization Governing Body / Authorized Officers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Approve Submission and Conditional Sponsorship of the Limited Pilot.</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Record Vote, Recusals, Named Owners, Pilot Scope, and Any Budget Authorization in Meeting Minutes.</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REVIEW 2</w:t>
      </w:r>
    </w:p>
    <w:p>
      <w:pPr>
        <w:pStyle w:val="Heading1"/>
      </w:pPr>
      <w:r>
        <w:t>Program Director / Organization Sponsor Review</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40"/>
            </w:pPr>
            <w:r>
              <w:rPr>
                <w:rFonts w:ascii="Calibri" w:hAnsi="Calibri"/>
                <w:b/>
                <w:color w:val="1F4D78"/>
              </w:rPr>
              <w:t xml:space="preserve">Requested Review: </w:t>
            </w:r>
            <w:r>
              <w:rPr>
                <w:rFonts w:ascii="Calibri" w:hAnsi="Calibri"/>
                <w:color w:val="000000"/>
              </w:rPr>
              <w:t>Provide the Program’s Official Response on Whether the Proposed Pilot Supports the Program and Whether Any Conditions Are Needed to Protect Director Authority, Official Schedules, Student Participation Decisions, and Affiliated Institution Transportation.</w:t>
            </w:r>
          </w:p>
        </w:tc>
      </w:tr>
    </w:tbl>
    <w:p>
      <w:pPr>
        <w:spacing w:after="0"/>
      </w:pPr>
    </w:p>
    <w:p>
      <w:pPr>
        <w:pStyle w:val="Heading2"/>
      </w:pPr>
      <w:r>
        <w:t>Staff Boundaries</w:t>
      </w:r>
    </w:p>
    <w:p>
      <w:pPr>
        <w:pStyle w:val="ListBullet"/>
      </w:pPr>
      <w:r>
        <w:t>Directors and Affiliated Institution Staff Are Advisory Participants, Not Organization Governing Body Members or Voting Officers.</w:t>
      </w:r>
    </w:p>
    <w:p>
      <w:pPr>
        <w:pStyle w:val="ListBullet"/>
      </w:pPr>
      <w:r>
        <w:t>Staff Do Not Select Drivers, Guarantee Rides, Adjudicate Routine Matches, or Supply Student Contact Data.</w:t>
      </w:r>
    </w:p>
    <w:p>
      <w:pPr>
        <w:pStyle w:val="ListBullet"/>
      </w:pPr>
      <w:r>
        <w:t>The Application Does Not Alter Schedules, Attendance Expectations, Eligibility, Trip Plans, or Official Transportation Decisions.</w:t>
      </w:r>
    </w:p>
    <w:p>
      <w:pPr>
        <w:pStyle w:val="ListBullet"/>
      </w:pPr>
      <w:r>
        <w:t>Participation or Non-Participation Has No Effect on a Student’s Standing in the Participating Program.</w:t>
      </w:r>
    </w:p>
    <w:p>
      <w:pPr>
        <w:pStyle w:val="ListBullet"/>
      </w:pPr>
      <w:r>
        <w:t>Official Changes and Emergency Instructions Continue Through Institution-Approved Communication Channels.</w:t>
      </w:r>
    </w:p>
    <w:p>
      <w:pPr>
        <w:pStyle w:val="ListBullet"/>
      </w:pPr>
      <w:r>
        <w:t>BandWagon Notifications Are Supplemental and Asynchronous; Students Are Not Expected to Use Personal Devices During the Instructional Day.</w:t>
      </w:r>
    </w:p>
    <w:p>
      <w:pPr>
        <w:pStyle w:val="ListBullet"/>
      </w:pPr>
      <w:r>
        <w:t>The Director May Request Immediate Suspension of the Pilot for a Program, Safety, or Policy Concern Pending Review by the Host-Site Administrator and Pilot Owner.</w:t>
      </w:r>
    </w:p>
    <w:p>
      <w:pPr>
        <w:pStyle w:val="Heading2"/>
      </w:pPr>
      <w:r>
        <w:t>Director Questions to Resolve</w:t>
      </w:r>
    </w:p>
    <w:tbl>
      <w:tblPr>
        <w:tblStyle w:val="TableGrid"/>
        <w:tblW w:type="dxa" w:w="9360"/>
        <w:tblLayout w:type="fixed"/>
        <w:tblLook w:firstColumn="1" w:firstRow="1" w:lastColumn="0" w:lastRow="0" w:noHBand="0" w:noVBand="1" w:val="04A0"/>
        <w:jc w:val="left"/>
        <w:tblInd w:w="120" w:type="dxa"/>
      </w:tblPr>
      <w:tblGrid>
        <w:gridCol w:w="5100"/>
        <w:gridCol w:w="4260"/>
      </w:tblGrid>
      <w:tr>
        <w:trPr>
          <w:cantSplit/>
          <w:tblHeader w:val="true"/>
        </w:trPr>
        <w:tc>
          <w:tcPr>
            <w:tcW w:type="dxa" w:w="5100"/>
            <w:tcMar>
              <w:top w:w="80" w:type="dxa"/>
              <w:start w:w="120" w:type="dxa"/>
              <w:bottom w:w="80" w:type="dxa"/>
              <w:end w:w="120" w:type="dxa"/>
            </w:tcMar>
            <w:vAlign w:val="center"/>
            <w:shd w:fill="E8EEF5"/>
          </w:tcPr>
          <w:p>
            <w:pPr>
              <w:jc w:val="center"/>
            </w:pPr>
            <w:r>
              <w:rPr>
                <w:rFonts w:ascii="Calibri" w:hAnsi="Calibri"/>
                <w:b/>
                <w:color w:val="1F4D78"/>
                <w:sz w:val="17"/>
              </w:rPr>
              <w:t>Question</w:t>
            </w:r>
          </w:p>
        </w:tc>
        <w:tc>
          <w:tcPr>
            <w:tcW w:type="dxa" w:w="4260"/>
            <w:tcMar>
              <w:top w:w="80" w:type="dxa"/>
              <w:start w:w="120" w:type="dxa"/>
              <w:bottom w:w="80" w:type="dxa"/>
              <w:end w:w="120" w:type="dxa"/>
            </w:tcMar>
            <w:vAlign w:val="center"/>
            <w:shd w:fill="E8EEF5"/>
          </w:tcPr>
          <w:p>
            <w:pPr>
              <w:jc w:val="center"/>
            </w:pPr>
            <w:r>
              <w:rPr>
                <w:rFonts w:ascii="Calibri" w:hAnsi="Calibri"/>
                <w:b/>
                <w:color w:val="1F4D78"/>
                <w:sz w:val="17"/>
              </w:rPr>
              <w:t>Response / Condition</w:t>
            </w:r>
          </w:p>
        </w:tc>
      </w:tr>
      <w:tr>
        <w:trPr>
          <w:cantSplit/>
        </w:trPr>
        <w:tc>
          <w:tcPr>
            <w:tcW w:type="dxa" w:w="5100"/>
            <w:tcMar>
              <w:top w:w="80" w:type="dxa"/>
              <w:start w:w="120" w:type="dxa"/>
              <w:bottom w:w="80" w:type="dxa"/>
              <w:end w:w="120" w:type="dxa"/>
            </w:tcMar>
            <w:vAlign w:val="center"/>
          </w:tcPr>
          <w:p>
            <w:pPr>
              <w:spacing w:after="40" w:line="240" w:lineRule="auto"/>
            </w:pPr>
            <w:r>
              <w:rPr>
                <w:rFonts w:ascii="Calibri" w:hAnsi="Calibri"/>
                <w:color w:val="000000"/>
                <w:sz w:val="17"/>
              </w:rPr>
              <w:t>Which Event Types May Be Included in the Pilot?</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5100"/>
            <w:tcMar>
              <w:top w:w="80" w:type="dxa"/>
              <w:start w:w="120" w:type="dxa"/>
              <w:bottom w:w="80" w:type="dxa"/>
              <w:end w:w="120" w:type="dxa"/>
            </w:tcMar>
            <w:vAlign w:val="center"/>
          </w:tcPr>
          <w:p>
            <w:pPr>
              <w:spacing w:after="40" w:line="240" w:lineRule="auto"/>
            </w:pPr>
            <w:r>
              <w:rPr>
                <w:rFonts w:ascii="Calibri" w:hAnsi="Calibri"/>
                <w:color w:val="000000"/>
                <w:sz w:val="17"/>
              </w:rPr>
              <w:t>May Public Program Calendar Information Be Imported, or Must Events Be Entered Manually?</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5100"/>
            <w:tcMar>
              <w:top w:w="80" w:type="dxa"/>
              <w:start w:w="120" w:type="dxa"/>
              <w:bottom w:w="80" w:type="dxa"/>
              <w:end w:w="120" w:type="dxa"/>
            </w:tcMar>
            <w:vAlign w:val="center"/>
          </w:tcPr>
          <w:p>
            <w:pPr>
              <w:spacing w:after="40" w:line="240" w:lineRule="auto"/>
            </w:pPr>
            <w:r>
              <w:rPr>
                <w:rFonts w:ascii="Calibri" w:hAnsi="Calibri"/>
                <w:color w:val="000000"/>
                <w:sz w:val="17"/>
              </w:rPr>
              <w:t>May the Organization Promote the Pilot Through Its Existing Email / Social Channels?</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5100"/>
            <w:tcMar>
              <w:top w:w="80" w:type="dxa"/>
              <w:start w:w="120" w:type="dxa"/>
              <w:bottom w:w="80" w:type="dxa"/>
              <w:end w:w="120" w:type="dxa"/>
            </w:tcMar>
            <w:vAlign w:val="center"/>
          </w:tcPr>
          <w:p>
            <w:pPr>
              <w:spacing w:after="40" w:line="240" w:lineRule="auto"/>
            </w:pPr>
            <w:r>
              <w:rPr>
                <w:rFonts w:ascii="Calibri" w:hAnsi="Calibri"/>
                <w:color w:val="000000"/>
                <w:sz w:val="17"/>
              </w:rPr>
              <w:t>Will Staff Have Any Account or Dashboard Access?</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7"/>
              </w:rPr>
              <w:t>Recommended: No Administrative Access Unless Specifically Required and Approved.</w:t>
            </w:r>
          </w:p>
        </w:tc>
      </w:tr>
      <w:tr>
        <w:trPr>
          <w:cantSplit/>
        </w:trPr>
        <w:tc>
          <w:tcPr>
            <w:tcW w:type="dxa" w:w="5100"/>
            <w:tcMar>
              <w:top w:w="80" w:type="dxa"/>
              <w:start w:w="120" w:type="dxa"/>
              <w:bottom w:w="80" w:type="dxa"/>
              <w:end w:w="120" w:type="dxa"/>
            </w:tcMar>
            <w:vAlign w:val="center"/>
          </w:tcPr>
          <w:p>
            <w:pPr>
              <w:spacing w:after="40" w:line="240" w:lineRule="auto"/>
            </w:pPr>
            <w:r>
              <w:rPr>
                <w:rFonts w:ascii="Calibri" w:hAnsi="Calibri"/>
                <w:color w:val="000000"/>
                <w:sz w:val="17"/>
              </w:rPr>
              <w:t>What Is the Escalation Path for a Missed Ride or Safety Concern?</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7"/>
              </w:rPr>
              <w:t>Parent / Guardian First; 911 for Emergencies; Named Organization Safety Contact for Program Follow-Up.</w:t>
            </w:r>
          </w:p>
        </w:tc>
      </w:tr>
    </w:tbl>
    <w:p>
      <w:pPr>
        <w:spacing w:after="0"/>
      </w:pP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Program Owner / Designated Sponsor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Support Forwarding the Limited Pilot for Host-Site and Applicable External Review.</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Identify Allowed Event Scope, Communication Channel, and Any Program-Specific Restrictions.</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REVIEW 3</w:t>
      </w:r>
    </w:p>
    <w:p>
      <w:pPr>
        <w:pStyle w:val="Heading1"/>
      </w:pPr>
      <w:r>
        <w:t>Host-Site Administrator Review</w:t>
      </w:r>
    </w:p>
    <w:p>
      <w:r>
        <w:t>Approval Profile 1 treats host-site direction as required when a participating organization uses an institution’s name, staff, facilities, participant group, systems, or activity schedule. The host-site administrator should determine whether institution-level technology, privacy, risk, transportation, volunteer, legal, or insurance routing is also required, even when the proposed rides remain private parent arrangements.</w:t>
      </w:r>
    </w:p>
    <w:p>
      <w:pPr>
        <w:pStyle w:val="Heading2"/>
      </w:pPr>
      <w:r>
        <w:t>Requested Host Site Determinations</w:t>
      </w:r>
    </w:p>
    <w:tbl>
      <w:tblPr>
        <w:tblStyle w:val="TableGrid"/>
        <w:tblW w:type="dxa" w:w="9360"/>
        <w:tblLayout w:type="fixed"/>
        <w:tblLook w:firstColumn="1" w:firstRow="1" w:lastColumn="0" w:lastRow="0" w:noHBand="0" w:noVBand="1" w:val="04A0"/>
        <w:jc w:val="left"/>
        <w:tblInd w:w="120" w:type="dxa"/>
      </w:tblPr>
      <w:tblGrid>
        <w:gridCol w:w="2200"/>
        <w:gridCol w:w="4300"/>
        <w:gridCol w:w="2860"/>
      </w:tblGrid>
      <w:tr>
        <w:trPr>
          <w:cantSplit/>
          <w:tblHeader w:val="true"/>
        </w:trPr>
        <w:tc>
          <w:tcPr>
            <w:tcW w:type="dxa" w:w="2200"/>
            <w:tcMar>
              <w:top w:w="80" w:type="dxa"/>
              <w:start w:w="120" w:type="dxa"/>
              <w:bottom w:w="80" w:type="dxa"/>
              <w:end w:w="120" w:type="dxa"/>
            </w:tcMar>
            <w:vAlign w:val="center"/>
            <w:shd w:fill="E8EEF5"/>
          </w:tcPr>
          <w:p>
            <w:pPr>
              <w:jc w:val="center"/>
            </w:pPr>
            <w:r>
              <w:rPr>
                <w:rFonts w:ascii="Calibri" w:hAnsi="Calibri"/>
                <w:b/>
                <w:color w:val="1F4D78"/>
                <w:sz w:val="16"/>
              </w:rPr>
              <w:t>Topic</w:t>
            </w:r>
          </w:p>
        </w:tc>
        <w:tc>
          <w:tcPr>
            <w:tcW w:type="dxa" w:w="4300"/>
            <w:tcMar>
              <w:top w:w="80" w:type="dxa"/>
              <w:start w:w="120" w:type="dxa"/>
              <w:bottom w:w="80" w:type="dxa"/>
              <w:end w:w="120" w:type="dxa"/>
            </w:tcMar>
            <w:vAlign w:val="center"/>
            <w:shd w:fill="E8EEF5"/>
          </w:tcPr>
          <w:p>
            <w:pPr>
              <w:jc w:val="center"/>
            </w:pPr>
            <w:r>
              <w:rPr>
                <w:rFonts w:ascii="Calibri" w:hAnsi="Calibri"/>
                <w:b/>
                <w:color w:val="1F4D78"/>
                <w:sz w:val="16"/>
              </w:rPr>
              <w:t>Proposed Treatment</w:t>
            </w:r>
          </w:p>
        </w:tc>
        <w:tc>
          <w:tcPr>
            <w:tcW w:type="dxa" w:w="2860"/>
            <w:tcMar>
              <w:top w:w="80" w:type="dxa"/>
              <w:start w:w="120" w:type="dxa"/>
              <w:bottom w:w="80" w:type="dxa"/>
              <w:end w:w="120" w:type="dxa"/>
            </w:tcMar>
            <w:vAlign w:val="center"/>
            <w:shd w:fill="E8EEF5"/>
          </w:tcPr>
          <w:p>
            <w:pPr>
              <w:jc w:val="center"/>
            </w:pPr>
            <w:r>
              <w:rPr>
                <w:rFonts w:ascii="Calibri" w:hAnsi="Calibri"/>
                <w:b/>
                <w:color w:val="1F4D78"/>
                <w:sz w:val="16"/>
              </w:rPr>
              <w:t>Host-Site Administrator Direction</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Organization Activity Status</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Treat as a Organization-Sponsored Limited Pilot.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Official Transportation</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Not District Transportation; No Replacement of Buses or Approved Travel Plans.</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Student Records</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No Affiliated Institution Roster or Records Supplied to the Service.</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Student Device Use</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No Required Student Use During the School Day; Parent Use Is Primary.</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Promotion</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Organization-Managed Invitation That Clearly States Voluntary Participation and Non-Endorsement.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Adult Drivers</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Adult Parent / Guardian Drivers Only for Pilot.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Student Drivers</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Disabled for Pilot.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6"/>
              </w:rPr>
              <w:t>Affiliated Institution Review Routing</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6"/>
              </w:rPr>
              <w:t>Refer to Technology / Data Privacy and Risk Management / Transportation.</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bl>
    <w:p>
      <w:pPr>
        <w:spacing w:after="0"/>
      </w:pPr>
    </w:p>
    <w:p>
      <w:pPr>
        <w:pStyle w:val="Heading2"/>
      </w:pPr>
      <w:r>
        <w:t>Non-Endorsement Language</w:t>
      </w:r>
    </w:p>
    <w:p>
      <w:r>
        <w:t>Proposed wording: “Organization-branded BandWagon instance is a voluntary parent-to-parent coordination service powered by BandWagon. It is not operated by Affiliated institution or governing authority, is not affiliated institution transportation, and is not required for participation in the Participating program. Parents and guardians remain responsible for evaluating and approving transportation arrangements for their students.”</w:t>
      </w:r>
    </w:p>
    <w:p>
      <w:pPr>
        <w:pStyle w:val="Heading2"/>
      </w:pPr>
      <w:r>
        <w:t>Conditions Recommended Before Host Site Authorization</w:t>
      </w:r>
    </w:p>
    <w:p>
      <w:pPr>
        <w:pStyle w:val="ListBullet"/>
      </w:pPr>
      <w:r>
        <w:t>Organization Governing Body Resolution and Conflict Disclosure Are on File.</w:t>
      </w:r>
    </w:p>
    <w:p>
      <w:pPr>
        <w:pStyle w:val="ListBullet"/>
      </w:pPr>
      <w:r>
        <w:t>Program Director / Sponsor Has Reviewed the Program Boundaries.</w:t>
      </w:r>
    </w:p>
    <w:p>
      <w:pPr>
        <w:pStyle w:val="ListBullet"/>
      </w:pPr>
      <w:r>
        <w:t>Technology Reviewer / Data Privacy Has Been Offered the Technical and Data Schedule and Has Stated Whether a DPA or Other Review Is Required.</w:t>
      </w:r>
    </w:p>
    <w:p>
      <w:pPr>
        <w:pStyle w:val="ListBullet"/>
      </w:pPr>
      <w:r>
        <w:t>Affiliated Institution Risk Management / Transportation Has Stated Whether Approved Volunteer-Screening Provider Background Checks, Driver-License Checks, Insurance Verification, or District Forms Are Required.</w:t>
      </w:r>
    </w:p>
    <w:p>
      <w:pPr>
        <w:pStyle w:val="ListBullet"/>
      </w:pPr>
      <w:r>
        <w:t>Parent-Facing Privacy Notice, Terms, Consent, SMS Disclosures, and Transportation Disclaimer Are Final and Match the Actual Application.</w:t>
      </w:r>
    </w:p>
    <w:p>
      <w:pPr>
        <w:pStyle w:val="ListBullet"/>
      </w:pPr>
      <w:r>
        <w:t>The Pre-Launch Security and Role-Access Checklist Is Complete.</w:t>
      </w: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Host-Site Administrator / Designee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Approve the Limited Organization-Sponsored Pilot or Route It for Additional Affiliated Institution Review.</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Document Required Departments, Forms, Scope Restrictions, Communication Restrictions, and Suspension Authority.</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REVIEW 4</w:t>
      </w:r>
    </w:p>
    <w:p>
      <w:pPr>
        <w:pStyle w:val="Heading1"/>
      </w:pPr>
      <w:r>
        <w:t>Technology and Data Privacy Review</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Primary Design Choice: </w:t>
            </w:r>
            <w:r>
              <w:rPr>
                <w:rFonts w:ascii="Calibri" w:hAnsi="Calibri"/>
                <w:color w:val="000000"/>
              </w:rPr>
              <w:t>The Pilot Intentionally Avoids Institution-Held Education Records. Accounts Are Created Voluntarily by Parents, Not Provisioned from District Data. This Reduces FERPA Exposure but Does Not Remove the Need to Review Privacy, Security, Minors, Vendor Operations, Domain Access, and Any Future District Adoption.</w:t>
            </w:r>
          </w:p>
        </w:tc>
      </w:tr>
    </w:tbl>
    <w:p>
      <w:pPr>
        <w:spacing w:after="0"/>
      </w:pPr>
    </w:p>
    <w:p>
      <w:pPr>
        <w:pStyle w:val="Heading2"/>
      </w:pPr>
      <w:r>
        <w:t>Requested Determinations</w:t>
      </w:r>
    </w:p>
    <w:p>
      <w:pPr>
        <w:pStyle w:val="ListBullet"/>
      </w:pPr>
      <w:r>
        <w:t>Does Affiliated Institution Consider This a District-Adopted Third-Party Resource, a Host Site-Approved Organization Activity, or an Independent Parent Service?</w:t>
      </w:r>
    </w:p>
    <w:p>
      <w:pPr>
        <w:pStyle w:val="ListBullet"/>
      </w:pPr>
      <w:r>
        <w:t>Is a Applicable Data Privacy Agreement, Affiliated Institution Data Sharing Agreement, Security Questionnaire, or Vendor Agreement Required Even When Affiliated Institution Supplies No Student Data?</w:t>
      </w:r>
    </w:p>
    <w:p>
      <w:pPr>
        <w:pStyle w:val="ListBullet"/>
      </w:pPr>
      <w:r>
        <w:t>May Affiliated Institution Staff Reference or Promote the Service, and if So, Through Which Approved Channels?</w:t>
      </w:r>
    </w:p>
    <w:p>
      <w:pPr>
        <w:pStyle w:val="ListBullet"/>
      </w:pPr>
      <w:r>
        <w:t>May the Service Use Public Program Calendar Information, and What Source Is Authoritative?</w:t>
      </w:r>
    </w:p>
    <w:p>
      <w:pPr>
        <w:pStyle w:val="ListBullet"/>
      </w:pPr>
      <w:r>
        <w:t>May Students Access the Website from Institution-Issued Devices Outside Prohibited Times, or Should the Pilot Be Explicitly Personal-Device / Parent-Only?</w:t>
      </w:r>
    </w:p>
    <w:p>
      <w:pPr>
        <w:pStyle w:val="ListBullet"/>
      </w:pPr>
      <w:r>
        <w:t>Which Incident Notification Contact and Timeframe Should Apply if District-Affiliated Student Information Is Affected?</w:t>
      </w:r>
    </w:p>
    <w:p>
      <w:pPr>
        <w:pStyle w:val="Heading2"/>
      </w:pPr>
      <w:r>
        <w:t>Data Flow Summary</w:t>
      </w:r>
    </w:p>
    <w:p>
      <w:pPr>
        <w:spacing w:before="80" w:after="40"/>
        <w:jc w:val="center"/>
      </w:pPr>
      <w:r>
        <w:drawing>
          <wp:inline xmlns:a="http://schemas.openxmlformats.org/drawingml/2006/main" xmlns:pic="http://schemas.openxmlformats.org/drawingml/2006/picture">
            <wp:extent cx="5806440" cy="3467247"/>
            <wp:docPr id="3" name="Picture 3" descr="Figure 2. Privacy-by-state disclosure. Approximate information supports discovery; exact logistics are released only after guardian approval and a confirmed match, then minimized on schedule." title="Privacy Disclosure Flow"/>
            <wp:cNvGraphicFramePr>
              <a:graphicFrameLocks noChangeAspect="1"/>
            </wp:cNvGraphicFramePr>
            <a:graphic>
              <a:graphicData uri="http://schemas.openxmlformats.org/drawingml/2006/picture">
                <pic:pic>
                  <pic:nvPicPr>
                    <pic:cNvPr id="0" name="privacy_disclosure_flow.png"/>
                    <pic:cNvPicPr/>
                  </pic:nvPicPr>
                  <pic:blipFill>
                    <a:blip r:embed="rId15"/>
                    <a:stretch>
                      <a:fillRect/>
                    </a:stretch>
                  </pic:blipFill>
                  <pic:spPr>
                    <a:xfrm>
                      <a:off x="0" y="0"/>
                      <a:ext cx="5806440" cy="3467247"/>
                    </a:xfrm>
                    <a:prstGeom prst="rect"/>
                  </pic:spPr>
                </pic:pic>
              </a:graphicData>
            </a:graphic>
          </wp:inline>
        </w:drawing>
      </w:r>
    </w:p>
    <w:p>
      <w:pPr>
        <w:pStyle w:val="SmallNote"/>
        <w:keepNext w:val="0"/>
        <w:jc w:val="center"/>
      </w:pPr>
      <w:r>
        <w:rPr>
          <w:rFonts w:ascii="Calibri" w:hAnsi="Calibri"/>
          <w:i/>
          <w:color w:val="5C6B7A"/>
          <w:sz w:val="17"/>
        </w:rPr>
        <w:t>Figure 2. Privacy-by-state disclosure. Approximate information supports discovery; exact logistics are released only after guardian approval and a confirmed match, then minimized on schedule.</w:t>
      </w:r>
    </w:p>
    <w:p>
      <w:pPr>
        <w:spacing w:after="80" w:line="264" w:lineRule="auto"/>
        <w:ind w:left="720" w:hanging="360"/>
        <w:numPr>
          <w:ilvl w:val="0"/>
          <w:numId w:val="10"/>
        </w:numPr>
      </w:pPr>
      <w:r>
        <w:t>A Parent Receives an Invitation or Organization Code from the Organization and Voluntarily Creates a Household.</w:t>
      </w:r>
    </w:p>
    <w:p>
      <w:pPr>
        <w:spacing w:after="80" w:line="264" w:lineRule="auto"/>
        <w:ind w:left="720" w:hanging="360"/>
        <w:numPr>
          <w:ilvl w:val="0"/>
          <w:numId w:val="10"/>
        </w:numPr>
      </w:pPr>
      <w:r>
        <w:t>The Parent Verifies Email and / or Mobile Number and Records Communication Consent.</w:t>
      </w:r>
    </w:p>
    <w:p>
      <w:pPr>
        <w:spacing w:after="80" w:line="264" w:lineRule="auto"/>
        <w:ind w:left="720" w:hanging="360"/>
        <w:numPr>
          <w:ilvl w:val="0"/>
          <w:numId w:val="10"/>
        </w:numPr>
      </w:pPr>
      <w:r>
        <w:t>The Parent Adds or Approves a Student Profile and Controls Whether the Student May Submit a Request.</w:t>
      </w:r>
    </w:p>
    <w:p>
      <w:pPr>
        <w:spacing w:after="80" w:line="264" w:lineRule="auto"/>
        <w:ind w:left="720" w:hanging="360"/>
        <w:numPr>
          <w:ilvl w:val="0"/>
          <w:numId w:val="10"/>
        </w:numPr>
      </w:pPr>
      <w:r>
        <w:t>A Ride Request Displays Only the Minimum Approximate Area and Schedule Information Needed for Eligible Drivers to Consider It.</w:t>
      </w:r>
    </w:p>
    <w:p>
      <w:pPr>
        <w:spacing w:after="80" w:line="264" w:lineRule="auto"/>
        <w:ind w:left="720" w:hanging="360"/>
        <w:numPr>
          <w:ilvl w:val="0"/>
          <w:numId w:val="10"/>
        </w:numPr>
      </w:pPr>
      <w:r>
        <w:t>The Server May Privately Compare Already-Eligible Open Requests Against a Driver’s Optional Direction, Availability Window, Seat Count, Route Corridor, and Detour Tolerance. Requesters and Organization Administrators Do Not Receive the Driver’s Precise Route.</w:t>
      </w:r>
    </w:p>
    <w:p>
      <w:pPr>
        <w:spacing w:after="80" w:line="264" w:lineRule="auto"/>
        <w:ind w:left="720" w:hanging="360"/>
        <w:numPr>
          <w:ilvl w:val="0"/>
          <w:numId w:val="10"/>
        </w:numPr>
      </w:pPr>
      <w:r>
        <w:t>An Eligible Adult Driver Reviews a Compatible Open Request and Offers Available Seats. Optional AI May Explain Why the Request Appears Compatible, but Normal Rules Determine Eligibility and the Requesting Parent Approves the Match.</w:t>
      </w:r>
    </w:p>
    <w:p>
      <w:pPr>
        <w:spacing w:after="80" w:line="264" w:lineRule="auto"/>
        <w:ind w:left="720" w:hanging="360"/>
        <w:numPr>
          <w:ilvl w:val="0"/>
          <w:numId w:val="10"/>
        </w:numPr>
      </w:pPr>
      <w:r>
        <w:t>Only After Approval Does the System Reveal the Information Required to Complete the Ride to the Matched Households.</w:t>
      </w:r>
    </w:p>
    <w:p>
      <w:pPr>
        <w:spacing w:after="80" w:line="264" w:lineRule="auto"/>
        <w:ind w:left="720" w:hanging="360"/>
        <w:numPr>
          <w:ilvl w:val="0"/>
          <w:numId w:val="10"/>
        </w:numPr>
      </w:pPr>
      <w:r>
        <w:t>Notifications Are Sent by Email and, When Separately Opted in, SMS / RCS. STOP and HELP Controls Apply to Text Messaging.</w:t>
      </w:r>
    </w:p>
    <w:p>
      <w:pPr>
        <w:spacing w:after="80" w:line="264" w:lineRule="auto"/>
        <w:ind w:left="720" w:hanging="360"/>
        <w:numPr>
          <w:ilvl w:val="0"/>
          <w:numId w:val="10"/>
        </w:numPr>
      </w:pPr>
      <w:r>
        <w:t>After the Ride, the System Records Completion / Status and Applies the Approved Retention Schedule. Precise Address Data Is Removed Earlier Than the Minimum Audit Record.</w:t>
      </w:r>
    </w:p>
    <w:p>
      <w:pPr>
        <w:pStyle w:val="Heading2"/>
      </w:pPr>
      <w:r>
        <w:t>Data Inventory and Purpose Limitation</w:t>
      </w:r>
    </w:p>
    <w:tbl>
      <w:tblPr>
        <w:tblStyle w:val="TableGrid"/>
        <w:tblW w:type="dxa" w:w="9360"/>
        <w:tblLayout w:type="fixed"/>
        <w:tblLook w:firstColumn="1" w:firstRow="1" w:lastColumn="0" w:lastRow="0" w:noHBand="0" w:noVBand="1" w:val="04A0"/>
        <w:jc w:val="left"/>
        <w:tblInd w:w="120" w:type="dxa"/>
      </w:tblPr>
      <w:tblGrid>
        <w:gridCol w:w="1500"/>
        <w:gridCol w:w="2500"/>
        <w:gridCol w:w="2500"/>
        <w:gridCol w:w="2860"/>
      </w:tblGrid>
      <w:tr>
        <w:trPr>
          <w:cantSplit/>
          <w:tblHeader w:val="true"/>
        </w:trPr>
        <w:tc>
          <w:tcPr>
            <w:tcW w:type="dxa" w:w="1500"/>
            <w:tcMar>
              <w:top w:w="80" w:type="dxa"/>
              <w:start w:w="120" w:type="dxa"/>
              <w:bottom w:w="80" w:type="dxa"/>
              <w:end w:w="120" w:type="dxa"/>
            </w:tcMar>
            <w:vAlign w:val="center"/>
            <w:shd w:fill="E8EEF5"/>
          </w:tcPr>
          <w:p>
            <w:pPr>
              <w:jc w:val="center"/>
            </w:pPr>
            <w:r>
              <w:rPr>
                <w:rFonts w:ascii="Calibri" w:hAnsi="Calibri"/>
                <w:b/>
                <w:color w:val="1F4D78"/>
                <w:sz w:val="15"/>
              </w:rPr>
              <w:t>Data Category</w:t>
            </w:r>
          </w:p>
        </w:tc>
        <w:tc>
          <w:tcPr>
            <w:tcW w:type="dxa" w:w="2500"/>
            <w:tcMar>
              <w:top w:w="80" w:type="dxa"/>
              <w:start w:w="120" w:type="dxa"/>
              <w:bottom w:w="80" w:type="dxa"/>
              <w:end w:w="120" w:type="dxa"/>
            </w:tcMar>
            <w:vAlign w:val="center"/>
            <w:shd w:fill="E8EEF5"/>
          </w:tcPr>
          <w:p>
            <w:pPr>
              <w:jc w:val="center"/>
            </w:pPr>
            <w:r>
              <w:rPr>
                <w:rFonts w:ascii="Calibri" w:hAnsi="Calibri"/>
                <w:b/>
                <w:color w:val="1F4D78"/>
                <w:sz w:val="15"/>
              </w:rPr>
              <w:t>Examples</w:t>
            </w:r>
          </w:p>
        </w:tc>
        <w:tc>
          <w:tcPr>
            <w:tcW w:type="dxa" w:w="2500"/>
            <w:tcMar>
              <w:top w:w="80" w:type="dxa"/>
              <w:start w:w="120" w:type="dxa"/>
              <w:bottom w:w="80" w:type="dxa"/>
              <w:end w:w="120" w:type="dxa"/>
            </w:tcMar>
            <w:vAlign w:val="center"/>
            <w:shd w:fill="E8EEF5"/>
          </w:tcPr>
          <w:p>
            <w:pPr>
              <w:jc w:val="center"/>
            </w:pPr>
            <w:r>
              <w:rPr>
                <w:rFonts w:ascii="Calibri" w:hAnsi="Calibri"/>
                <w:b/>
                <w:color w:val="1F4D78"/>
                <w:sz w:val="15"/>
              </w:rPr>
              <w:t>Purpose</w:t>
            </w:r>
          </w:p>
        </w:tc>
        <w:tc>
          <w:tcPr>
            <w:tcW w:type="dxa" w:w="2860"/>
            <w:tcMar>
              <w:top w:w="80" w:type="dxa"/>
              <w:start w:w="120" w:type="dxa"/>
              <w:bottom w:w="80" w:type="dxa"/>
              <w:end w:w="120" w:type="dxa"/>
            </w:tcMar>
            <w:vAlign w:val="center"/>
            <w:shd w:fill="E8EEF5"/>
          </w:tcPr>
          <w:p>
            <w:pPr>
              <w:jc w:val="center"/>
            </w:pPr>
            <w:r>
              <w:rPr>
                <w:rFonts w:ascii="Calibri" w:hAnsi="Calibri"/>
                <w:b/>
                <w:color w:val="1F4D78"/>
                <w:sz w:val="15"/>
              </w:rPr>
              <w:t>Visibility / Control</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Account Identity</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Name, Email, Mobile Number, Login / Verification Data</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Authenticate and Contact the Participant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User; Limited Platform Support; Organization Admin Only Where Operationally Necessary</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Household Relationship</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Guardian / Student Relationship, Household Manager, Approvals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Ensure Guardian Control of Minor Participation</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Household Members; Limited Admin Exception Handling</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Ride Request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Event, Date / Time, Direction, Seats, General Pickup / Drop Area, Accessibility Note if Volunteered</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Match Requests and Available Drivers</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Eligible Organization Users; Exact Details Withheld Until Match</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Precise Logistics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Pickup / Drop Address and Confirmed Contact Details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Complete an Approved Matched Ride</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Matched Households Only; Support Access Only for Documented Incident Response</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Driver Profile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Adult Status; Optional Bio, Capacity, Vehicle Description, Service Area, Availability; Attestations and Approved Verification Status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Determine Eligibility, Capacity, and Availability</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Requesting Parent Sees Approved Display Fields; Admins See Status Only</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Matching Preferences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Optional Route Corridor, Direction, Availability Window, Arrival Buffer, Detour Percentage / Minutes, Seat Count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Recommend Already-Eligible Open Requests That May Be on the Driver’s Way</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Server-Side Comparison Only; Precise Route Hidden from Requesters and Organization Administrators; Driver May Pause or Delete Preferences</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Communication Preferences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Email / SMS Opt-in, Consent Date / Source, STOP / HELP State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Send Lawful Service Messages and Honor Choices</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User and Limited Platform Messaging Support</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Funding Contribution</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Optional Amount, Currency, Status, Receipt Contact, Contribution Context, Processor Reference, Acknowledgement Choice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Support Platform Operating Costs and Provide a Receipt / Transaction Record</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Adult Contributor and Limited Finance / Support Roles; Organization Sees Only Approved Aggregate or Organization-Directed Records; Sponsors Receive No Participant Data; Full Card Data Is Not Stored</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Safety / Incident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Block List, Report Details, No-Show or Safety Flag</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Protect Users and Investigate Reported Concerns</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Named Safety Owner and Platform Security Only, Following Least Privilege</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Audit / Security</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Sign-in Events, Admin Actions, Consent Version, IP / Device Security Metadata</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Security, Fraud Prevention, Evidence of Consent</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Platform Security; Limited Disclosure When Required</w:t>
            </w:r>
          </w:p>
        </w:tc>
      </w:tr>
      <w:tr>
        <w:trPr>
          <w:cantSplit/>
        </w:trPr>
        <w:tc>
          <w:tcPr>
            <w:tcW w:type="dxa" w:w="1500"/>
            <w:tcMar>
              <w:top w:w="80" w:type="dxa"/>
              <w:start w:w="120" w:type="dxa"/>
              <w:bottom w:w="80" w:type="dxa"/>
              <w:end w:w="120" w:type="dxa"/>
            </w:tcMar>
            <w:vAlign w:val="center"/>
          </w:tcPr>
          <w:p>
            <w:pPr>
              <w:spacing w:after="40" w:line="240" w:lineRule="auto"/>
            </w:pPr>
            <w:r>
              <w:rPr>
                <w:rFonts w:ascii="Calibri" w:hAnsi="Calibri"/>
                <w:color w:val="000000"/>
                <w:sz w:val="15"/>
              </w:rPr>
              <w:t>Not Collected from Affiliated Institution</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Student ID, Grades, Attendance, Discipline, IEP / 504, Official Route, District Password</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Outside Pilot Scope</w:t>
            </w:r>
          </w:p>
        </w:tc>
        <w:tc>
          <w:tcPr>
            <w:tcW w:type="dxa" w:w="2860"/>
            <w:tcMar>
              <w:top w:w="80" w:type="dxa"/>
              <w:start w:w="120" w:type="dxa"/>
              <w:bottom w:w="80" w:type="dxa"/>
              <w:end w:w="120" w:type="dxa"/>
            </w:tcMar>
            <w:vAlign w:val="center"/>
          </w:tcPr>
          <w:p>
            <w:pPr>
              <w:spacing w:after="40" w:line="240" w:lineRule="auto"/>
            </w:pPr>
            <w:r>
              <w:rPr>
                <w:rFonts w:ascii="Calibri" w:hAnsi="Calibri"/>
                <w:color w:val="000000"/>
                <w:sz w:val="15"/>
              </w:rPr>
              <w:t>Collection Prohibited</w:t>
            </w:r>
          </w:p>
        </w:tc>
      </w:tr>
    </w:tbl>
    <w:p>
      <w:pPr>
        <w:spacing w:after="0"/>
      </w:pPr>
    </w:p>
    <w:p>
      <w:pPr>
        <w:pStyle w:val="Heading2"/>
      </w:pPr>
      <w:r>
        <w:t>Optional Data Collection and Validation</w:t>
      </w:r>
    </w:p>
    <w:tbl>
      <w:tblPr>
        <w:tblStyle w:val="TableGrid"/>
        <w:tblW w:type="dxa" w:w="9360"/>
        <w:tblLayout w:type="fixed"/>
        <w:tblLook w:firstColumn="1" w:firstRow="1" w:lastColumn="0" w:lastRow="0" w:noHBand="0" w:noVBand="1" w:val="04A0"/>
        <w:jc w:val="left"/>
        <w:tblInd w:w="120" w:type="dxa"/>
      </w:tblPr>
      <w:tblGrid>
        <w:gridCol w:w="1900"/>
        <w:gridCol w:w="1150"/>
        <w:gridCol w:w="2450"/>
        <w:gridCol w:w="3860"/>
      </w:tblGrid>
      <w:tr>
        <w:trPr>
          <w:cantSplit/>
          <w:tblHeader w:val="true"/>
        </w:trPr>
        <w:tc>
          <w:tcPr>
            <w:tcW w:type="dxa" w:w="1900"/>
            <w:tcMar>
              <w:top w:w="80" w:type="dxa"/>
              <w:start w:w="120" w:type="dxa"/>
              <w:bottom w:w="80" w:type="dxa"/>
              <w:end w:w="120" w:type="dxa"/>
            </w:tcMar>
            <w:vAlign w:val="center"/>
            <w:shd w:fill="E8EEF5"/>
          </w:tcPr>
          <w:p>
            <w:pPr>
              <w:jc w:val="center"/>
            </w:pPr>
            <w:r>
              <w:rPr>
                <w:rFonts w:ascii="Calibri" w:hAnsi="Calibri"/>
                <w:b/>
                <w:color w:val="1F4D78"/>
                <w:sz w:val="15"/>
              </w:rPr>
              <w:t>Field / Check</w:t>
            </w:r>
          </w:p>
        </w:tc>
        <w:tc>
          <w:tcPr>
            <w:tcW w:type="dxa" w:w="1150"/>
            <w:tcMar>
              <w:top w:w="80" w:type="dxa"/>
              <w:start w:w="120" w:type="dxa"/>
              <w:bottom w:w="80" w:type="dxa"/>
              <w:end w:w="120" w:type="dxa"/>
            </w:tcMar>
            <w:vAlign w:val="center"/>
            <w:shd w:fill="E8EEF5"/>
          </w:tcPr>
          <w:p>
            <w:pPr>
              <w:jc w:val="center"/>
            </w:pPr>
            <w:r>
              <w:rPr>
                <w:rFonts w:ascii="Calibri" w:hAnsi="Calibri"/>
                <w:b/>
                <w:color w:val="1F4D78"/>
                <w:sz w:val="15"/>
              </w:rPr>
              <w:t>Status</w:t>
            </w:r>
          </w:p>
        </w:tc>
        <w:tc>
          <w:tcPr>
            <w:tcW w:type="dxa" w:w="2450"/>
            <w:tcMar>
              <w:top w:w="80" w:type="dxa"/>
              <w:start w:w="120" w:type="dxa"/>
              <w:bottom w:w="80" w:type="dxa"/>
              <w:end w:w="120" w:type="dxa"/>
            </w:tcMar>
            <w:vAlign w:val="center"/>
            <w:shd w:fill="E8EEF5"/>
          </w:tcPr>
          <w:p>
            <w:pPr>
              <w:jc w:val="center"/>
            </w:pPr>
            <w:r>
              <w:rPr>
                <w:rFonts w:ascii="Calibri" w:hAnsi="Calibri"/>
                <w:b/>
                <w:color w:val="1F4D78"/>
                <w:sz w:val="15"/>
              </w:rPr>
              <w:t>Purpose</w:t>
            </w:r>
          </w:p>
        </w:tc>
        <w:tc>
          <w:tcPr>
            <w:tcW w:type="dxa" w:w="3860"/>
            <w:tcMar>
              <w:top w:w="80" w:type="dxa"/>
              <w:start w:w="120" w:type="dxa"/>
              <w:bottom w:w="80" w:type="dxa"/>
              <w:end w:w="120" w:type="dxa"/>
            </w:tcMar>
            <w:vAlign w:val="center"/>
            <w:shd w:fill="E8EEF5"/>
          </w:tcPr>
          <w:p>
            <w:pPr>
              <w:jc w:val="center"/>
            </w:pPr>
            <w:r>
              <w:rPr>
                <w:rFonts w:ascii="Calibri" w:hAnsi="Calibri"/>
                <w:b/>
                <w:color w:val="1F4D78"/>
                <w:sz w:val="15"/>
              </w:rPr>
              <w:t>Storage and Validation Rule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About Me / Driver Bio</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Help a Requesting Parent Recognize the Volunteer</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Short Text; No Sensitive, Medical, License, Insurance, or Background-Check Details</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Maximum Capacity</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 Default</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Limit Matching to Available Belted Seats</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Positive Integer; per-Ride Seats May Reduce the Default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Per-Ride Available Seats</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 Override</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Reflect the Actual Capacity for One Trip</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Cannot Exceed Configured Maximum; Validate Server-Side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Vehicle Description</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Help a Matched Household Locate the Vehicle</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Simple Make / Color / Body Description Only; No Plate, VIN, Registration, or Document Image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Service Areas</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Limit Offers to User-Selected Geographic Areas</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Polygon / Radius Stored Privately; Exact Geometry Is Not Shown as a Public Address</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Availability / Direction</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Reduce Irrelevant Offers</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Days / Times / Direction; User May Pause Matching at Any Time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Route Corridor</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Find Open Requests Near an Expected Trip without Publishing the Route</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Stored as Protected Geometry; Not Displayed as a Route; No Live Location or Trip History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Detour Tolerance</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Limit Recommendations to the Driver’s Willingness to Deviate</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Validated Range Set by Policy; May Use Percentage, Minutes, or the Stricter Result; 0 Disables Detour Recommendations</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Pickup / Arrival Window</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Exclude Requests That Cannot Reasonably Fit the Driver’s Schedule</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Validated Start / End Times and Buffer; Estimates Are Advisory and Never an Arrival Guarantee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Verified Phone</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 Unless Organization Requires It</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Login and Transactional SMS / RCS</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OTP Is Short-Lived, Single-Use, Rate-Limited, and Never Logged; Phone May Remain Hidden</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Contact Visibility</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Optional Preference</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Let a User Choose Whether Matched Participants See Phone / Email</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Hidden by Default; Relay / Masking Preferred Where Available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Verified Email</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Required</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Account Access and Recovery</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Verification Required Before Account Access; Token Never Logged</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Organization Membership</w:t>
            </w:r>
          </w:p>
        </w:tc>
        <w:tc>
          <w:tcPr>
            <w:tcW w:type="dxa" w:w="1150"/>
            <w:tcMar>
              <w:top w:w="80" w:type="dxa"/>
              <w:start w:w="120" w:type="dxa"/>
              <w:bottom w:w="80" w:type="dxa"/>
              <w:end w:w="120" w:type="dxa"/>
            </w:tcMar>
            <w:vAlign w:val="center"/>
          </w:tcPr>
          <w:p>
            <w:pPr>
              <w:spacing w:after="40" w:line="240" w:lineRule="auto"/>
            </w:pPr>
            <w:r>
              <w:rPr>
                <w:rFonts w:ascii="Calibri" w:hAnsi="Calibri"/>
                <w:color w:val="000000"/>
                <w:sz w:val="15"/>
              </w:rPr>
              <w:t>Required</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Enforce the Approved Pilot Scope</w:t>
            </w:r>
          </w:p>
        </w:tc>
        <w:tc>
          <w:tcPr>
            <w:tcW w:type="dxa" w:w="3860"/>
            <w:tcMar>
              <w:top w:w="80" w:type="dxa"/>
              <w:start w:w="120" w:type="dxa"/>
              <w:bottom w:w="80" w:type="dxa"/>
              <w:end w:w="120" w:type="dxa"/>
            </w:tcMar>
            <w:vAlign w:val="center"/>
          </w:tcPr>
          <w:p>
            <w:pPr>
              <w:spacing w:after="40" w:line="240" w:lineRule="auto"/>
            </w:pPr>
            <w:r>
              <w:rPr>
                <w:rFonts w:ascii="Calibri" w:hAnsi="Calibri"/>
                <w:color w:val="000000"/>
                <w:sz w:val="15"/>
              </w:rPr>
              <w:t>Active, Approved Membership; No Institution-Provided Roster Import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Validation Result, Not Sensitive Evidence: </w:t>
            </w:r>
            <w:r>
              <w:rPr>
                <w:rFonts w:ascii="Calibri" w:hAnsi="Calibri"/>
                <w:color w:val="000000"/>
              </w:rPr>
              <w:t>If Affiliated Institution, Approved Volunteer-Screening Provider, or the Organization Insurer Requires a License, Insurance, Registration, Background, or Volunteer Check, BandWagon Should Store Only Minimal Outcome Metadata—check Type, Status, Verifying Authority, Checked Date, Expiry Date, and an Opaque External Reference. The Underlying Document Image, Government Identifier, Policy Number, or Report Remains with the Approved External Authority Unless a Later, Separately Reviewed Feature Expressly Authorizes Collection.</w:t>
            </w:r>
          </w:p>
        </w:tc>
      </w:tr>
    </w:tbl>
    <w:p>
      <w:pPr>
        <w:spacing w:after="0"/>
      </w:pPr>
    </w:p>
    <w:p>
      <w:pPr>
        <w:pStyle w:val="Heading2"/>
      </w:pPr>
      <w:r>
        <w:t>Role-Based Access - Least Privilege</w:t>
      </w:r>
    </w:p>
    <w:tbl>
      <w:tblPr>
        <w:tblStyle w:val="TableGrid"/>
        <w:tblW w:type="dxa" w:w="9360"/>
        <w:tblLayout w:type="fixed"/>
        <w:tblLook w:firstColumn="1" w:firstRow="1" w:lastColumn="0" w:lastRow="0" w:noHBand="0" w:noVBand="1" w:val="04A0"/>
        <w:jc w:val="left"/>
        <w:tblInd w:w="120" w:type="dxa"/>
      </w:tblPr>
      <w:tblGrid>
        <w:gridCol w:w="1550"/>
        <w:gridCol w:w="4220"/>
        <w:gridCol w:w="3590"/>
      </w:tblGrid>
      <w:tr>
        <w:trPr>
          <w:cantSplit/>
          <w:tblHeader w:val="true"/>
        </w:trPr>
        <w:tc>
          <w:tcPr>
            <w:tcW w:type="dxa" w:w="1550"/>
            <w:tcMar>
              <w:top w:w="80" w:type="dxa"/>
              <w:start w:w="120" w:type="dxa"/>
              <w:bottom w:w="80" w:type="dxa"/>
              <w:end w:w="120" w:type="dxa"/>
            </w:tcMar>
            <w:vAlign w:val="center"/>
            <w:shd w:fill="E8EEF5"/>
          </w:tcPr>
          <w:p>
            <w:pPr>
              <w:jc w:val="center"/>
            </w:pPr>
            <w:r>
              <w:rPr>
                <w:rFonts w:ascii="Calibri" w:hAnsi="Calibri"/>
                <w:b/>
                <w:color w:val="1F4D78"/>
                <w:sz w:val="16"/>
              </w:rPr>
              <w:t>Role</w:t>
            </w:r>
          </w:p>
        </w:tc>
        <w:tc>
          <w:tcPr>
            <w:tcW w:type="dxa" w:w="4220"/>
            <w:tcMar>
              <w:top w:w="80" w:type="dxa"/>
              <w:start w:w="120" w:type="dxa"/>
              <w:bottom w:w="80" w:type="dxa"/>
              <w:end w:w="120" w:type="dxa"/>
            </w:tcMar>
            <w:vAlign w:val="center"/>
            <w:shd w:fill="E8EEF5"/>
          </w:tcPr>
          <w:p>
            <w:pPr>
              <w:jc w:val="center"/>
            </w:pPr>
            <w:r>
              <w:rPr>
                <w:rFonts w:ascii="Calibri" w:hAnsi="Calibri"/>
                <w:b/>
                <w:color w:val="1F4D78"/>
                <w:sz w:val="16"/>
              </w:rPr>
              <w:t>Permitted Access</w:t>
            </w:r>
          </w:p>
        </w:tc>
        <w:tc>
          <w:tcPr>
            <w:tcW w:type="dxa" w:w="3590"/>
            <w:tcMar>
              <w:top w:w="80" w:type="dxa"/>
              <w:start w:w="120" w:type="dxa"/>
              <w:bottom w:w="80" w:type="dxa"/>
              <w:end w:w="120" w:type="dxa"/>
            </w:tcMar>
            <w:vAlign w:val="center"/>
            <w:shd w:fill="E8EEF5"/>
          </w:tcPr>
          <w:p>
            <w:pPr>
              <w:jc w:val="center"/>
            </w:pPr>
            <w:r>
              <w:rPr>
                <w:rFonts w:ascii="Calibri" w:hAnsi="Calibri"/>
                <w:b/>
                <w:color w:val="1F4D78"/>
                <w:sz w:val="16"/>
              </w:rPr>
              <w:t>Explicitly Restricted</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Parent / Household Manager</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Own Household, Linked Students, Own Ride Requests, Approved Matches, Consent and Deletion Controls</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Other Households’ Exact Addresses, Broad Organization Roster, Admin Reports</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Student</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Own Limited Profile and Parent-Permitted Ride Actions</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Household Administration, Driver Approval, Unrelated Contact Data, Admin Functions</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Adult Driver</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Own Driver Profile; Minimum Request Details; Exact Details Only for Accepted Match</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Bulk Student Directory, Unmatched Precise Addresses, Unrelated Households</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Organization Operational Admin</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Organization Membership State, Limited Request Status, Account Suspension and Aggregate Metrics</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Passwords, Full Authentication Secrets, Unnecessary Precise Addresses, Unrestricted Export</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Organization Safety Owner</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Reported Incident Details and Only the Accounts / Ride Records Relevant to the Report</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Routine Access to All Rides or Addresses</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Platform Support</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Time-Limited Troubleshooting Access When Requested or Necessary</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Standing Browse Access; Unrelated Records</w:t>
            </w:r>
          </w:p>
        </w:tc>
      </w:tr>
      <w:tr>
        <w:trPr>
          <w:cantSplit/>
        </w:trPr>
        <w:tc>
          <w:tcPr>
            <w:tcW w:type="dxa" w:w="1550"/>
            <w:tcMar>
              <w:top w:w="80" w:type="dxa"/>
              <w:start w:w="120" w:type="dxa"/>
              <w:bottom w:w="80" w:type="dxa"/>
              <w:end w:w="120" w:type="dxa"/>
            </w:tcMar>
            <w:vAlign w:val="center"/>
          </w:tcPr>
          <w:p>
            <w:pPr>
              <w:spacing w:after="40" w:line="240" w:lineRule="auto"/>
            </w:pPr>
            <w:r>
              <w:rPr>
                <w:rFonts w:ascii="Calibri" w:hAnsi="Calibri"/>
                <w:color w:val="000000"/>
                <w:sz w:val="16"/>
              </w:rPr>
              <w:t>Platform Security Admin</w:t>
            </w:r>
          </w:p>
        </w:tc>
        <w:tc>
          <w:tcPr>
            <w:tcW w:type="dxa" w:w="4220"/>
            <w:tcMar>
              <w:top w:w="80" w:type="dxa"/>
              <w:start w:w="120" w:type="dxa"/>
              <w:bottom w:w="80" w:type="dxa"/>
              <w:end w:w="120" w:type="dxa"/>
            </w:tcMar>
            <w:vAlign w:val="center"/>
          </w:tcPr>
          <w:p>
            <w:pPr>
              <w:spacing w:after="40" w:line="240" w:lineRule="auto"/>
            </w:pPr>
            <w:r>
              <w:rPr>
                <w:rFonts w:ascii="Calibri" w:hAnsi="Calibri"/>
                <w:color w:val="000000"/>
                <w:sz w:val="16"/>
              </w:rPr>
              <w:t>Security Logs, Access Controls, Incident Evidence</w:t>
            </w:r>
          </w:p>
        </w:tc>
        <w:tc>
          <w:tcPr>
            <w:tcW w:type="dxa" w:w="3590"/>
            <w:tcMar>
              <w:top w:w="80" w:type="dxa"/>
              <w:start w:w="120" w:type="dxa"/>
              <w:bottom w:w="80" w:type="dxa"/>
              <w:end w:w="120" w:type="dxa"/>
            </w:tcMar>
            <w:vAlign w:val="center"/>
          </w:tcPr>
          <w:p>
            <w:pPr>
              <w:spacing w:after="40" w:line="240" w:lineRule="auto"/>
            </w:pPr>
            <w:r>
              <w:rPr>
                <w:rFonts w:ascii="Calibri" w:hAnsi="Calibri"/>
                <w:color w:val="000000"/>
                <w:sz w:val="16"/>
              </w:rPr>
              <w:t>Routine Use of Content for Non-Security Purposes</w:t>
            </w:r>
          </w:p>
        </w:tc>
      </w:tr>
    </w:tbl>
    <w:p>
      <w:pPr>
        <w:spacing w:after="0"/>
      </w:pPr>
    </w:p>
    <w:p>
      <w:pPr>
        <w:pStyle w:val="Heading2"/>
      </w:pPr>
      <w:r>
        <w:t>Technical Architecture - Proposed Pilot</w:t>
      </w:r>
    </w:p>
    <w:p>
      <w:pPr>
        <w:spacing w:before="80" w:after="40"/>
        <w:jc w:val="center"/>
      </w:pPr>
      <w:r>
        <w:drawing>
          <wp:inline xmlns:a="http://schemas.openxmlformats.org/drawingml/2006/main" xmlns:pic="http://schemas.openxmlformats.org/drawingml/2006/picture">
            <wp:extent cx="5806440" cy="3713309"/>
            <wp:docPr id="4" name="Picture 4" descr="Figure 3. Proposed production architecture. Green stores are required to use U.S. regions. External processors remain separate residency and contract review items." title="Us Data Architecture"/>
            <wp:cNvGraphicFramePr>
              <a:graphicFrameLocks noChangeAspect="1"/>
            </wp:cNvGraphicFramePr>
            <a:graphic>
              <a:graphicData uri="http://schemas.openxmlformats.org/drawingml/2006/picture">
                <pic:pic>
                  <pic:nvPicPr>
                    <pic:cNvPr id="0" name="us_data_architecture.png"/>
                    <pic:cNvPicPr/>
                  </pic:nvPicPr>
                  <pic:blipFill>
                    <a:blip r:embed="rId16"/>
                    <a:stretch>
                      <a:fillRect/>
                    </a:stretch>
                  </pic:blipFill>
                  <pic:spPr>
                    <a:xfrm>
                      <a:off x="0" y="0"/>
                      <a:ext cx="5806440" cy="3713309"/>
                    </a:xfrm>
                    <a:prstGeom prst="rect"/>
                  </pic:spPr>
                </pic:pic>
              </a:graphicData>
            </a:graphic>
          </wp:inline>
        </w:drawing>
      </w:r>
    </w:p>
    <w:p>
      <w:pPr>
        <w:pStyle w:val="SmallNote"/>
        <w:keepNext w:val="0"/>
        <w:jc w:val="center"/>
      </w:pPr>
      <w:r>
        <w:rPr>
          <w:rFonts w:ascii="Calibri" w:hAnsi="Calibri"/>
          <w:i/>
          <w:color w:val="5C6B7A"/>
          <w:sz w:val="17"/>
        </w:rPr>
        <w:t>Figure 3. Proposed production architecture. Green stores are required to use U.S. regions. External processors remain separate residency and contract review items.</w:t>
      </w:r>
    </w:p>
    <w:tbl>
      <w:tblPr>
        <w:tblStyle w:val="TableGrid"/>
        <w:tblW w:type="dxa" w:w="9360"/>
        <w:tblLayout w:type="fixed"/>
        <w:tblLook w:firstColumn="1" w:firstRow="1" w:lastColumn="0" w:lastRow="0" w:noHBand="0" w:noVBand="1" w:val="04A0"/>
        <w:jc w:val="left"/>
        <w:tblInd w:w="120" w:type="dxa"/>
      </w:tblPr>
      <w:tblGrid>
        <w:gridCol w:w="1250"/>
        <w:gridCol w:w="2450"/>
        <w:gridCol w:w="2500"/>
        <w:gridCol w:w="3160"/>
      </w:tblGrid>
      <w:tr>
        <w:trPr>
          <w:cantSplit/>
          <w:tblHeader w:val="true"/>
        </w:trPr>
        <w:tc>
          <w:tcPr>
            <w:tcW w:type="dxa" w:w="1250"/>
            <w:tcMar>
              <w:top w:w="80" w:type="dxa"/>
              <w:start w:w="120" w:type="dxa"/>
              <w:bottom w:w="80" w:type="dxa"/>
              <w:end w:w="120" w:type="dxa"/>
            </w:tcMar>
            <w:vAlign w:val="center"/>
            <w:shd w:fill="E8EEF5"/>
          </w:tcPr>
          <w:p>
            <w:pPr>
              <w:jc w:val="center"/>
            </w:pPr>
            <w:r>
              <w:rPr>
                <w:rFonts w:ascii="Calibri" w:hAnsi="Calibri"/>
                <w:b/>
                <w:color w:val="1F4D78"/>
                <w:sz w:val="15"/>
              </w:rPr>
              <w:t>Layer</w:t>
            </w:r>
          </w:p>
        </w:tc>
        <w:tc>
          <w:tcPr>
            <w:tcW w:type="dxa" w:w="2450"/>
            <w:tcMar>
              <w:top w:w="80" w:type="dxa"/>
              <w:start w:w="120" w:type="dxa"/>
              <w:bottom w:w="80" w:type="dxa"/>
              <w:end w:w="120" w:type="dxa"/>
            </w:tcMar>
            <w:vAlign w:val="center"/>
            <w:shd w:fill="E8EEF5"/>
          </w:tcPr>
          <w:p>
            <w:pPr>
              <w:jc w:val="center"/>
            </w:pPr>
            <w:r>
              <w:rPr>
                <w:rFonts w:ascii="Calibri" w:hAnsi="Calibri"/>
                <w:b/>
                <w:color w:val="1F4D78"/>
                <w:sz w:val="15"/>
              </w:rPr>
              <w:t>Technology / Provider</w:t>
            </w:r>
          </w:p>
        </w:tc>
        <w:tc>
          <w:tcPr>
            <w:tcW w:type="dxa" w:w="2500"/>
            <w:tcMar>
              <w:top w:w="80" w:type="dxa"/>
              <w:start w:w="120" w:type="dxa"/>
              <w:bottom w:w="80" w:type="dxa"/>
              <w:end w:w="120" w:type="dxa"/>
            </w:tcMar>
            <w:vAlign w:val="center"/>
            <w:shd w:fill="E8EEF5"/>
          </w:tcPr>
          <w:p>
            <w:pPr>
              <w:jc w:val="center"/>
            </w:pPr>
            <w:r>
              <w:rPr>
                <w:rFonts w:ascii="Calibri" w:hAnsi="Calibri"/>
                <w:b/>
                <w:color w:val="1F4D78"/>
                <w:sz w:val="15"/>
              </w:rPr>
              <w:t>Purpose</w:t>
            </w:r>
          </w:p>
        </w:tc>
        <w:tc>
          <w:tcPr>
            <w:tcW w:type="dxa" w:w="3160"/>
            <w:tcMar>
              <w:top w:w="80" w:type="dxa"/>
              <w:start w:w="120" w:type="dxa"/>
              <w:bottom w:w="80" w:type="dxa"/>
              <w:end w:w="120" w:type="dxa"/>
            </w:tcMar>
            <w:vAlign w:val="center"/>
            <w:shd w:fill="E8EEF5"/>
          </w:tcPr>
          <w:p>
            <w:pPr>
              <w:jc w:val="center"/>
            </w:pPr>
            <w:r>
              <w:rPr>
                <w:rFonts w:ascii="Calibri" w:hAnsi="Calibri"/>
                <w:b/>
                <w:color w:val="1F4D78"/>
                <w:sz w:val="15"/>
              </w:rPr>
              <w:t>Review Note</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User Interface</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Next.js Progressive Web App Over HTTPS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Browser and Installable PWA Experience</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No Native App-Store Installation Required</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Application Hosting</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IONOS-Hosted Infrastructure Managed Through Coolify</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Application Runtime</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Production Host Must Be in a Documented U.S. Region; Verify Disk Encryption and Hardening</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Edge / Security</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Cloudflare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DNS, TLS, Web Application Protection, Rate Limiting</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Confirm Configuration and Logging / Retention Settings</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Primary Data</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PostgreSQL / PostGIS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Accounts, Households, Rides, Approximate Geographic Matching</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U.S. Region; Private Network; Encryption at Rest; Field Protection for Exact Locations / Contact Data</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Transient / Cache</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Redis-Compatible Cache / Queue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Short-Lived Sessions, Queues, Throttling</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U.S. Region; TTL; Private Network; Never Authoritative Storage</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Backup / Object Storage</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Private IONOS S3-Compatible Bucket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Encrypted Off-Host Database Backups</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U.S. Bucket Only; Private ACL; Lifecycle; Restore Test; Object Lock if Approved</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Messaging</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Email Provider; Twilio SMS / RCS When Enabled</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Verification, Match, Reminder, STOP / HELP Messages</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Separate Opt-in; Confirm Provider Retention and Subprocessor Terms</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Calendar</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Google / Microsoft Calendar Connections Only if Enabled</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Optional Import / Sync of Approved Event Data</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Use Only Approved Calendar Source and Minimum OAuth Scopes</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Payment Processing</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Approved External Payment Processor Only if Contributions Are Enabled</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Optional Adult-User Contributions and Receipts</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Processor-Hosted Payment Fields; No Full Card Number or Security Code Stored by BandWagon; Verify Contract, Webhook Security, Retention, and Region</w:t>
            </w:r>
          </w:p>
        </w:tc>
      </w:tr>
      <w:tr>
        <w:trPr>
          <w:cantSplit/>
        </w:trPr>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Source Review</w:t>
            </w:r>
          </w:p>
        </w:tc>
        <w:tc>
          <w:tcPr>
            <w:tcW w:type="dxa" w:w="2450"/>
            <w:tcMar>
              <w:top w:w="80" w:type="dxa"/>
              <w:start w:w="120" w:type="dxa"/>
              <w:bottom w:w="80" w:type="dxa"/>
              <w:end w:w="120" w:type="dxa"/>
            </w:tcMar>
            <w:vAlign w:val="center"/>
          </w:tcPr>
          <w:p>
            <w:pPr>
              <w:spacing w:after="40" w:line="240" w:lineRule="auto"/>
            </w:pPr>
            <w:r>
              <w:rPr>
                <w:rFonts w:ascii="Calibri" w:hAnsi="Calibri"/>
                <w:color w:val="000000"/>
                <w:sz w:val="15"/>
              </w:rPr>
              <w:t>Public GitHub Repository</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Project Documentation, Published Code, and Change History</w:t>
            </w:r>
          </w:p>
        </w:tc>
        <w:tc>
          <w:tcPr>
            <w:tcW w:type="dxa" w:w="3160"/>
            <w:tcMar>
              <w:top w:w="80" w:type="dxa"/>
              <w:start w:w="120" w:type="dxa"/>
              <w:bottom w:w="80" w:type="dxa"/>
              <w:end w:w="120" w:type="dxa"/>
            </w:tcMar>
            <w:vAlign w:val="center"/>
          </w:tcPr>
          <w:p>
            <w:pPr>
              <w:spacing w:after="40" w:line="240" w:lineRule="auto"/>
            </w:pPr>
            <w:r>
              <w:rPr>
                <w:rFonts w:ascii="Calibri" w:hAnsi="Calibri"/>
                <w:color w:val="000000"/>
                <w:sz w:val="15"/>
              </w:rPr>
              <w:t>Verify the v1 Application Source and Explicit License; Do Not Publish Secrets, Production Data, or Configuration Credentials</w:t>
            </w:r>
          </w:p>
        </w:tc>
      </w:tr>
    </w:tbl>
    <w:p>
      <w:pPr>
        <w:spacing w:after="0"/>
      </w:pPr>
    </w:p>
    <w:p>
      <w:pPr>
        <w:pStyle w:val="Heading2"/>
      </w:pPr>
      <w:r>
        <w:t>Required Security Acceptance Criteria Before Pilot</w:t>
      </w:r>
    </w:p>
    <w:p>
      <w:pPr>
        <w:pStyle w:val="ListBullet"/>
      </w:pPr>
      <w:r>
        <w:t>HTTPS Is Enforced; Secure Cookies, CSRF Protection, Rate Limiting, Input Validation, and Safe Session Expiration Are Tested.</w:t>
      </w:r>
    </w:p>
    <w:p>
      <w:pPr>
        <w:pStyle w:val="ListBullet"/>
      </w:pPr>
      <w:r>
        <w:t>Administrative Accounts Use Strong Authentication and MFA Where Supported.</w:t>
      </w:r>
    </w:p>
    <w:p>
      <w:pPr>
        <w:pStyle w:val="ListBullet"/>
      </w:pPr>
      <w:r>
        <w:t>Separate Platform, Organization, Safety, Support, Parent, Student, and Driver Roles Are Enforced Server Side, Not Only Hidden in the Interface.</w:t>
      </w:r>
    </w:p>
    <w:p>
      <w:pPr>
        <w:pStyle w:val="ListBullet"/>
      </w:pPr>
      <w:r>
        <w:t>Production Secrets Are Stored Outside Source Code; Repository Secret Scanning Is Enabled.</w:t>
      </w:r>
    </w:p>
    <w:p>
      <w:pPr>
        <w:pStyle w:val="ListBullet"/>
      </w:pPr>
      <w:r>
        <w:t>Database, Cache, Log, and Backup Resources Are Deployed Only in the Approved U.S. Regions; Production Evidence Identifies Each Region and Account.</w:t>
      </w:r>
    </w:p>
    <w:p>
      <w:pPr>
        <w:pStyle w:val="ListBullet"/>
      </w:pPr>
      <w:r>
        <w:t>Database, Backup, and Administrative Access Are Restricted to Named Operators Following Least Privilege; Access Is Logged and Reviewed.</w:t>
      </w:r>
    </w:p>
    <w:p>
      <w:pPr>
        <w:pStyle w:val="ListBullet"/>
      </w:pPr>
      <w:r>
        <w:t>Backups Are Encrypted Before Transfer and at the Object-Storage Layer, Restoration Is Tested, and Backup Retention Is Included in Deletion Disclosures.</w:t>
      </w:r>
    </w:p>
    <w:p>
      <w:pPr>
        <w:pStyle w:val="ListBullet"/>
      </w:pPr>
      <w:r>
        <w:t>HTTPS / TLS Protects Browser and Provider Traffic; Database / Cache Traffic Stays on a Private Network or Uses Encrypted Connections.</w:t>
      </w:r>
    </w:p>
    <w:p>
      <w:pPr>
        <w:pStyle w:val="ListBullet"/>
      </w:pPr>
      <w:r>
        <w:t>Encryption Keys and Production Secrets Are Stored Separately from the Data, Rotated on an Approved Schedule, and Excluded from Source Control and Logs.</w:t>
      </w:r>
    </w:p>
    <w:p>
      <w:pPr>
        <w:pStyle w:val="ListBullet"/>
      </w:pPr>
      <w:r>
        <w:t>Vulnerability and Dependency Scanning Is Enabled; Critical Issues Block Release.</w:t>
      </w:r>
    </w:p>
    <w:p>
      <w:pPr>
        <w:pStyle w:val="ListBullet"/>
      </w:pPr>
      <w:r>
        <w:t>Security Logs Exclude Unnecessary Message Content, Tokens, Passwords, and Precise Addresses.</w:t>
      </w:r>
    </w:p>
    <w:p>
      <w:pPr>
        <w:pStyle w:val="ListBullet"/>
      </w:pPr>
      <w:r>
        <w:t>Admin Exports Are Disabled by Default or Limited, Logged, and Justified.</w:t>
      </w:r>
    </w:p>
    <w:p>
      <w:pPr>
        <w:pStyle w:val="ListBullet"/>
      </w:pPr>
      <w:r>
        <w:t>The Privacy Notice, Data Inventory, Subprocessor List, and Actual Application Behavior Match.</w:t>
      </w:r>
    </w:p>
    <w:p>
      <w:pPr>
        <w:pStyle w:val="ListBullet"/>
      </w:pPr>
      <w:r>
        <w:t>The Organization Feature Registry Defaults Every Optional Module to the Approved State; Disabled Modules Make No Provider Call and Collect No New Feature-Specific Data.</w:t>
      </w:r>
    </w:p>
    <w:p>
      <w:pPr>
        <w:pStyle w:val="ListBullet"/>
      </w:pPr>
      <w:r>
        <w:t>Contribution and Sponsor Features, if Enabled, Are Adult-Facing and Isolated from Matching, Safety, Student Screens, Participant Data, and Sponsor Access.</w:t>
      </w:r>
    </w:p>
    <w:p>
      <w:pPr>
        <w:pStyle w:val="ListBullet"/>
      </w:pPr>
      <w:r>
        <w:t>A Documented Vulnerability-Reporting Contact and Incident Response Procedure Are Published.</w:t>
      </w:r>
    </w:p>
    <w:p>
      <w:pPr>
        <w:pStyle w:val="Heading2"/>
      </w:pPr>
      <w:r>
        <w:t>Proposed Retention Schedule - for Review</w:t>
      </w:r>
    </w:p>
    <w:tbl>
      <w:tblPr>
        <w:tblStyle w:val="TableGrid"/>
        <w:tblW w:type="dxa" w:w="9360"/>
        <w:tblLayout w:type="fixed"/>
        <w:tblLook w:firstColumn="1" w:firstRow="1" w:lastColumn="0" w:lastRow="0" w:noHBand="0" w:noVBand="1" w:val="04A0"/>
        <w:jc w:val="left"/>
        <w:tblInd w:w="120" w:type="dxa"/>
      </w:tblPr>
      <w:tblGrid>
        <w:gridCol w:w="2400"/>
        <w:gridCol w:w="2600"/>
        <w:gridCol w:w="4360"/>
      </w:tblGrid>
      <w:tr>
        <w:trPr>
          <w:cantSplit/>
          <w:tblHeader w:val="true"/>
        </w:trPr>
        <w:tc>
          <w:tcPr>
            <w:tcW w:type="dxa" w:w="2400"/>
            <w:tcMar>
              <w:top w:w="80" w:type="dxa"/>
              <w:start w:w="120" w:type="dxa"/>
              <w:bottom w:w="80" w:type="dxa"/>
              <w:end w:w="120" w:type="dxa"/>
            </w:tcMar>
            <w:vAlign w:val="center"/>
            <w:shd w:fill="E8EEF5"/>
          </w:tcPr>
          <w:p>
            <w:pPr>
              <w:jc w:val="center"/>
            </w:pPr>
            <w:r>
              <w:rPr>
                <w:rFonts w:ascii="Calibri" w:hAnsi="Calibri"/>
                <w:b/>
                <w:color w:val="1F4D78"/>
                <w:sz w:val="16"/>
              </w:rPr>
              <w:t>Record</w:t>
            </w:r>
          </w:p>
        </w:tc>
        <w:tc>
          <w:tcPr>
            <w:tcW w:type="dxa" w:w="2600"/>
            <w:tcMar>
              <w:top w:w="80" w:type="dxa"/>
              <w:start w:w="120" w:type="dxa"/>
              <w:bottom w:w="80" w:type="dxa"/>
              <w:end w:w="120" w:type="dxa"/>
            </w:tcMar>
            <w:vAlign w:val="center"/>
            <w:shd w:fill="E8EEF5"/>
          </w:tcPr>
          <w:p>
            <w:pPr>
              <w:jc w:val="center"/>
            </w:pPr>
            <w:r>
              <w:rPr>
                <w:rFonts w:ascii="Calibri" w:hAnsi="Calibri"/>
                <w:b/>
                <w:color w:val="1F4D78"/>
                <w:sz w:val="16"/>
              </w:rPr>
              <w:t>Proposed Retention</w:t>
            </w:r>
          </w:p>
        </w:tc>
        <w:tc>
          <w:tcPr>
            <w:tcW w:type="dxa" w:w="4360"/>
            <w:tcMar>
              <w:top w:w="80" w:type="dxa"/>
              <w:start w:w="120" w:type="dxa"/>
              <w:bottom w:w="80" w:type="dxa"/>
              <w:end w:w="120" w:type="dxa"/>
            </w:tcMar>
            <w:vAlign w:val="center"/>
            <w:shd w:fill="E8EEF5"/>
          </w:tcPr>
          <w:p>
            <w:pPr>
              <w:jc w:val="center"/>
            </w:pPr>
            <w:r>
              <w:rPr>
                <w:rFonts w:ascii="Calibri" w:hAnsi="Calibri"/>
                <w:b/>
                <w:color w:val="1F4D78"/>
                <w:sz w:val="16"/>
              </w:rPr>
              <w:t>Reason / Condition</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Unmatched or Cancelled Request</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30 Days After Cancellation / Expiration</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Short Operational Window; Remove Precise Location Sooner if Supplied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Precise Pickup / Drop Details</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30 Days After Completed Ride</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Supports Immediate Dispute or Lost-Item Follow-Up While Minimizing Long-Term Exposure</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Completed Ride History without Precise Addresses</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12 Months</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Operational Accountability and De-Identified Metrics; Insurer / Counsel Should Confirm</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Message Content</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90 Days or Less</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Retain Delivery / Status Metadata Longer Only When Necessary; Avoid Unnecessary Message Storage</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Consent and Terms Acceptance Record</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Account Life Plus Period Directed by Counsel / Insurer</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Evidence of Authorization; Duration Must Be Formally Approved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Security / Audit Logs</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12-18 Months</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No OTPs, Tokens, Message Bodies, or Unnecessary Sensitive Fields; Shorter Online Window May Be Used</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Contribution Transaction and Receipt Record</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Per Approved Accounting, Processor, Tax, Dispute, and Legal Requirements</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Keep Only the Minimum Financial Record; Do Not Retain Full Card Data or Join Contribution History to Matching, Safety, or Sponsor Targeting</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Account After Verified Deletion Request</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Disable Immediately; Production Deletion Within 30 Days; Backups Expire on Normal Cycle</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Right-to-Be-Forgotten Workflow, Subject to Legal Hold and Safety Records</w:t>
            </w:r>
          </w:p>
        </w:tc>
      </w:tr>
      <w:tr>
        <w:trPr>
          <w:cantSplit/>
        </w:trPr>
        <w:tc>
          <w:tcPr>
            <w:tcW w:type="dxa" w:w="2400"/>
            <w:tcMar>
              <w:top w:w="80" w:type="dxa"/>
              <w:start w:w="120" w:type="dxa"/>
              <w:bottom w:w="80" w:type="dxa"/>
              <w:end w:w="120" w:type="dxa"/>
            </w:tcMar>
            <w:vAlign w:val="center"/>
          </w:tcPr>
          <w:p>
            <w:pPr>
              <w:spacing w:after="40" w:line="240" w:lineRule="auto"/>
            </w:pPr>
            <w:r>
              <w:rPr>
                <w:rFonts w:ascii="Calibri" w:hAnsi="Calibri"/>
                <w:color w:val="000000"/>
                <w:sz w:val="16"/>
              </w:rPr>
              <w:t>Incident Case</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6"/>
              </w:rPr>
              <w:t>Per Insurer / Counsel Direction and Any Legal Hold</w:t>
            </w:r>
          </w:p>
        </w:tc>
        <w:tc>
          <w:tcPr>
            <w:tcW w:type="dxa" w:w="4360"/>
            <w:tcMar>
              <w:top w:w="80" w:type="dxa"/>
              <w:start w:w="120" w:type="dxa"/>
              <w:bottom w:w="80" w:type="dxa"/>
              <w:end w:w="120" w:type="dxa"/>
            </w:tcMar>
            <w:vAlign w:val="center"/>
          </w:tcPr>
          <w:p>
            <w:pPr>
              <w:spacing w:after="40" w:line="240" w:lineRule="auto"/>
            </w:pPr>
            <w:r>
              <w:rPr>
                <w:rFonts w:ascii="Calibri" w:hAnsi="Calibri"/>
                <w:color w:val="000000"/>
                <w:sz w:val="16"/>
              </w:rPr>
              <w:t>Do Not Delete Material Evidence During an Active Matter</w:t>
            </w:r>
          </w:p>
        </w:tc>
      </w:tr>
    </w:tbl>
    <w:p>
      <w:pPr>
        <w:spacing w:after="0"/>
      </w:pPr>
    </w:p>
    <w:p>
      <w:pPr>
        <w:pStyle w:val="SmallNote"/>
      </w:pPr>
      <w:r>
        <w:t>Retention values are proposed design targets, not legal conclusions. The organization should not approve final periods without the insurer / counsel and External reviewers confirming any required duration.</w:t>
      </w:r>
    </w:p>
    <w:p>
      <w:pPr>
        <w:pStyle w:val="Heading2"/>
      </w:pPr>
      <w:r>
        <w:t>FERPA, COPPA, and Directory Information Position</w:t>
      </w:r>
    </w:p>
    <w:p>
      <w:pPr>
        <w:pStyle w:val="ListBullet"/>
      </w:pPr>
      <w:r>
        <w:t>FERPA Primarily Governs Education Records Maintained by or for a School. Avoiding Institution-Provided Education Records Materially Reduces the FERPA Issue; It Does Not Authorize Staff to Disclose Records Informally. If a School Provides Data or Treats the Service as an Outsourced Institutional Function, Written Control, Purpose Limits, Redisclosure Limits, and an Appropriate Data Agreement Should Be Expected. See Sources S1, S2, and S3.</w:t>
      </w:r>
    </w:p>
    <w:p>
      <w:pPr>
        <w:pStyle w:val="ListBullet"/>
      </w:pPr>
      <w:r>
        <w:t>A School or Other Institution Should Not Supply a Roster Based on Assumptions About Directory-Information Status or Informal Staff Knowledge. Parent-Initiated Enrollment Avoids That Dependency. Any Institution-Provided Roster or Identifier Requires Separate Written Review. See Source S1.</w:t>
      </w:r>
    </w:p>
    <w:p>
      <w:pPr>
        <w:pStyle w:val="ListBullet"/>
      </w:pPr>
      <w:r>
        <w:t>COPPA Applies to Online Services Directed to Children Under 13 or That Knowingly Collect Their Personal Information. The Safest Pilot Design Prohibits an Independent Under-13 Account and Requires a Parent-Controlled Household. The 2025 Amendments Emphasize Verifiable Parental Consent, Data Minimization, Limits on Third-Party Disclosure, and Retention Only as Long as Reasonably Necessary. See Sources S4, S5, and S6.</w:t>
      </w:r>
    </w:p>
    <w:p>
      <w:pPr>
        <w:pStyle w:val="ListBullet"/>
      </w:pPr>
      <w:r>
        <w:t>Each Applicable School, District, League, Church, Nonprofit, Host Site, or Other Governing Authority Must Decide Whether Its Procurement, Approved-App, Data-Sharing, Security-Review, Acceptable-Use, Device, Volunteer, or Vendor-Agreement Process Applies to the Proposed Pilot. The Decision and Controlling Local Policy Should Be Attached to This Package.</w:t>
      </w: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Technology / Data Privacy Reviewer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State Whether the Proposed Pilot May Proceed and Identify Required Privacy, Security, Vendor, Device, Domain, and Agreement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Include Required DPA / Questionnaire, Approved Device Posture, Incident Contact, Calendar / Data Restrictions, and Any Required Changes.</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REVIEW 4A - PRIVACY</w:t>
      </w:r>
    </w:p>
    <w:p>
      <w:pPr>
        <w:pStyle w:val="Heading1"/>
      </w:pPr>
      <w:r>
        <w:t>Deep Privacy Review</w:t>
      </w:r>
    </w:p>
    <w:p>
      <w:pPr>
        <w:spacing w:after="240"/>
      </w:pPr>
      <w:r>
        <w:rPr>
          <w:rFonts w:ascii="Calibri" w:hAnsi="Calibri"/>
          <w:i/>
          <w:color w:val="5C6B7A"/>
          <w:sz w:val="22"/>
        </w:rPr>
        <w:t>A standalone record of what is collected, why it is needed, who can see it, where it lives, and when it is removed.</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Privacy Promise: </w:t>
            </w:r>
            <w:r>
              <w:rPr>
                <w:rFonts w:ascii="Calibri" w:hAnsi="Calibri"/>
                <w:color w:val="000000"/>
              </w:rPr>
              <w:t>Collect Only What Is Necessary to Coordinate a Voluntary Ride; Keep Exact Locations and Direct Contact Hidden Until a Confirmed Match Needs Them; Give Parents Control Over Minors; Give Organization Administrators Least-Privilege Access; Never Sell Data, Use Behavioral Advertising, Bapplicable Program Rulesd Public Reputation Scores, or Train a General AI Model on Participant Data.</w:t>
            </w:r>
          </w:p>
        </w:tc>
      </w:tr>
    </w:tbl>
    <w:p>
      <w:pPr>
        <w:spacing w:after="0"/>
      </w:pPr>
    </w:p>
    <w:p>
      <w:pPr>
        <w:pStyle w:val="Heading2"/>
      </w:pPr>
      <w:r>
        <w:t>1. Privacy Scope and Assumptions</w:t>
      </w:r>
    </w:p>
    <w:p>
      <w:pPr>
        <w:pStyle w:val="ListBullet"/>
      </w:pPr>
      <w:r>
        <w:t>Parents Enroll Voluntarily. Affiliated Institution Does Not Provide a Roster, Student ID, District Account, Address, Grades, Attendance, Discipline, IEP / 504 Information, or Official Transportation Records.</w:t>
      </w:r>
    </w:p>
    <w:p>
      <w:pPr>
        <w:pStyle w:val="ListBullet"/>
      </w:pPr>
      <w:r>
        <w:t>The Pilot Is Adult-Driver Only and Parent Managed. A Minor Does Not Independently Authorize a Ride or an Expansion of Data Use.</w:t>
      </w:r>
    </w:p>
    <w:p>
      <w:pPr>
        <w:pStyle w:val="ListBullet"/>
      </w:pPr>
      <w:r>
        <w:t>Core Matching Uses Organization Membership, Time, Direction, Capacity, Service Area, Visibility, and Block Rules. It Does Not Require Live Tracking, Background Profiling, Public Ratings, or AI Scoring.</w:t>
      </w:r>
    </w:p>
    <w:p>
      <w:pPr>
        <w:pStyle w:val="ListBullet"/>
      </w:pPr>
      <w:r>
        <w:t>Exact Pickup / Drop-Off Data and Direct Contact Are Restricted Information, Not Directory Data. Approximate Areas Are Used for Discovery Whenever Possible.</w:t>
      </w:r>
    </w:p>
    <w:p>
      <w:pPr>
        <w:pStyle w:val="ListBullet"/>
      </w:pPr>
      <w:r>
        <w:t>Privacy Documentation Must Describe the Deployed v1 Behavior. A Policy Statement without Matching Technical Controls Is Not Sufficient Evidence.</w:t>
      </w:r>
    </w:p>
    <w:p>
      <w:pPr>
        <w:pStyle w:val="Heading2"/>
      </w:pPr>
      <w:r>
        <w:t>2. Data Classification</w:t>
      </w:r>
    </w:p>
    <w:tbl>
      <w:tblPr>
        <w:tblStyle w:val="TableGrid"/>
        <w:tblW w:type="dxa" w:w="9360"/>
        <w:tblLayout w:type="fixed"/>
        <w:tblLook w:firstColumn="1" w:firstRow="1" w:lastColumn="0" w:lastRow="0" w:noHBand="0" w:noVBand="1" w:val="04A0"/>
        <w:jc w:val="left"/>
        <w:tblInd w:w="120" w:type="dxa"/>
      </w:tblPr>
      <w:tblGrid>
        <w:gridCol w:w="1650"/>
        <w:gridCol w:w="2600"/>
        <w:gridCol w:w="2350"/>
        <w:gridCol w:w="2760"/>
      </w:tblGrid>
      <w:tr>
        <w:trPr>
          <w:cantSplit/>
          <w:tblHeader w:val="true"/>
        </w:trPr>
        <w:tc>
          <w:tcPr>
            <w:tcW w:type="dxa" w:w="1650"/>
            <w:tcMar>
              <w:top w:w="80" w:type="dxa"/>
              <w:start w:w="120" w:type="dxa"/>
              <w:bottom w:w="80" w:type="dxa"/>
              <w:end w:w="120" w:type="dxa"/>
            </w:tcMar>
            <w:vAlign w:val="center"/>
            <w:shd w:fill="E8EEF5"/>
          </w:tcPr>
          <w:p>
            <w:pPr>
              <w:jc w:val="center"/>
            </w:pPr>
            <w:r>
              <w:rPr>
                <w:rFonts w:ascii="Calibri" w:hAnsi="Calibri"/>
                <w:b/>
                <w:color w:val="1F4D78"/>
                <w:sz w:val="15"/>
              </w:rPr>
              <w:t>Class</w:t>
            </w:r>
          </w:p>
        </w:tc>
        <w:tc>
          <w:tcPr>
            <w:tcW w:type="dxa" w:w="2600"/>
            <w:tcMar>
              <w:top w:w="80" w:type="dxa"/>
              <w:start w:w="120" w:type="dxa"/>
              <w:bottom w:w="80" w:type="dxa"/>
              <w:end w:w="120" w:type="dxa"/>
            </w:tcMar>
            <w:vAlign w:val="center"/>
            <w:shd w:fill="E8EEF5"/>
          </w:tcPr>
          <w:p>
            <w:pPr>
              <w:jc w:val="center"/>
            </w:pPr>
            <w:r>
              <w:rPr>
                <w:rFonts w:ascii="Calibri" w:hAnsi="Calibri"/>
                <w:b/>
                <w:color w:val="1F4D78"/>
                <w:sz w:val="15"/>
              </w:rPr>
              <w:t>Examples</w:t>
            </w:r>
          </w:p>
        </w:tc>
        <w:tc>
          <w:tcPr>
            <w:tcW w:type="dxa" w:w="2350"/>
            <w:tcMar>
              <w:top w:w="80" w:type="dxa"/>
              <w:start w:w="120" w:type="dxa"/>
              <w:bottom w:w="80" w:type="dxa"/>
              <w:end w:w="120" w:type="dxa"/>
            </w:tcMar>
            <w:vAlign w:val="center"/>
            <w:shd w:fill="E8EEF5"/>
          </w:tcPr>
          <w:p>
            <w:pPr>
              <w:jc w:val="center"/>
            </w:pPr>
            <w:r>
              <w:rPr>
                <w:rFonts w:ascii="Calibri" w:hAnsi="Calibri"/>
                <w:b/>
                <w:color w:val="1F4D78"/>
                <w:sz w:val="15"/>
              </w:rPr>
              <w:t>Default Visibility</w:t>
            </w:r>
          </w:p>
        </w:tc>
        <w:tc>
          <w:tcPr>
            <w:tcW w:type="dxa" w:w="2760"/>
            <w:tcMar>
              <w:top w:w="80" w:type="dxa"/>
              <w:start w:w="120" w:type="dxa"/>
              <w:bottom w:w="80" w:type="dxa"/>
              <w:end w:w="120" w:type="dxa"/>
            </w:tcMar>
            <w:vAlign w:val="center"/>
            <w:shd w:fill="E8EEF5"/>
          </w:tcPr>
          <w:p>
            <w:pPr>
              <w:jc w:val="center"/>
            </w:pPr>
            <w:r>
              <w:rPr>
                <w:rFonts w:ascii="Calibri" w:hAnsi="Calibri"/>
                <w:b/>
                <w:color w:val="1F4D78"/>
                <w:sz w:val="15"/>
              </w:rPr>
              <w:t>Required Protection</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Public / Invitation</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Product Name, Public Event Title, General Pilot Description</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Anyone Receiving Approved Material</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No Personal or Ride Data</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Organization-Limited</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Display Name, Approved Bio, General Area, Event / Time, Available Seats</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Approved Group Members as Configured</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Authentication, Tenant Boundary, Minimum Disclosure</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Matched-Private</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Participant Identity, Exact Pickup / Drop-Off, Instructions, Selected Contact Details</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Confirmed Ride Participants Only</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Field / Access Protection, Audit, Short Retention</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Household-Private</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Guardian Relationship, Minor Permissions, Consent Choices, Household Addresses</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Household Managers and the Individual</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Guardian Controls, Step-Up for Sensitive Changes</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Financial Support</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Contribution Amount / Status, Receipt Contact, Processor Reference, Acknowledgement Choice</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Contributor and Limited Finance / Support Role</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Processor-Hosted Payment Fields, Purpose Separation, No Sponsor Access, Approved Financial Retention</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Restricted Operations</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Verification Status, Block / Report Case, Admin Action, Authentication / Security Event</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Named Operational, Safety, or Security Role Only</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Least Privilege, Purpose-Limited Access, Audit Trail</w:t>
            </w:r>
          </w:p>
        </w:tc>
      </w:tr>
      <w:tr>
        <w:trPr>
          <w:cantSplit/>
        </w:trPr>
        <w:tc>
          <w:tcPr>
            <w:tcW w:type="dxa" w:w="1650"/>
            <w:tcMar>
              <w:top w:w="80" w:type="dxa"/>
              <w:start w:w="120" w:type="dxa"/>
              <w:bottom w:w="80" w:type="dxa"/>
              <w:end w:w="120" w:type="dxa"/>
            </w:tcMar>
            <w:vAlign w:val="center"/>
          </w:tcPr>
          <w:p>
            <w:pPr>
              <w:spacing w:after="40" w:line="240" w:lineRule="auto"/>
            </w:pPr>
            <w:r>
              <w:rPr>
                <w:rFonts w:ascii="Calibri" w:hAnsi="Calibri"/>
                <w:color w:val="000000"/>
                <w:sz w:val="15"/>
              </w:rPr>
              <w:t>Prohibited / Out of Scope</w:t>
            </w:r>
          </w:p>
        </w:tc>
        <w:tc>
          <w:tcPr>
            <w:tcW w:type="dxa" w:w="2600"/>
            <w:tcMar>
              <w:top w:w="80" w:type="dxa"/>
              <w:start w:w="120" w:type="dxa"/>
              <w:bottom w:w="80" w:type="dxa"/>
              <w:end w:w="120" w:type="dxa"/>
            </w:tcMar>
            <w:vAlign w:val="center"/>
          </w:tcPr>
          <w:p>
            <w:pPr>
              <w:spacing w:after="40" w:line="240" w:lineRule="auto"/>
            </w:pPr>
            <w:r>
              <w:rPr>
                <w:rFonts w:ascii="Calibri" w:hAnsi="Calibri"/>
                <w:color w:val="000000"/>
                <w:sz w:val="15"/>
              </w:rPr>
              <w:t>Affiliated Institution Credentials, Grades, Attendance, IEP / 504, Medical History, Live GPS, License Image / Number, Insurance or Registration Document, Background Report</w:t>
            </w:r>
          </w:p>
        </w:tc>
        <w:tc>
          <w:tcPr>
            <w:tcW w:type="dxa" w:w="2350"/>
            <w:tcMar>
              <w:top w:w="80" w:type="dxa"/>
              <w:start w:w="120" w:type="dxa"/>
              <w:bottom w:w="80" w:type="dxa"/>
              <w:end w:w="120" w:type="dxa"/>
            </w:tcMar>
            <w:vAlign w:val="center"/>
          </w:tcPr>
          <w:p>
            <w:pPr>
              <w:spacing w:after="40" w:line="240" w:lineRule="auto"/>
            </w:pPr>
            <w:r>
              <w:rPr>
                <w:rFonts w:ascii="Calibri" w:hAnsi="Calibri"/>
                <w:color w:val="000000"/>
                <w:sz w:val="15"/>
              </w:rPr>
              <w:t>Not Collected</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5"/>
              </w:rPr>
              <w:t>Schema / UI Rejection, Staff Training, Log / Content Tests</w:t>
            </w:r>
          </w:p>
        </w:tc>
      </w:tr>
    </w:tbl>
    <w:p>
      <w:pPr>
        <w:spacing w:after="0"/>
      </w:pPr>
    </w:p>
    <w:p>
      <w:pPr>
        <w:pStyle w:val="Heading2"/>
      </w:pPr>
      <w:r>
        <w:t>3. What the Platform Can See</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Plain-Language Answer: </w:t>
            </w:r>
            <w:r>
              <w:rPr>
                <w:rFonts w:ascii="Calibri" w:hAnsi="Calibri"/>
                <w:color w:val="000000"/>
              </w:rPr>
              <w:t>The BandWagon Application Must Process Enough Information to Authenticate Users, Match Requests, Deliver Messages, Protect Accounts, and Complete Approved Rides. That Is Broader Than What Any Participant or Organization Administrator Can View. Encryption in Transit and at Rest Protects Data from Interception and Storage Theft; It Does Not Make Data Unreadable to the Authorized Application While Performing an Approved Function. Human Access by Platform Personnel Is Not Routine and Must Be Named, Least-Privileged, Time-Limited, Logged, and Tied to Support, Security, Privacy, Financial Reconciliation, or an Incident.</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1700"/>
        <w:gridCol w:w="3200"/>
        <w:gridCol w:w="2160"/>
        <w:gridCol w:w="2300"/>
      </w:tblGrid>
      <w:tr>
        <w:trPr>
          <w:cantSplit/>
          <w:tblHeader w:val="true"/>
        </w:trPr>
        <w:tc>
          <w:tcPr>
            <w:tcW w:type="dxa" w:w="1700"/>
            <w:tcMar>
              <w:top w:w="80" w:type="dxa"/>
              <w:start w:w="120" w:type="dxa"/>
              <w:bottom w:w="80" w:type="dxa"/>
              <w:end w:w="120" w:type="dxa"/>
            </w:tcMar>
            <w:vAlign w:val="center"/>
            <w:shd w:fill="E8EEF5"/>
          </w:tcPr>
          <w:p>
            <w:pPr>
              <w:jc w:val="center"/>
            </w:pPr>
            <w:r>
              <w:rPr>
                <w:rFonts w:ascii="Calibri" w:hAnsi="Calibri"/>
                <w:b/>
                <w:color w:val="1F4D78"/>
                <w:sz w:val="14"/>
              </w:rPr>
              <w:t>Data Area</w:t>
            </w:r>
          </w:p>
        </w:tc>
        <w:tc>
          <w:tcPr>
            <w:tcW w:type="dxa" w:w="3200"/>
            <w:tcMar>
              <w:top w:w="80" w:type="dxa"/>
              <w:start w:w="120" w:type="dxa"/>
              <w:bottom w:w="80" w:type="dxa"/>
              <w:end w:w="120" w:type="dxa"/>
            </w:tcMar>
            <w:vAlign w:val="center"/>
            <w:shd w:fill="E8EEF5"/>
          </w:tcPr>
          <w:p>
            <w:pPr>
              <w:jc w:val="center"/>
            </w:pPr>
            <w:r>
              <w:rPr>
                <w:rFonts w:ascii="Calibri" w:hAnsi="Calibri"/>
                <w:b/>
                <w:color w:val="1F4D78"/>
                <w:sz w:val="14"/>
              </w:rPr>
              <w:t>What the Automated Platform Processes</w:t>
            </w:r>
          </w:p>
        </w:tc>
        <w:tc>
          <w:tcPr>
            <w:tcW w:type="dxa" w:w="2160"/>
            <w:tcMar>
              <w:top w:w="80" w:type="dxa"/>
              <w:start w:w="120" w:type="dxa"/>
              <w:bottom w:w="80" w:type="dxa"/>
              <w:end w:w="120" w:type="dxa"/>
            </w:tcMar>
            <w:vAlign w:val="center"/>
            <w:shd w:fill="E8EEF5"/>
          </w:tcPr>
          <w:p>
            <w:pPr>
              <w:jc w:val="center"/>
            </w:pPr>
            <w:r>
              <w:rPr>
                <w:rFonts w:ascii="Calibri" w:hAnsi="Calibri"/>
                <w:b/>
                <w:color w:val="1F4D78"/>
                <w:sz w:val="14"/>
              </w:rPr>
              <w:t>Routine Human Platform Visibility</w:t>
            </w:r>
          </w:p>
        </w:tc>
        <w:tc>
          <w:tcPr>
            <w:tcW w:type="dxa" w:w="2300"/>
            <w:tcMar>
              <w:top w:w="80" w:type="dxa"/>
              <w:start w:w="120" w:type="dxa"/>
              <w:bottom w:w="80" w:type="dxa"/>
              <w:end w:w="120" w:type="dxa"/>
            </w:tcMar>
            <w:vAlign w:val="center"/>
            <w:shd w:fill="E8EEF5"/>
          </w:tcPr>
          <w:p>
            <w:pPr>
              <w:jc w:val="center"/>
            </w:pPr>
            <w:r>
              <w:rPr>
                <w:rFonts w:ascii="Calibri" w:hAnsi="Calibri"/>
                <w:b/>
                <w:color w:val="1F4D78"/>
                <w:sz w:val="14"/>
              </w:rPr>
              <w:t>Primary Controls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Account and Access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Name, Verified Email / Mobile, Organization Membership, Authentication State, Session and Security Metadata.</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Support Sees Minimum Account State When Requested; Security Personnel May Review Relevant Authentication Events.</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Role Separation, MFA for Admins, Short-Lived Tokens, Rate Limits, Logging, and No Password / OTP Logging.</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Household and Guardian Control</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Household Members, Guardian Relationship, Linked Student, Permissions, Policy / Consent Version and Choices.</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No Routine Browsing. Limited Support or Privacy Access Only for a Verified Request or Documented Exception.</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Guardian Authority, Step-Up Verification, Least Privilege, Audit Trail, and Deletion / Correction Workflow.</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Ride Discovery</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Event, Time, Direction, Seats, Approximate Area, Eligibility State, Block Rules, and Approved Preview Fields.</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Operations May See Limited Status and Generalized Fields Only When Needed to Resolve a Problem.</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Tenant Boundary, Minimum Preview, Exact-Location Gate, Purpose Limitation, and Short Retention.</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Confirmed Ride Logistics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Matched Identities, Exact Pickup / Drop Details, Instructions, and Approved Contact Fields Needed to Complete the Ride.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No Standing Browse Access. Time-Limited Support, Safety, or Security Access May Be Granted for a Documented Case.</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Confirmed-Match Authorization, Restricted Fields, Field / Access Protection, Case Logging, and Earlier Deletion of Exact Locations.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Matching Preferences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Private Service Area, Route Corridor, Direction, Availability, Arrival Buffer, Seat Count, and Detour Tolerance.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No Routine Route View. Support May See Configuration State without Exposing Geometry; Incident Access Requires Documented Need.</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Server-Side Comparison, Protected Geometry, No Route Display to Requesters / Admins, No Live GPS, Pause / Delete Controls.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Communications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Email / SMS / RCS Destination, Template Variables, Consent State, Delivery Status, STOP / HELP State, and Approved Message Content Where Stored.</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Messaging Support Sees Delivery and Consent Status; Message Content Only When Needed for a Documented Support, Safety, or Security Case.</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Channel Consent, Minimization, Short Content Retention, Provider Controls, Redacted Logs, and No Marketing Reuse.</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Calendar and Mapping</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Minimum Event / Calendar Fields and Address or Approximate Geometry Required for an Enabled Sync, Geocode, Route, or Time Estimate.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No Routine Human View Beyond Approved Configuration and Troubleshooting Metadata.</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Organization and User Opt-in, Minimum OAuth Scopes, Provider Disclosure, Feature Disablement, Cache / Retention Limits.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Safety and Incident</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Block Relationships, Reports, Relevant Ride / Account Evidence, Status, Case Owner, and Preservation State.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Only Named Safety, Security, Privacy, or Legal / Insurer Roles Assigned to the Case.</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Separate Role, Case-Scoped Access, Immutable Audit, Need-to-Know Disclosure, and Approved Hold / Retention.</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Contributions and Receipts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Amount, Currency, Transaction Status, Processor Reference, Receipt Destination, Source Context, and Optional Acknowledgement Choice.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Limited Finance / Support Personnel May Reconcile a Transaction or Resolve a Verified Contributor Request.</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External Processor, No Full Card Data, Financial-Role Separation, No Ride-Profile Joining, No Sponsor or Organization Access Beyond Approved Records.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AI Payload, Only if Enabled</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Only the Minimized / Redacted Text and Neutral Context Approved for the Specific Organization Module.</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No Routine Prompt Browsing. Limited De-Identified Error Review Only Under the Approved AI Impact Record.</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Organization Flag Plus User Notice / Choice, No Prompt Logging, No Training, Provider Limits, Schema Validation, and Deterministic Fallback.</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Security and Operations</w:t>
            </w:r>
          </w:p>
        </w:tc>
        <w:tc>
          <w:tcPr>
            <w:tcW w:type="dxa" w:w="3200"/>
            <w:tcMar>
              <w:top w:w="80" w:type="dxa"/>
              <w:start w:w="120" w:type="dxa"/>
              <w:bottom w:w="80" w:type="dxa"/>
              <w:end w:w="120" w:type="dxa"/>
            </w:tcMar>
            <w:vAlign w:val="center"/>
          </w:tcPr>
          <w:p>
            <w:pPr>
              <w:spacing w:after="40" w:line="240" w:lineRule="auto"/>
            </w:pPr>
            <w:r>
              <w:rPr>
                <w:rFonts w:ascii="Calibri" w:hAnsi="Calibri"/>
                <w:color w:val="000000"/>
                <w:sz w:val="14"/>
              </w:rPr>
              <w:t>IP / Device Security Metadata, Admin Actions, Request IDs, Error Codes, Service Health, and Redacted Operational Logs.</w:t>
            </w:r>
          </w:p>
        </w:tc>
        <w:tc>
          <w:tcPr>
            <w:tcW w:type="dxa" w:w="2160"/>
            <w:tcMar>
              <w:top w:w="80" w:type="dxa"/>
              <w:start w:w="120" w:type="dxa"/>
              <w:bottom w:w="80" w:type="dxa"/>
              <w:end w:w="120" w:type="dxa"/>
            </w:tcMar>
            <w:vAlign w:val="center"/>
          </w:tcPr>
          <w:p>
            <w:pPr>
              <w:spacing w:after="40" w:line="240" w:lineRule="auto"/>
            </w:pPr>
            <w:r>
              <w:rPr>
                <w:rFonts w:ascii="Calibri" w:hAnsi="Calibri"/>
                <w:color w:val="000000"/>
                <w:sz w:val="14"/>
              </w:rPr>
              <w:t>Named Platform Security / Operations Personnel According to Assigned Responsibility.</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Allowlist Logging, Restricted Log Access, U.S. Storage, Alerting, Retention, Access Review, and Incident Response.</w:t>
            </w:r>
          </w:p>
        </w:tc>
      </w:tr>
    </w:tbl>
    <w:p>
      <w:pPr>
        <w:spacing w:after="0"/>
      </w:pPr>
    </w:p>
    <w:p>
      <w:r>
        <w:t>The platform does not need and should not collect affiliated institution passwords, student IDs, grades, attendance, discipline, IEP / 504 records, medical history, full payment-card data, driver-license or insurance documents, background reports, live GPS, continuous trip history, unrelated device contacts, photos, files, or browsing activity. If a future feature would add one of these categories, it is outside the approved scope and remains disabled until separately reviewed and approved.</w:t>
      </w:r>
    </w:p>
    <w:p>
      <w:pPr>
        <w:pStyle w:val="Heading2"/>
      </w:pPr>
      <w:r>
        <w:t>4. Purpose-by-Purpose Data Lifecycle</w:t>
      </w:r>
    </w:p>
    <w:tbl>
      <w:tblPr>
        <w:tblStyle w:val="TableGrid"/>
        <w:tblW w:type="dxa" w:w="9360"/>
        <w:tblLayout w:type="fixed"/>
        <w:tblLook w:firstColumn="1" w:firstRow="1" w:lastColumn="0" w:lastRow="0" w:noHBand="0" w:noVBand="1" w:val="04A0"/>
        <w:jc w:val="left"/>
        <w:tblInd w:w="120" w:type="dxa"/>
      </w:tblPr>
      <w:tblGrid>
        <w:gridCol w:w="1350"/>
        <w:gridCol w:w="2950"/>
        <w:gridCol w:w="2800"/>
        <w:gridCol w:w="2260"/>
      </w:tblGrid>
      <w:tr>
        <w:trPr>
          <w:cantSplit/>
          <w:tblHeader w:val="true"/>
        </w:trPr>
        <w:tc>
          <w:tcPr>
            <w:tcW w:type="dxa" w:w="1350"/>
            <w:tcMar>
              <w:top w:w="80" w:type="dxa"/>
              <w:start w:w="120" w:type="dxa"/>
              <w:bottom w:w="80" w:type="dxa"/>
              <w:end w:w="120" w:type="dxa"/>
            </w:tcMar>
            <w:vAlign w:val="center"/>
            <w:shd w:fill="E8EEF5"/>
          </w:tcPr>
          <w:p>
            <w:pPr>
              <w:jc w:val="center"/>
            </w:pPr>
            <w:r>
              <w:rPr>
                <w:rFonts w:ascii="Calibri" w:hAnsi="Calibri"/>
                <w:b/>
                <w:color w:val="1F4D78"/>
                <w:sz w:val="14"/>
              </w:rPr>
              <w:t>Stage</w:t>
            </w:r>
          </w:p>
        </w:tc>
        <w:tc>
          <w:tcPr>
            <w:tcW w:type="dxa" w:w="2950"/>
            <w:tcMar>
              <w:top w:w="80" w:type="dxa"/>
              <w:start w:w="120" w:type="dxa"/>
              <w:bottom w:w="80" w:type="dxa"/>
              <w:end w:w="120" w:type="dxa"/>
            </w:tcMar>
            <w:vAlign w:val="center"/>
            <w:shd w:fill="E8EEF5"/>
          </w:tcPr>
          <w:p>
            <w:pPr>
              <w:jc w:val="center"/>
            </w:pPr>
            <w:r>
              <w:rPr>
                <w:rFonts w:ascii="Calibri" w:hAnsi="Calibri"/>
                <w:b/>
                <w:color w:val="1F4D78"/>
                <w:sz w:val="14"/>
              </w:rPr>
              <w:t>Minimum Data Used</w:t>
            </w:r>
          </w:p>
        </w:tc>
        <w:tc>
          <w:tcPr>
            <w:tcW w:type="dxa" w:w="2800"/>
            <w:tcMar>
              <w:top w:w="80" w:type="dxa"/>
              <w:start w:w="120" w:type="dxa"/>
              <w:bottom w:w="80" w:type="dxa"/>
              <w:end w:w="120" w:type="dxa"/>
            </w:tcMar>
            <w:vAlign w:val="center"/>
            <w:shd w:fill="E8EEF5"/>
          </w:tcPr>
          <w:p>
            <w:pPr>
              <w:jc w:val="center"/>
            </w:pPr>
            <w:r>
              <w:rPr>
                <w:rFonts w:ascii="Calibri" w:hAnsi="Calibri"/>
                <w:b/>
                <w:color w:val="1F4D78"/>
                <w:sz w:val="14"/>
              </w:rPr>
              <w:t>Who May Receive It</w:t>
            </w:r>
          </w:p>
        </w:tc>
        <w:tc>
          <w:tcPr>
            <w:tcW w:type="dxa" w:w="2260"/>
            <w:tcMar>
              <w:top w:w="80" w:type="dxa"/>
              <w:start w:w="120" w:type="dxa"/>
              <w:bottom w:w="80" w:type="dxa"/>
              <w:end w:w="120" w:type="dxa"/>
            </w:tcMar>
            <w:vAlign w:val="center"/>
            <w:shd w:fill="E8EEF5"/>
          </w:tcPr>
          <w:p>
            <w:pPr>
              <w:jc w:val="center"/>
            </w:pPr>
            <w:r>
              <w:rPr>
                <w:rFonts w:ascii="Calibri" w:hAnsi="Calibri"/>
                <w:b/>
                <w:color w:val="1F4D78"/>
                <w:sz w:val="14"/>
              </w:rPr>
              <w:t>Exit / Minimization</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Enroll</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Verified Email; Name; Organization Code; Consent Versions</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User, Authentication Service, Limited Platform Security</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Failed / Expired Verification Data Deleted or Expired Quickly</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Create Household</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Guardian Relationship; Linked Person; Permissions</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Household Managers; Limited Exception Support</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Delete / Anonymize on Verified Account / Household Request Subject to Holds</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Post Request</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Event / Time, Direction, Seats, General Area; Exact Logistics Stored Privately</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Eligible Organization Users See Only Approved Preview Fields</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Expired / Cancelled Request Closes; Exact Data Removed on Approved Schedule</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Offer</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Driver Eligibility Status, Availability, Service Area, Seats</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Requesting Household Sees Approved Display / Status Fields</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Unaccepted Offer Expires; No Bulk Visibility of Requests</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Confirm</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Necessary Identities, Exact Logistics, Optional Contact Visibility</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Confirmed Households and Notification Processor</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Material Change Requires Acknowledgement; Disclosure Ends with Ride Context</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Complete</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Completion State; Limited Non-Precise Audit Record</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User and Authorized Operational Roles</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Exact Address Target: 30 Days; Ride History Target: 12 Months</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Contribute</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Amount, Status, Receipt Contact, Processor Reference, Optional Acknowledgement Choice</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Contributor, Payment Processor, Limited Finance / Support Role</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Financial Record Retained Only as Approved; Full Card Data Remains with Processor; No Sponsor Targeting or Matching Effect</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Support / Incident</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Only the Records Relevant to the Request or Report</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Named Support / Safety / Security Roles</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Time-Limited Access; Case Retention or Legal Hold Documented</w:t>
            </w:r>
          </w:p>
        </w:tc>
      </w:tr>
      <w:tr>
        <w:trPr>
          <w:cantSplit/>
        </w:trPr>
        <w:tc>
          <w:tcPr>
            <w:tcW w:type="dxa" w:w="1350"/>
            <w:tcMar>
              <w:top w:w="80" w:type="dxa"/>
              <w:start w:w="120" w:type="dxa"/>
              <w:bottom w:w="80" w:type="dxa"/>
              <w:end w:w="120" w:type="dxa"/>
            </w:tcMar>
            <w:vAlign w:val="center"/>
          </w:tcPr>
          <w:p>
            <w:pPr>
              <w:spacing w:after="40" w:line="240" w:lineRule="auto"/>
            </w:pPr>
            <w:r>
              <w:rPr>
                <w:rFonts w:ascii="Calibri" w:hAnsi="Calibri"/>
                <w:color w:val="000000"/>
                <w:sz w:val="14"/>
              </w:rPr>
              <w:t>Delete / Offboard</w:t>
            </w:r>
          </w:p>
        </w:tc>
        <w:tc>
          <w:tcPr>
            <w:tcW w:type="dxa" w:w="2950"/>
            <w:tcMar>
              <w:top w:w="80" w:type="dxa"/>
              <w:start w:w="120" w:type="dxa"/>
              <w:bottom w:w="80" w:type="dxa"/>
              <w:end w:w="120" w:type="dxa"/>
            </w:tcMar>
            <w:vAlign w:val="center"/>
          </w:tcPr>
          <w:p>
            <w:pPr>
              <w:spacing w:after="40" w:line="240" w:lineRule="auto"/>
            </w:pPr>
            <w:r>
              <w:rPr>
                <w:rFonts w:ascii="Calibri" w:hAnsi="Calibri"/>
                <w:color w:val="000000"/>
                <w:sz w:val="14"/>
              </w:rPr>
              <w:t>Verified Request ID and Outcome</w:t>
            </w:r>
          </w:p>
        </w:tc>
        <w:tc>
          <w:tcPr>
            <w:tcW w:type="dxa" w:w="2800"/>
            <w:tcMar>
              <w:top w:w="80" w:type="dxa"/>
              <w:start w:w="120" w:type="dxa"/>
              <w:bottom w:w="80" w:type="dxa"/>
              <w:end w:w="120" w:type="dxa"/>
            </w:tcMar>
            <w:vAlign w:val="center"/>
          </w:tcPr>
          <w:p>
            <w:pPr>
              <w:spacing w:after="40" w:line="240" w:lineRule="auto"/>
            </w:pPr>
            <w:r>
              <w:rPr>
                <w:rFonts w:ascii="Calibri" w:hAnsi="Calibri"/>
                <w:color w:val="000000"/>
                <w:sz w:val="14"/>
              </w:rPr>
              <w:t>User, Privacy Contact, Platform Operator</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4"/>
              </w:rPr>
              <w:t>Production Deletion / Anonymization; Backup Copy Expires on Declared Cycle</w:t>
            </w:r>
          </w:p>
        </w:tc>
      </w:tr>
    </w:tbl>
    <w:p>
      <w:pPr>
        <w:spacing w:after="0"/>
      </w:pPr>
    </w:p>
    <w:p>
      <w:pPr>
        <w:pStyle w:val="Heading2"/>
      </w:pPr>
      <w:r>
        <w:t>5. Visibility and Least Privilege</w:t>
      </w:r>
    </w:p>
    <w:tbl>
      <w:tblPr>
        <w:tblStyle w:val="TableGrid"/>
        <w:tblW w:type="dxa" w:w="9360"/>
        <w:tblLayout w:type="fixed"/>
        <w:tblLook w:firstColumn="1" w:firstRow="1" w:lastColumn="0" w:lastRow="0" w:noHBand="0" w:noVBand="1" w:val="04A0"/>
        <w:jc w:val="left"/>
        <w:tblInd w:w="120" w:type="dxa"/>
      </w:tblPr>
      <w:tblGrid>
        <w:gridCol w:w="2050"/>
        <w:gridCol w:w="2500"/>
        <w:gridCol w:w="2400"/>
        <w:gridCol w:w="2410"/>
      </w:tblGrid>
      <w:tr>
        <w:trPr>
          <w:cantSplit/>
          <w:tblHeader w:val="true"/>
        </w:trPr>
        <w:tc>
          <w:tcPr>
            <w:tcW w:type="dxa" w:w="2050"/>
            <w:tcMar>
              <w:top w:w="80" w:type="dxa"/>
              <w:start w:w="120" w:type="dxa"/>
              <w:bottom w:w="80" w:type="dxa"/>
              <w:end w:w="120" w:type="dxa"/>
            </w:tcMar>
            <w:vAlign w:val="center"/>
            <w:shd w:fill="E8EEF5"/>
          </w:tcPr>
          <w:p>
            <w:pPr>
              <w:jc w:val="center"/>
            </w:pPr>
            <w:r>
              <w:rPr>
                <w:rFonts w:ascii="Calibri" w:hAnsi="Calibri"/>
                <w:b/>
                <w:color w:val="1F4D78"/>
                <w:sz w:val="15"/>
              </w:rPr>
              <w:t>Information</w:t>
            </w:r>
          </w:p>
        </w:tc>
        <w:tc>
          <w:tcPr>
            <w:tcW w:type="dxa" w:w="2500"/>
            <w:tcMar>
              <w:top w:w="80" w:type="dxa"/>
              <w:start w:w="120" w:type="dxa"/>
              <w:bottom w:w="80" w:type="dxa"/>
              <w:end w:w="120" w:type="dxa"/>
            </w:tcMar>
            <w:vAlign w:val="center"/>
            <w:shd w:fill="E8EEF5"/>
          </w:tcPr>
          <w:p>
            <w:pPr>
              <w:jc w:val="center"/>
            </w:pPr>
            <w:r>
              <w:rPr>
                <w:rFonts w:ascii="Calibri" w:hAnsi="Calibri"/>
                <w:b/>
                <w:color w:val="1F4D78"/>
                <w:sz w:val="15"/>
              </w:rPr>
              <w:t>Group / Potential Match</w:t>
            </w:r>
          </w:p>
        </w:tc>
        <w:tc>
          <w:tcPr>
            <w:tcW w:type="dxa" w:w="2400"/>
            <w:tcMar>
              <w:top w:w="80" w:type="dxa"/>
              <w:start w:w="120" w:type="dxa"/>
              <w:bottom w:w="80" w:type="dxa"/>
              <w:end w:w="120" w:type="dxa"/>
            </w:tcMar>
            <w:vAlign w:val="center"/>
            <w:shd w:fill="E8EEF5"/>
          </w:tcPr>
          <w:p>
            <w:pPr>
              <w:jc w:val="center"/>
            </w:pPr>
            <w:r>
              <w:rPr>
                <w:rFonts w:ascii="Calibri" w:hAnsi="Calibri"/>
                <w:b/>
                <w:color w:val="1F4D78"/>
                <w:sz w:val="15"/>
              </w:rPr>
              <w:t>Confirmed Ride</w:t>
            </w:r>
          </w:p>
        </w:tc>
        <w:tc>
          <w:tcPr>
            <w:tcW w:type="dxa" w:w="2410"/>
            <w:tcMar>
              <w:top w:w="80" w:type="dxa"/>
              <w:start w:w="120" w:type="dxa"/>
              <w:bottom w:w="80" w:type="dxa"/>
              <w:end w:w="120" w:type="dxa"/>
            </w:tcMar>
            <w:vAlign w:val="center"/>
            <w:shd w:fill="E8EEF5"/>
          </w:tcPr>
          <w:p>
            <w:pPr>
              <w:jc w:val="center"/>
            </w:pPr>
            <w:r>
              <w:rPr>
                <w:rFonts w:ascii="Calibri" w:hAnsi="Calibri"/>
                <w:b/>
                <w:color w:val="1F4D78"/>
                <w:sz w:val="15"/>
              </w:rPr>
              <w:t>Organization Administrator</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Display Name and Optional Bio</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Limited / Configurable</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Yes</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Only if Needed for Membership Support</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General Area and Event / Time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Minimum Needed to Consider Offer</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Yes</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Status Only Where Operationally Necessary</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Exact Address / Coordinates</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No</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Only When Required to Complete Ride</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No Routine Access; Documented Incident Exception Only</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Phone / Email</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No</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Only if Owner Allows; Relay / Masking Preferred</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No Routine Access; Messaging Status Only</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Minor Permissions / Consent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No</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Outcome Only When Needed</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Limited Exception Handling; No Authority to Override Parent</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Verification Evidence</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Status Only</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Status Only if Policy Requires</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Status, Date, Expiry, and Verifier—not Underlying Documents</w:t>
            </w:r>
          </w:p>
        </w:tc>
      </w:tr>
      <w:tr>
        <w:trPr>
          <w:cantSplit/>
        </w:trPr>
        <w:tc>
          <w:tcPr>
            <w:tcW w:type="dxa" w:w="2050"/>
            <w:tcMar>
              <w:top w:w="80" w:type="dxa"/>
              <w:start w:w="120" w:type="dxa"/>
              <w:bottom w:w="80" w:type="dxa"/>
              <w:end w:w="120" w:type="dxa"/>
            </w:tcMar>
            <w:vAlign w:val="center"/>
          </w:tcPr>
          <w:p>
            <w:pPr>
              <w:spacing w:after="40" w:line="240" w:lineRule="auto"/>
            </w:pPr>
            <w:r>
              <w:rPr>
                <w:rFonts w:ascii="Calibri" w:hAnsi="Calibri"/>
                <w:color w:val="000000"/>
                <w:sz w:val="15"/>
              </w:rPr>
              <w:t>Safety Report</w:t>
            </w:r>
          </w:p>
        </w:tc>
        <w:tc>
          <w:tcPr>
            <w:tcW w:type="dxa" w:w="2500"/>
            <w:tcMar>
              <w:top w:w="80" w:type="dxa"/>
              <w:start w:w="120" w:type="dxa"/>
              <w:bottom w:w="80" w:type="dxa"/>
              <w:end w:w="120" w:type="dxa"/>
            </w:tcMar>
            <w:vAlign w:val="center"/>
          </w:tcPr>
          <w:p>
            <w:pPr>
              <w:spacing w:after="40" w:line="240" w:lineRule="auto"/>
            </w:pPr>
            <w:r>
              <w:rPr>
                <w:rFonts w:ascii="Calibri" w:hAnsi="Calibri"/>
                <w:color w:val="000000"/>
                <w:sz w:val="15"/>
              </w:rPr>
              <w:t>No</w:t>
            </w:r>
          </w:p>
        </w:tc>
        <w:tc>
          <w:tcPr>
            <w:tcW w:type="dxa" w:w="2400"/>
            <w:tcMar>
              <w:top w:w="80" w:type="dxa"/>
              <w:start w:w="120" w:type="dxa"/>
              <w:bottom w:w="80" w:type="dxa"/>
              <w:end w:w="120" w:type="dxa"/>
            </w:tcMar>
            <w:vAlign w:val="center"/>
          </w:tcPr>
          <w:p>
            <w:pPr>
              <w:spacing w:after="40" w:line="240" w:lineRule="auto"/>
            </w:pPr>
            <w:r>
              <w:rPr>
                <w:rFonts w:ascii="Calibri" w:hAnsi="Calibri"/>
                <w:color w:val="000000"/>
                <w:sz w:val="15"/>
              </w:rPr>
              <w:t>Reporter Receives Process / Status as Appropriate</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5"/>
              </w:rPr>
              <w:t>Named Safety Owner Only; Not General Admin Access</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40"/>
            </w:pPr>
            <w:r>
              <w:rPr>
                <w:rFonts w:ascii="Calibri" w:hAnsi="Calibri"/>
                <w:b/>
                <w:color w:val="1F4D78"/>
              </w:rPr>
              <w:t xml:space="preserve">Least Privilege: </w:t>
            </w:r>
            <w:r>
              <w:rPr>
                <w:rFonts w:ascii="Calibri" w:hAnsi="Calibri"/>
                <w:color w:val="000000"/>
              </w:rPr>
              <w:t>Organization Administrators See Only What They Need to Perform an Assigned Duty. Membership Administration, Safety Review, Privacy Response, and Technical Support Are Separate Roles; Access Is Server-Side, Named, Logged, Reviewed, and Removed When the Assignment Ends.</w:t>
            </w:r>
          </w:p>
        </w:tc>
      </w:tr>
    </w:tbl>
    <w:p>
      <w:pPr>
        <w:spacing w:after="0"/>
      </w:pPr>
    </w:p>
    <w:p>
      <w:pPr>
        <w:pStyle w:val="Heading2"/>
      </w:pPr>
      <w:r>
        <w:t>6. Children, Guardians, and Consent</w:t>
      </w:r>
    </w:p>
    <w:p>
      <w:pPr>
        <w:pStyle w:val="ListBullet"/>
      </w:pPr>
      <w:r>
        <w:t>No Independent Account for a Child Under 13. A Parent-Controlled Household Creates and Manages the Profile and Permissions.</w:t>
      </w:r>
    </w:p>
    <w:p>
      <w:pPr>
        <w:pStyle w:val="ListBullet"/>
      </w:pPr>
      <w:r>
        <w:t>Parent Authorization Is Recorded with Policy / Notice Version, Timestamp, Method, Linked Child, and Scope. A Material Purpose or Disclosure Change Requires a New Notice and, Where Required, Renewed Consent.</w:t>
      </w:r>
    </w:p>
    <w:p>
      <w:pPr>
        <w:pStyle w:val="ListBullet"/>
      </w:pPr>
      <w:r>
        <w:t>A Child Cannot Expose a Hidden Phone / Email, Approve a Driver, Bypass a Household Block, or Change the Household’s Parent-Approval Rule.</w:t>
      </w:r>
    </w:p>
    <w:p>
      <w:pPr>
        <w:pStyle w:val="ListBullet"/>
      </w:pPr>
      <w:r>
        <w:t>The Interface Warns Users Not to Enter Medical Information or Other Sensitive Context in Transportation Notes. If Accessibility Information Is Voluntarily Necessary, Collect the Narrow Operational Instruction—not a Diagnosis.</w:t>
      </w:r>
    </w:p>
    <w:p>
      <w:pPr>
        <w:pStyle w:val="ListBullet"/>
      </w:pPr>
      <w:r>
        <w:t>There Is No Targeted Advertising, Sale, Cross-Context Behavioral Profiling, Public Social Discovery, or Engagement Design Intended to Keep Minors Online.</w:t>
      </w:r>
    </w:p>
    <w:p>
      <w:pPr>
        <w:pStyle w:val="ListBullet"/>
      </w:pPr>
      <w:r>
        <w:t>The Ftc’s 2025 COPPA Amendments Reinforce Separate Parental Permission for Certain Third-Party Disclosures, Minimization, and Purpose-Linked Retention. Final Counsel and Organization Review Should Determine Applicability to the Deployed Age Model. See Source S6.</w:t>
      </w:r>
    </w:p>
    <w:p>
      <w:pPr>
        <w:pStyle w:val="Heading2"/>
      </w:pPr>
      <w:r>
        <w:t>7. U.S. Data Residency</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Production Requirement: </w:t>
            </w:r>
            <w:r>
              <w:rPr>
                <w:rFonts w:ascii="Calibri" w:hAnsi="Calibri"/>
                <w:color w:val="000000"/>
              </w:rPr>
              <w:t>The BandWagon Production Application, PostgreSQL / PostGIS Database, Redis-Compatible Cache / Queue, Application and Security Logs, Database Snapshots, and Object-Storage Backups Must Be Provisioned in Documented United States Regions. Development and Test Environments Must Not Use Real Participant Data.</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2300"/>
        <w:gridCol w:w="2750"/>
        <w:gridCol w:w="4310"/>
      </w:tblGrid>
      <w:tr>
        <w:trPr>
          <w:cantSplit/>
          <w:tblHeader w:val="true"/>
        </w:trPr>
        <w:tc>
          <w:tcPr>
            <w:tcW w:type="dxa" w:w="2300"/>
            <w:tcMar>
              <w:top w:w="80" w:type="dxa"/>
              <w:start w:w="120" w:type="dxa"/>
              <w:bottom w:w="80" w:type="dxa"/>
              <w:end w:w="120" w:type="dxa"/>
            </w:tcMar>
            <w:vAlign w:val="center"/>
            <w:shd w:fill="E8EEF5"/>
          </w:tcPr>
          <w:p>
            <w:pPr>
              <w:jc w:val="center"/>
            </w:pPr>
            <w:r>
              <w:rPr>
                <w:rFonts w:ascii="Calibri" w:hAnsi="Calibri"/>
                <w:b/>
                <w:color w:val="1F4D78"/>
                <w:sz w:val="15"/>
              </w:rPr>
              <w:t>Component</w:t>
            </w:r>
          </w:p>
        </w:tc>
        <w:tc>
          <w:tcPr>
            <w:tcW w:type="dxa" w:w="2750"/>
            <w:tcMar>
              <w:top w:w="80" w:type="dxa"/>
              <w:start w:w="120" w:type="dxa"/>
              <w:bottom w:w="80" w:type="dxa"/>
              <w:end w:w="120" w:type="dxa"/>
            </w:tcMar>
            <w:vAlign w:val="center"/>
            <w:shd w:fill="E8EEF5"/>
          </w:tcPr>
          <w:p>
            <w:pPr>
              <w:jc w:val="center"/>
            </w:pPr>
            <w:r>
              <w:rPr>
                <w:rFonts w:ascii="Calibri" w:hAnsi="Calibri"/>
                <w:b/>
                <w:color w:val="1F4D78"/>
                <w:sz w:val="15"/>
              </w:rPr>
              <w:t>Residency Requirement</w:t>
            </w:r>
          </w:p>
        </w:tc>
        <w:tc>
          <w:tcPr>
            <w:tcW w:type="dxa" w:w="4310"/>
            <w:tcMar>
              <w:top w:w="80" w:type="dxa"/>
              <w:start w:w="120" w:type="dxa"/>
              <w:bottom w:w="80" w:type="dxa"/>
              <w:end w:w="120" w:type="dxa"/>
            </w:tcMar>
            <w:vAlign w:val="center"/>
            <w:shd w:fill="E8EEF5"/>
          </w:tcPr>
          <w:p>
            <w:pPr>
              <w:jc w:val="center"/>
            </w:pPr>
            <w:r>
              <w:rPr>
                <w:rFonts w:ascii="Calibri" w:hAnsi="Calibri"/>
                <w:b/>
                <w:color w:val="1F4D78"/>
                <w:sz w:val="15"/>
              </w:rPr>
              <w:t>Evidence Required Before Launch</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Application Compute / Coolify Host</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United States</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Provider Account Region, Resource ID, Screenshot / Export, and Deployment Record</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PostgreSQL / PostGIS and Attached Volumes</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United States</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Database Host / Volume Region and Encryption-at-Rest Setting</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Redis-Compatible Service</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United States</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Resource Region, Private-Network Rule, Persistence / TTL Settings</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IONOS S3-Compatible Backups</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Private United States Bucket</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Bucket Endpoint / Region, Public-Access Block, Encryption, Lifecycle, Restore-Test Log</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Application / Security Logs</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United States</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Log Destination, Retention, Access List, and Sensitive-Field Filter Test</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CDN / DNS / WAF</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Regional Processing Reviewed</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Cloudflare Configuration and Statement of Any Metadata / Logging Exception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Email / SMS / RCS</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U.S. Processing / Storage Required Where Configurable</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Selected Twilio / Email Region and Product-Specific Residency Confirmation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Google / Microsoft Calendar</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Provider Terms and Data Path Disclosed</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OAuth Scopes, Cached Fields, Provider Retention, and Any Residency Exception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Mapping / Geocoding</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Minimum Address Submission; Provider Processing Disclosed</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Provider Setting / Contract, Fields Sent, Cache / Retention Behavior</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Payment Processor, if Contributions Are Enabled</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U.S. Processing / Storage Where Available or an Expressly Approved Exception</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Provider / DPA, Payment-Field Design, Webhook Controls, Region, Retention, Subprocessor, Deletion, and PCI Responsibility Evidence</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5"/>
              </w:rPr>
              <w:t>AI, if Approved</w:t>
            </w:r>
          </w:p>
        </w:tc>
        <w:tc>
          <w:tcPr>
            <w:tcW w:type="dxa" w:w="2750"/>
            <w:tcMar>
              <w:top w:w="80" w:type="dxa"/>
              <w:start w:w="120" w:type="dxa"/>
              <w:bottom w:w="80" w:type="dxa"/>
              <w:end w:w="120" w:type="dxa"/>
            </w:tcMar>
            <w:vAlign w:val="center"/>
          </w:tcPr>
          <w:p>
            <w:pPr>
              <w:spacing w:after="40" w:line="240" w:lineRule="auto"/>
            </w:pPr>
            <w:r>
              <w:rPr>
                <w:rFonts w:ascii="Calibri" w:hAnsi="Calibri"/>
                <w:color w:val="000000"/>
                <w:sz w:val="15"/>
              </w:rPr>
              <w:t>U.S. Processing / Storage or an Expressly Approved Exception</w:t>
            </w:r>
          </w:p>
        </w:tc>
        <w:tc>
          <w:tcPr>
            <w:tcW w:type="dxa" w:w="4310"/>
            <w:tcMar>
              <w:top w:w="80" w:type="dxa"/>
              <w:start w:w="120" w:type="dxa"/>
              <w:bottom w:w="80" w:type="dxa"/>
              <w:end w:w="120" w:type="dxa"/>
            </w:tcMar>
            <w:vAlign w:val="center"/>
          </w:tcPr>
          <w:p>
            <w:pPr>
              <w:spacing w:after="40" w:line="240" w:lineRule="auto"/>
            </w:pPr>
            <w:r>
              <w:rPr>
                <w:rFonts w:ascii="Calibri" w:hAnsi="Calibri"/>
                <w:color w:val="000000"/>
                <w:sz w:val="15"/>
              </w:rPr>
              <w:t>Provider / DPA, Region, Training Prohibition, Retention, and Deletion Terms</w:t>
            </w:r>
          </w:p>
        </w:tc>
      </w:tr>
    </w:tbl>
    <w:p>
      <w:pPr>
        <w:spacing w:after="0"/>
      </w:pPr>
    </w:p>
    <w:p>
      <w:pPr>
        <w:pStyle w:val="SmallNote"/>
      </w:pPr>
      <w:r>
        <w:t>“Hosted in the U.S.” is not the same as “all processing stays in the U.S.” Network edge services and subprocessors can handle metadata or content elsewhere. Any exception must identify the data, provider, location, purpose, retention, contract, and approver; otherwise the feature remains disabled.</w:t>
      </w:r>
    </w:p>
    <w:p>
      <w:pPr>
        <w:pStyle w:val="Heading2"/>
      </w:pPr>
      <w:r>
        <w:t>8. Encryption and Key Management</w:t>
      </w:r>
    </w:p>
    <w:tbl>
      <w:tblPr>
        <w:tblStyle w:val="TableGrid"/>
        <w:tblW w:type="dxa" w:w="9360"/>
        <w:tblLayout w:type="fixed"/>
        <w:tblLook w:firstColumn="1" w:firstRow="1" w:lastColumn="0" w:lastRow="0" w:noHBand="0" w:noVBand="1" w:val="04A0"/>
        <w:jc w:val="left"/>
        <w:tblInd w:w="120" w:type="dxa"/>
      </w:tblPr>
      <w:tblGrid>
        <w:gridCol w:w="1900"/>
        <w:gridCol w:w="4500"/>
        <w:gridCol w:w="2960"/>
      </w:tblGrid>
      <w:tr>
        <w:trPr>
          <w:cantSplit/>
          <w:tblHeader w:val="true"/>
        </w:trPr>
        <w:tc>
          <w:tcPr>
            <w:tcW w:type="dxa" w:w="1900"/>
            <w:tcMar>
              <w:top w:w="80" w:type="dxa"/>
              <w:start w:w="120" w:type="dxa"/>
              <w:bottom w:w="80" w:type="dxa"/>
              <w:end w:w="120" w:type="dxa"/>
            </w:tcMar>
            <w:vAlign w:val="center"/>
            <w:shd w:fill="E8EEF5"/>
          </w:tcPr>
          <w:p>
            <w:pPr>
              <w:jc w:val="center"/>
            </w:pPr>
            <w:r>
              <w:rPr>
                <w:rFonts w:ascii="Calibri" w:hAnsi="Calibri"/>
                <w:b/>
                <w:color w:val="1F4D78"/>
                <w:sz w:val="15"/>
              </w:rPr>
              <w:t>Control</w:t>
            </w:r>
          </w:p>
        </w:tc>
        <w:tc>
          <w:tcPr>
            <w:tcW w:type="dxa" w:w="4500"/>
            <w:tcMar>
              <w:top w:w="80" w:type="dxa"/>
              <w:start w:w="120" w:type="dxa"/>
              <w:bottom w:w="80" w:type="dxa"/>
              <w:end w:w="120" w:type="dxa"/>
            </w:tcMar>
            <w:vAlign w:val="center"/>
            <w:shd w:fill="E8EEF5"/>
          </w:tcPr>
          <w:p>
            <w:pPr>
              <w:jc w:val="center"/>
            </w:pPr>
            <w:r>
              <w:rPr>
                <w:rFonts w:ascii="Calibri" w:hAnsi="Calibri"/>
                <w:b/>
                <w:color w:val="1F4D78"/>
                <w:sz w:val="15"/>
              </w:rPr>
              <w:t>Required Implementation</w:t>
            </w:r>
          </w:p>
        </w:tc>
        <w:tc>
          <w:tcPr>
            <w:tcW w:type="dxa" w:w="2960"/>
            <w:tcMar>
              <w:top w:w="80" w:type="dxa"/>
              <w:start w:w="120" w:type="dxa"/>
              <w:bottom w:w="80" w:type="dxa"/>
              <w:end w:w="120" w:type="dxa"/>
            </w:tcMar>
            <w:vAlign w:val="center"/>
            <w:shd w:fill="E8EEF5"/>
          </w:tcPr>
          <w:p>
            <w:pPr>
              <w:jc w:val="center"/>
            </w:pPr>
            <w:r>
              <w:rPr>
                <w:rFonts w:ascii="Calibri" w:hAnsi="Calibri"/>
                <w:b/>
                <w:color w:val="1F4D78"/>
                <w:sz w:val="15"/>
              </w:rPr>
              <w:t>Verification Artifact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In Transit</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HTTPS / TLS for User and Provider Traffic; HSTS; Encrypted Database / Cache Connections When Traffic Leaves the Private Host Network</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TLS Scan, Security Headers, Connection Configuration</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At Rest - Platform</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Encrypted Disks / Volumes and Database Storage in the Selected U.S. Region</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Provider Setting and Resource Inventory</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Restricted Fields</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Application / Field-Level Protection for Exact Addresses / Coordinates and Direct Contact Data Where Practical</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Schema / Design Review and Access / Decryption Test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Backups</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Encrypt Database Dump Before Upload and Use Object-Storage Server-Side Encryption; Private Bucket and Scoped Backup Credential</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Backup Job Configuration, Object Metadata, Access-Policy Review</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Keys and Secrets</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Separate Secret Store / Environment; No Source Control; Scoped Service Accounts; Scheduled and Incident-Driven Rotation</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Secret Inventory without Values, Rotation Log, Repository Scan</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Passwords / Tokens</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Passwordless Single-Use OTP / Magic Link; Secure Session Cookies; Tokens Never Logged</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Authentication Test and Log-Scrubbing Result</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Deletion and Crypto</w:t>
            </w:r>
          </w:p>
        </w:tc>
        <w:tc>
          <w:tcPr>
            <w:tcW w:type="dxa" w:w="4500"/>
            <w:tcMar>
              <w:top w:w="80" w:type="dxa"/>
              <w:start w:w="120" w:type="dxa"/>
              <w:bottom w:w="80" w:type="dxa"/>
              <w:end w:w="120" w:type="dxa"/>
            </w:tcMar>
            <w:vAlign w:val="center"/>
          </w:tcPr>
          <w:p>
            <w:pPr>
              <w:spacing w:after="40" w:line="240" w:lineRule="auto"/>
            </w:pPr>
            <w:r>
              <w:rPr>
                <w:rFonts w:ascii="Calibri" w:hAnsi="Calibri"/>
                <w:color w:val="000000"/>
                <w:sz w:val="15"/>
              </w:rPr>
              <w:t>Delete Records / Fields on Schedule; Rotate / Revoke Keys and Credentials After Compromise</w:t>
            </w:r>
          </w:p>
        </w:tc>
        <w:tc>
          <w:tcPr>
            <w:tcW w:type="dxa" w:w="2960"/>
            <w:tcMar>
              <w:top w:w="80" w:type="dxa"/>
              <w:start w:w="120" w:type="dxa"/>
              <w:bottom w:w="80" w:type="dxa"/>
              <w:end w:w="120" w:type="dxa"/>
            </w:tcMar>
            <w:vAlign w:val="center"/>
          </w:tcPr>
          <w:p>
            <w:pPr>
              <w:spacing w:after="40" w:line="240" w:lineRule="auto"/>
            </w:pPr>
            <w:r>
              <w:rPr>
                <w:rFonts w:ascii="Calibri" w:hAnsi="Calibri"/>
                <w:color w:val="000000"/>
                <w:sz w:val="15"/>
              </w:rPr>
              <w:t>Deletion Job Evidence and Incident Runbook</w:t>
            </w:r>
          </w:p>
        </w:tc>
      </w:tr>
    </w:tbl>
    <w:p>
      <w:pPr>
        <w:spacing w:after="0"/>
      </w:pPr>
    </w:p>
    <w:p>
      <w:pPr>
        <w:pStyle w:val="Heading2"/>
      </w:pPr>
      <w:r>
        <w:t>9. Retention, Deletion, Export, and Correction</w:t>
      </w:r>
    </w:p>
    <w:p>
      <w:pPr>
        <w:pStyle w:val="ListBullet"/>
      </w:pPr>
      <w:r>
        <w:t>Baseline for v1 Review: Exact Ride Addresses 30 Days After Completion; Ride Operational History 12 Months with Generalized Locations Where Possible; Message Content 90 Days or Less; Security / Audit Logs 12-18 Months; Consent Records as Required; Deleted Identity Removed or Anonymized.</w:t>
      </w:r>
    </w:p>
    <w:p>
      <w:pPr>
        <w:pStyle w:val="ListBullet"/>
      </w:pPr>
      <w:r>
        <w:t>A Verified User Can Access / Export Their Information, Correct It, Revoke Optional Communication or Calendar Permissions, and Request Deletion. Each Privacy Request Receives an Auditable Request ID and Status.</w:t>
      </w:r>
    </w:p>
    <w:p>
      <w:pPr>
        <w:pStyle w:val="ListBullet"/>
      </w:pPr>
      <w:r>
        <w:t>Deletion Disables the Account, Resolves Future Rides, Removes Memberships, Revokes Calendar Connections, and Deletes / Anonymizes Profile, Contact, Location, and Service-Area Data Unless a Documented Safety Case or Legal Hold Applies.</w:t>
      </w:r>
    </w:p>
    <w:p>
      <w:pPr>
        <w:pStyle w:val="ListBullet"/>
      </w:pPr>
      <w:r>
        <w:t>Backups Are Not Used as a Hidden Archive. Deleted Data May Persist Only Until the Stated Backup Expiration Cycle and Is Not Restored into Active Use Except Through a Controlled Disaster-Recovery Process That Reapplies Deletions.</w:t>
      </w:r>
    </w:p>
    <w:p>
      <w:pPr>
        <w:pStyle w:val="ListBullet"/>
      </w:pPr>
      <w:r>
        <w:t>Aggregate Pilot Metrics Should Be De-Identified and Location-Generalized. Small-Cell Reporting That Could Identify a Family Is Suppressed.</w:t>
      </w:r>
    </w:p>
    <w:p>
      <w:pPr>
        <w:pStyle w:val="Heading2"/>
      </w:pPr>
      <w:r>
        <w:t>10. Privacy Threats and Controls</w:t>
      </w:r>
    </w:p>
    <w:tbl>
      <w:tblPr>
        <w:tblStyle w:val="TableGrid"/>
        <w:tblW w:type="dxa" w:w="9360"/>
        <w:tblLayout w:type="fixed"/>
        <w:tblLook w:firstColumn="1" w:firstRow="1" w:lastColumn="0" w:lastRow="0" w:noHBand="0" w:noVBand="1" w:val="04A0"/>
        <w:jc w:val="left"/>
        <w:tblInd w:w="120" w:type="dxa"/>
      </w:tblPr>
      <w:tblGrid>
        <w:gridCol w:w="2150"/>
        <w:gridCol w:w="4300"/>
        <w:gridCol w:w="2910"/>
      </w:tblGrid>
      <w:tr>
        <w:trPr>
          <w:cantSplit/>
          <w:tblHeader w:val="true"/>
        </w:trPr>
        <w:tc>
          <w:tcPr>
            <w:tcW w:type="dxa" w:w="2150"/>
            <w:tcMar>
              <w:top w:w="80" w:type="dxa"/>
              <w:start w:w="120" w:type="dxa"/>
              <w:bottom w:w="80" w:type="dxa"/>
              <w:end w:w="120" w:type="dxa"/>
            </w:tcMar>
            <w:vAlign w:val="center"/>
            <w:shd w:fill="E8EEF5"/>
          </w:tcPr>
          <w:p>
            <w:pPr>
              <w:jc w:val="center"/>
            </w:pPr>
            <w:r>
              <w:rPr>
                <w:rFonts w:ascii="Calibri" w:hAnsi="Calibri"/>
                <w:b/>
                <w:color w:val="1F4D78"/>
                <w:sz w:val="15"/>
              </w:rPr>
              <w:t>Threat</w:t>
            </w:r>
          </w:p>
        </w:tc>
        <w:tc>
          <w:tcPr>
            <w:tcW w:type="dxa" w:w="4300"/>
            <w:tcMar>
              <w:top w:w="80" w:type="dxa"/>
              <w:start w:w="120" w:type="dxa"/>
              <w:bottom w:w="80" w:type="dxa"/>
              <w:end w:w="120" w:type="dxa"/>
            </w:tcMar>
            <w:vAlign w:val="center"/>
            <w:shd w:fill="E8EEF5"/>
          </w:tcPr>
          <w:p>
            <w:pPr>
              <w:jc w:val="center"/>
            </w:pPr>
            <w:r>
              <w:rPr>
                <w:rFonts w:ascii="Calibri" w:hAnsi="Calibri"/>
                <w:b/>
                <w:color w:val="1F4D78"/>
                <w:sz w:val="15"/>
              </w:rPr>
              <w:t>Control</w:t>
            </w:r>
          </w:p>
        </w:tc>
        <w:tc>
          <w:tcPr>
            <w:tcW w:type="dxa" w:w="2910"/>
            <w:tcMar>
              <w:top w:w="80" w:type="dxa"/>
              <w:start w:w="120" w:type="dxa"/>
              <w:bottom w:w="80" w:type="dxa"/>
              <w:end w:w="120" w:type="dxa"/>
            </w:tcMar>
            <w:vAlign w:val="center"/>
            <w:shd w:fill="E8EEF5"/>
          </w:tcPr>
          <w:p>
            <w:pPr>
              <w:jc w:val="center"/>
            </w:pPr>
            <w:r>
              <w:rPr>
                <w:rFonts w:ascii="Calibri" w:hAnsi="Calibri"/>
                <w:b/>
                <w:color w:val="1F4D78"/>
                <w:sz w:val="15"/>
              </w:rPr>
              <w:t>v1 Test</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Cross-Organization Data Leak</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Every Scoped Record Carries Organization ID; Server Verifies Tenant on Every Access</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Automated Cross-Tenant API Tests Fail Closed</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Address Disclosed Too Early</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Privacy Preview Plus Ride-State Authorization</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Potential Match Cannot Retrieve Exact Fields</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Overpowered Organization Admin</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Separated Roles and Least Privilege; Exports Disabled / Limited</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Role Matrix Test and Admin Audit Review</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Account Takeover</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Verified Email / Phone, Short-Lived Tokens, Rate Limits, Device / Session Revocation, Step-Up</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Authentication Abuse and Recovery Tests</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Sensitive Data in Logs</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Structured Allowlist Logging; Redact Message / Address / Contact / Token Fields</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Seed-Data Scan of Production-Like Logs</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Unsafe Free-Text Collection</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Field Prompts, Length Limits, Warnings, Moderation / Report Path</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Test for Prohibited / Sensitive Content Handling</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Vendor Reuse or Training</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Contractual Purpose Limitation, No Sale / Ads / Training, Subprocessor Review</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DPA / Terms Evidence and Provider Configuration</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Contribution Data Used for Influence or Targeting</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Financial-Purpose Separation; No Matching Effect; No Sponsor Data; No Behavioral Advertising</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Contribution Does Not Change Results / Access; Sponsor and Organization Views Contain No Participant-Level Targeting Data</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Backup Exposure</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Client-Side Encryption, Server-Side Encryption, Private Bucket, Scoped Key, Lifecycle</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Unauthorized-Access Test and Restore Exercise</w:t>
            </w:r>
          </w:p>
        </w:tc>
      </w:tr>
      <w:tr>
        <w:trPr>
          <w:cantSplit/>
        </w:trPr>
        <w:tc>
          <w:tcPr>
            <w:tcW w:type="dxa" w:w="2150"/>
            <w:tcMar>
              <w:top w:w="80" w:type="dxa"/>
              <w:start w:w="120" w:type="dxa"/>
              <w:bottom w:w="80" w:type="dxa"/>
              <w:end w:w="120" w:type="dxa"/>
            </w:tcMar>
            <w:vAlign w:val="center"/>
          </w:tcPr>
          <w:p>
            <w:pPr>
              <w:spacing w:after="40" w:line="240" w:lineRule="auto"/>
            </w:pPr>
            <w:r>
              <w:rPr>
                <w:rFonts w:ascii="Calibri" w:hAnsi="Calibri"/>
                <w:color w:val="000000"/>
                <w:sz w:val="15"/>
              </w:rPr>
              <w:t>Privacy Request Fraud</w:t>
            </w:r>
          </w:p>
        </w:tc>
        <w:tc>
          <w:tcPr>
            <w:tcW w:type="dxa" w:w="4300"/>
            <w:tcMar>
              <w:top w:w="80" w:type="dxa"/>
              <w:start w:w="120" w:type="dxa"/>
              <w:bottom w:w="80" w:type="dxa"/>
              <w:end w:w="120" w:type="dxa"/>
            </w:tcMar>
            <w:vAlign w:val="center"/>
          </w:tcPr>
          <w:p>
            <w:pPr>
              <w:spacing w:after="40" w:line="240" w:lineRule="auto"/>
            </w:pPr>
            <w:r>
              <w:rPr>
                <w:rFonts w:ascii="Calibri" w:hAnsi="Calibri"/>
                <w:color w:val="000000"/>
                <w:sz w:val="15"/>
              </w:rPr>
              <w:t>Step-Up Identity Verification and Auditable Workflow</w:t>
            </w:r>
          </w:p>
        </w:tc>
        <w:tc>
          <w:tcPr>
            <w:tcW w:type="dxa" w:w="2910"/>
            <w:tcMar>
              <w:top w:w="80" w:type="dxa"/>
              <w:start w:w="120" w:type="dxa"/>
              <w:bottom w:w="80" w:type="dxa"/>
              <w:end w:w="120" w:type="dxa"/>
            </w:tcMar>
            <w:vAlign w:val="center"/>
          </w:tcPr>
          <w:p>
            <w:pPr>
              <w:spacing w:after="40" w:line="240" w:lineRule="auto"/>
            </w:pPr>
            <w:r>
              <w:rPr>
                <w:rFonts w:ascii="Calibri" w:hAnsi="Calibri"/>
                <w:color w:val="000000"/>
                <w:sz w:val="15"/>
              </w:rPr>
              <w:t>Access / Delete Request Verification Test</w:t>
            </w:r>
          </w:p>
        </w:tc>
      </w:tr>
    </w:tbl>
    <w:p>
      <w:pPr>
        <w:spacing w:after="0"/>
      </w:pPr>
    </w:p>
    <w:p>
      <w:pPr>
        <w:pStyle w:val="Heading2"/>
      </w:pPr>
      <w:r>
        <w:t>11. Privacy Launch Evidence</w:t>
      </w:r>
    </w:p>
    <w:tbl>
      <w:tblPr>
        <w:tblStyle w:val="TableGrid"/>
        <w:tblW w:type="dxa" w:w="9360"/>
        <w:tblLayout w:type="fixed"/>
        <w:tblLook w:firstColumn="1" w:firstRow="1" w:lastColumn="0" w:lastRow="0" w:noHBand="0" w:noVBand="1" w:val="04A0"/>
        <w:jc w:val="left"/>
        <w:tblInd w:w="120" w:type="dxa"/>
      </w:tblPr>
      <w:tblGrid>
        <w:gridCol w:w="800"/>
        <w:gridCol w:w="6500"/>
        <w:gridCol w:w="2060"/>
      </w:tblGrid>
      <w:tr>
        <w:trPr>
          <w:cantSplit/>
          <w:tblHeader w:val="true"/>
        </w:trPr>
        <w:tc>
          <w:tcPr>
            <w:tcW w:type="dxa" w:w="800"/>
            <w:tcMar>
              <w:top w:w="80" w:type="dxa"/>
              <w:start w:w="120" w:type="dxa"/>
              <w:bottom w:w="80" w:type="dxa"/>
              <w:end w:w="120" w:type="dxa"/>
            </w:tcMar>
            <w:vAlign w:val="center"/>
            <w:shd w:fill="E8EEF5"/>
          </w:tcPr>
          <w:p>
            <w:pPr>
              <w:jc w:val="center"/>
            </w:pPr>
            <w:r>
              <w:rPr>
                <w:rFonts w:ascii="Calibri" w:hAnsi="Calibri"/>
                <w:b/>
                <w:color w:val="1F4D78"/>
                <w:sz w:val="16"/>
              </w:rPr>
              <w:t>Status</w:t>
            </w:r>
          </w:p>
        </w:tc>
        <w:tc>
          <w:tcPr>
            <w:tcW w:type="dxa" w:w="6500"/>
            <w:tcMar>
              <w:top w:w="80" w:type="dxa"/>
              <w:start w:w="120" w:type="dxa"/>
              <w:bottom w:w="80" w:type="dxa"/>
              <w:end w:w="120" w:type="dxa"/>
            </w:tcMar>
            <w:vAlign w:val="center"/>
            <w:shd w:fill="E8EEF5"/>
          </w:tcPr>
          <w:p>
            <w:pPr>
              <w:jc w:val="center"/>
            </w:pPr>
            <w:r>
              <w:rPr>
                <w:rFonts w:ascii="Calibri" w:hAnsi="Calibri"/>
                <w:b/>
                <w:color w:val="1F4D78"/>
                <w:sz w:val="16"/>
              </w:rPr>
              <w:t>Evidence Item</w:t>
            </w:r>
          </w:p>
        </w:tc>
        <w:tc>
          <w:tcPr>
            <w:tcW w:type="dxa" w:w="2060"/>
            <w:tcMar>
              <w:top w:w="80" w:type="dxa"/>
              <w:start w:w="120" w:type="dxa"/>
              <w:bottom w:w="80" w:type="dxa"/>
              <w:end w:w="120" w:type="dxa"/>
            </w:tcMar>
            <w:vAlign w:val="center"/>
            <w:shd w:fill="E8EEF5"/>
          </w:tcPr>
          <w:p>
            <w:pPr>
              <w:jc w:val="center"/>
            </w:pPr>
            <w:r>
              <w:rPr>
                <w:rFonts w:ascii="Calibri" w:hAnsi="Calibri"/>
                <w:b/>
                <w:color w:val="1F4D78"/>
                <w:sz w:val="16"/>
              </w:rPr>
              <w:t>Owner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Final v1 Data Inventory, Field Dictionary, Purpose, Optional / Required Status, Validation, Visibility, Retention, and Deletion Mapping</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U.S. Region Evidence for Compute, Database, Cache, Logs, and Backup Bucket</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Encryption Evidence for TLS, Storage, Restricted Fields, Backups, and Key / Secret Handling</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Role / Tenant Test Results Proving Least Privilege and No Pre-Match Address Disclosure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Organization Feature-Control Registry and Tests Proving Disabled Modules Make No Provider Call and Collect No New Feature-Specific Data</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Organization Owner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Platform-Personnel Access Matrix, Time-Limited Support Procedure, Financial-Role Separation, and Audit-Review Evidence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Privacy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Subprocessor Register with Data, Purpose, Region, Retention, Contract, Incident Term, and Deletion Term</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Privacy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Parent / Minor Consent Flows, Privacy Preview, Access / Export / Delete, and Policy-Version Tests</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Organization Privacy Contact</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Affiliated Institution Determination on Applicable DPA / Data-Sharing / Security Process and Approved-App / Device Posture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Technology Reviewer / Privacy</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AI Disabled, or Separate AI Approval and Provider Evidence Completed</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Go / No-Go Owner</w:t>
            </w:r>
          </w:p>
        </w:tc>
      </w:tr>
    </w:tbl>
    <w:p>
      <w:pPr>
        <w:pageBreakBefore/>
        <w:spacing w:after="80"/>
      </w:pPr>
      <w:r>
        <w:rPr>
          <w:rFonts w:ascii="Calibri" w:hAnsi="Calibri"/>
          <w:b/>
          <w:color w:val="5C6B7A"/>
          <w:sz w:val="18"/>
        </w:rPr>
        <w:t>REVIEW 4B - PROVIDERS</w:t>
      </w:r>
    </w:p>
    <w:p>
      <w:pPr>
        <w:pStyle w:val="Heading1"/>
      </w:pPr>
      <w:r>
        <w:t>ThirdParty Services - Why They Are Used and What They Can See</w:t>
      </w:r>
    </w:p>
    <w:p>
      <w:pPr>
        <w:spacing w:after="240"/>
      </w:pPr>
      <w:r>
        <w:rPr>
          <w:rFonts w:ascii="Calibri" w:hAnsi="Calibri"/>
          <w:i/>
          <w:color w:val="5C6B7A"/>
          <w:sz w:val="22"/>
        </w:rPr>
        <w:t>Every outside service is treated as a separate data boundary. Required providers support the core platform; optional providers receive data only when the related organization feature and any required user choice are enabled.</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Meaning of “Can See”: </w:t>
            </w:r>
            <w:r>
              <w:rPr>
                <w:rFonts w:ascii="Calibri" w:hAnsi="Calibri"/>
                <w:color w:val="000000"/>
              </w:rPr>
              <w:t>In This Section, “Can See” Means Data the Provider’s Systems May Receive, Process, Store, Log, or Make Available to Authorized Provider Personnel Under Its Contract and Support Procedures. It Does Not Mean Provider Employees Routinely Read the Data. The Final v1 Register Must Reflect the Actual Configuration, Product, Region, Retention Setting, and Contract - Not Only the Provider’s General Privacy Policy.</w:t>
            </w:r>
          </w:p>
        </w:tc>
      </w:tr>
    </w:tbl>
    <w:p>
      <w:pPr>
        <w:spacing w:after="0"/>
      </w:pPr>
    </w:p>
    <w:p>
      <w:pPr>
        <w:spacing w:before="80" w:after="40"/>
        <w:jc w:val="center"/>
      </w:pPr>
      <w:r>
        <w:drawing>
          <wp:inline xmlns:a="http://schemas.openxmlformats.org/drawingml/2006/main" xmlns:pic="http://schemas.openxmlformats.org/drawingml/2006/picture">
            <wp:extent cx="5806440" cy="3575897"/>
            <wp:docPr id="5" name="Picture 5" descr="Figure 4. ThirdParty service boundary. Core processors support the service; optional processors receive feature-specific data only after the required approval and user choice." title="Third Party Service Boundary"/>
            <wp:cNvGraphicFramePr>
              <a:graphicFrameLocks noChangeAspect="1"/>
            </wp:cNvGraphicFramePr>
            <a:graphic>
              <a:graphicData uri="http://schemas.openxmlformats.org/drawingml/2006/picture">
                <pic:pic>
                  <pic:nvPicPr>
                    <pic:cNvPr id="0" name="third_party_service_boundary.png"/>
                    <pic:cNvPicPr/>
                  </pic:nvPicPr>
                  <pic:blipFill>
                    <a:blip r:embed="rId17"/>
                    <a:stretch>
                      <a:fillRect/>
                    </a:stretch>
                  </pic:blipFill>
                  <pic:spPr>
                    <a:xfrm>
                      <a:off x="0" y="0"/>
                      <a:ext cx="5806440" cy="3575897"/>
                    </a:xfrm>
                    <a:prstGeom prst="rect"/>
                  </pic:spPr>
                </pic:pic>
              </a:graphicData>
            </a:graphic>
          </wp:inline>
        </w:drawing>
      </w:r>
    </w:p>
    <w:p>
      <w:pPr>
        <w:pStyle w:val="SmallNote"/>
        <w:keepNext w:val="0"/>
        <w:jc w:val="center"/>
      </w:pPr>
      <w:r>
        <w:rPr>
          <w:rFonts w:ascii="Calibri" w:hAnsi="Calibri"/>
          <w:i/>
          <w:color w:val="5C6B7A"/>
          <w:sz w:val="17"/>
        </w:rPr>
        <w:t>Figure 4. ThirdParty service boundary. Core processors support the service; optional processors receive feature-specific data only after the required approval and user choice.</w:t>
      </w:r>
    </w:p>
    <w:p>
      <w:pPr>
        <w:pStyle w:val="Heading2"/>
      </w:pPr>
      <w:r>
        <w:t>Core Infrastructure Providers</w:t>
      </w:r>
    </w:p>
    <w:tbl>
      <w:tblPr>
        <w:tblStyle w:val="TableGrid"/>
        <w:tblW w:type="dxa" w:w="9360"/>
        <w:tblLayout w:type="fixed"/>
        <w:tblLook w:firstColumn="1" w:firstRow="1" w:lastColumn="0" w:lastRow="0" w:noHBand="0" w:noVBand="1" w:val="04A0"/>
        <w:jc w:val="left"/>
        <w:tblInd w:w="120" w:type="dxa"/>
      </w:tblPr>
      <w:tblGrid>
        <w:gridCol w:w="1700"/>
        <w:gridCol w:w="2060"/>
        <w:gridCol w:w="3190"/>
        <w:gridCol w:w="2410"/>
      </w:tblGrid>
      <w:tr>
        <w:trPr>
          <w:cantSplit/>
          <w:tblHeader w:val="true"/>
        </w:trPr>
        <w:tc>
          <w:tcPr>
            <w:tcW w:type="dxa" w:w="1700"/>
            <w:tcMar>
              <w:top w:w="80" w:type="dxa"/>
              <w:start w:w="120" w:type="dxa"/>
              <w:bottom w:w="80" w:type="dxa"/>
              <w:end w:w="120" w:type="dxa"/>
            </w:tcMar>
            <w:vAlign w:val="center"/>
            <w:shd w:fill="E8EEF5"/>
          </w:tcPr>
          <w:p>
            <w:pPr>
              <w:jc w:val="center"/>
            </w:pPr>
            <w:r>
              <w:rPr>
                <w:rFonts w:ascii="Calibri" w:hAnsi="Calibri"/>
                <w:b/>
                <w:color w:val="1F4D78"/>
                <w:sz w:val="14"/>
              </w:rPr>
              <w:t>Service / Status</w:t>
            </w:r>
          </w:p>
        </w:tc>
        <w:tc>
          <w:tcPr>
            <w:tcW w:type="dxa" w:w="2060"/>
            <w:tcMar>
              <w:top w:w="80" w:type="dxa"/>
              <w:start w:w="120" w:type="dxa"/>
              <w:bottom w:w="80" w:type="dxa"/>
              <w:end w:w="120" w:type="dxa"/>
            </w:tcMar>
            <w:vAlign w:val="center"/>
            <w:shd w:fill="E8EEF5"/>
          </w:tcPr>
          <w:p>
            <w:pPr>
              <w:jc w:val="center"/>
            </w:pPr>
            <w:r>
              <w:rPr>
                <w:rFonts w:ascii="Calibri" w:hAnsi="Calibri"/>
                <w:b/>
                <w:color w:val="1F4D78"/>
                <w:sz w:val="14"/>
              </w:rPr>
              <w:t>Why It Is Used</w:t>
            </w:r>
          </w:p>
        </w:tc>
        <w:tc>
          <w:tcPr>
            <w:tcW w:type="dxa" w:w="3190"/>
            <w:tcMar>
              <w:top w:w="80" w:type="dxa"/>
              <w:start w:w="120" w:type="dxa"/>
              <w:bottom w:w="80" w:type="dxa"/>
              <w:end w:w="120" w:type="dxa"/>
            </w:tcMar>
            <w:vAlign w:val="center"/>
            <w:shd w:fill="E8EEF5"/>
          </w:tcPr>
          <w:p>
            <w:pPr>
              <w:jc w:val="center"/>
            </w:pPr>
            <w:r>
              <w:rPr>
                <w:rFonts w:ascii="Calibri" w:hAnsi="Calibri"/>
                <w:b/>
                <w:color w:val="1F4D78"/>
                <w:sz w:val="14"/>
              </w:rPr>
              <w:t>What the Provider Can Process or See</w:t>
            </w:r>
          </w:p>
        </w:tc>
        <w:tc>
          <w:tcPr>
            <w:tcW w:type="dxa" w:w="2410"/>
            <w:tcMar>
              <w:top w:w="80" w:type="dxa"/>
              <w:start w:w="120" w:type="dxa"/>
              <w:bottom w:w="80" w:type="dxa"/>
              <w:end w:w="120" w:type="dxa"/>
            </w:tcMar>
            <w:vAlign w:val="center"/>
            <w:shd w:fill="E8EEF5"/>
          </w:tcPr>
          <w:p>
            <w:pPr>
              <w:jc w:val="center"/>
            </w:pPr>
            <w:r>
              <w:rPr>
                <w:rFonts w:ascii="Calibri" w:hAnsi="Calibri"/>
                <w:b/>
                <w:color w:val="1F4D78"/>
                <w:sz w:val="14"/>
              </w:rPr>
              <w:t>Required Limits and Evidence</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IONOS Cloud Compute and Object Storage - Required</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Hosts the BandWagon Application and Private Backup Storage in Approved U.S. Regions.</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Infrastructure and Account Metadata, Network Activity, Virtual-Disk and Object-Storage Contents, Encrypted Backup Objects, Object Names, Sizes, Timestamps, and Support Records. Because the Application Runs on This Infrastructure, the Provider Layer Could Technically Process Stored Application Data Subject to Encryption and Access Controls.</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Pin Resources to Documented U.S. Regions; Encrypt Disks and Database Storage; Encrypt Backups Before Upload and at the Storage Layer; Keep Encryption Keys Separate; Use Private Buckets, Least Privilege, Lifecycle Rules, Access Logs, and Tested Restoration.</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Cloudflare - Required Edge and Security Service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Provides DNS, TLS, Reverse Proxy, Web Application Protection, Rate Limiting, Bot Controls, and Service Availability Features.</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Visitor IP Address, Requested Hostname and Path, Request Headers, Connection and Device Metadata, Timing, Security Events, and Any Request Content Processed While TLS Terminates at the Edge. Cloudflare Should Not Receive Sensitive Information in URLs, Cached Responses, or Unnecessary Logs.</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Disable Caching for Authenticated or Sensitive Responses; Exclude Tokens, Addresses, and Message Content from URLs; Minimize Edge Logs; Restrict Account Access; Use MFA; Document TLS, WAF, Retention, and Log Settings.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Approved Email Delivery Provider - Required Communication Channel</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Delivers Verification, Account, Ride, Reminder, Privacy, and Incident Messages. The Final Provider May Be SMTP2GO or Another Separately Approved Service.</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Sender and Recipient Email Addresses, Subject, Message Body, Template Identifiers, Send Time, Message ID, Delivery, Bounce and Complaint Status, Sending-Domain Data, and Technical Logs Needed to Deliver and Troubleshoot the Message.</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Identify the Actual Provider Before v1; Use Transactional Messages Only; Avoid Precise Addresses and Unnecessary Student Details in Email; Suppress Secrets and One-Time Codes from Logs; Configure Retention, Authentication, Incident Notice, Deletion, and Subprocessor Review.</w:t>
            </w:r>
          </w:p>
        </w:tc>
      </w:tr>
    </w:tbl>
    <w:p>
      <w:pPr>
        <w:spacing w:after="0"/>
      </w:pPr>
    </w:p>
    <w:p>
      <w:pPr>
        <w:pStyle w:val="Heading2"/>
      </w:pPr>
      <w:r>
        <w:t>Optional and User-Connected Providers</w:t>
      </w:r>
    </w:p>
    <w:tbl>
      <w:tblPr>
        <w:tblStyle w:val="TableGrid"/>
        <w:tblW w:type="dxa" w:w="9360"/>
        <w:tblLayout w:type="fixed"/>
        <w:tblLook w:firstColumn="1" w:firstRow="1" w:lastColumn="0" w:lastRow="0" w:noHBand="0" w:noVBand="1" w:val="04A0"/>
        <w:jc w:val="left"/>
        <w:tblInd w:w="120" w:type="dxa"/>
      </w:tblPr>
      <w:tblGrid>
        <w:gridCol w:w="1700"/>
        <w:gridCol w:w="2060"/>
        <w:gridCol w:w="3190"/>
        <w:gridCol w:w="2410"/>
      </w:tblGrid>
      <w:tr>
        <w:trPr>
          <w:cantSplit/>
          <w:tblHeader w:val="true"/>
        </w:trPr>
        <w:tc>
          <w:tcPr>
            <w:tcW w:type="dxa" w:w="1700"/>
            <w:tcMar>
              <w:top w:w="80" w:type="dxa"/>
              <w:start w:w="120" w:type="dxa"/>
              <w:bottom w:w="80" w:type="dxa"/>
              <w:end w:w="120" w:type="dxa"/>
            </w:tcMar>
            <w:vAlign w:val="center"/>
            <w:shd w:fill="E8EEF5"/>
          </w:tcPr>
          <w:p>
            <w:pPr>
              <w:jc w:val="center"/>
            </w:pPr>
            <w:r>
              <w:rPr>
                <w:rFonts w:ascii="Calibri" w:hAnsi="Calibri"/>
                <w:b/>
                <w:color w:val="1F4D78"/>
                <w:sz w:val="14"/>
              </w:rPr>
              <w:t>Service / Control</w:t>
            </w:r>
          </w:p>
        </w:tc>
        <w:tc>
          <w:tcPr>
            <w:tcW w:type="dxa" w:w="2060"/>
            <w:tcMar>
              <w:top w:w="80" w:type="dxa"/>
              <w:start w:w="120" w:type="dxa"/>
              <w:bottom w:w="80" w:type="dxa"/>
              <w:end w:w="120" w:type="dxa"/>
            </w:tcMar>
            <w:vAlign w:val="center"/>
            <w:shd w:fill="E8EEF5"/>
          </w:tcPr>
          <w:p>
            <w:pPr>
              <w:jc w:val="center"/>
            </w:pPr>
            <w:r>
              <w:rPr>
                <w:rFonts w:ascii="Calibri" w:hAnsi="Calibri"/>
                <w:b/>
                <w:color w:val="1F4D78"/>
                <w:sz w:val="14"/>
              </w:rPr>
              <w:t>Why It Is Used</w:t>
            </w:r>
          </w:p>
        </w:tc>
        <w:tc>
          <w:tcPr>
            <w:tcW w:type="dxa" w:w="3190"/>
            <w:tcMar>
              <w:top w:w="80" w:type="dxa"/>
              <w:start w:w="120" w:type="dxa"/>
              <w:bottom w:w="80" w:type="dxa"/>
              <w:end w:w="120" w:type="dxa"/>
            </w:tcMar>
            <w:vAlign w:val="center"/>
            <w:shd w:fill="E8EEF5"/>
          </w:tcPr>
          <w:p>
            <w:pPr>
              <w:jc w:val="center"/>
            </w:pPr>
            <w:r>
              <w:rPr>
                <w:rFonts w:ascii="Calibri" w:hAnsi="Calibri"/>
                <w:b/>
                <w:color w:val="1F4D78"/>
                <w:sz w:val="14"/>
              </w:rPr>
              <w:t>What the Provider Can Process or See</w:t>
            </w:r>
          </w:p>
        </w:tc>
        <w:tc>
          <w:tcPr>
            <w:tcW w:type="dxa" w:w="2410"/>
            <w:tcMar>
              <w:top w:w="80" w:type="dxa"/>
              <w:start w:w="120" w:type="dxa"/>
              <w:bottom w:w="80" w:type="dxa"/>
              <w:end w:w="120" w:type="dxa"/>
            </w:tcMar>
            <w:vAlign w:val="center"/>
            <w:shd w:fill="E8EEF5"/>
          </w:tcPr>
          <w:p>
            <w:pPr>
              <w:jc w:val="center"/>
            </w:pPr>
            <w:r>
              <w:rPr>
                <w:rFonts w:ascii="Calibri" w:hAnsi="Calibri"/>
                <w:b/>
                <w:color w:val="1F4D78"/>
                <w:sz w:val="14"/>
              </w:rPr>
              <w:t>Data Boundary and Approval Control</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Twilio and Mobile Carriers - Organization and User Opt-in</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Sends SMS / RCS Verification, Ride, Reminder, STOP, HELP, and Safety Messages When Enabled.</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Originating and Destination Phone Numbers, Message Body, Timestamp, Direction, Delivery Status, Carrier and Routing Metadata, Message Identifiers, Error Records, and Support Logs. Mobile Carriers Also Process the Content and Addressing Needed for Delivery.</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Disabled Until Organization Readiness and Separate User Opt-in; No Marketing; Minimize Message Content; Enable Message and Number Redaction Where Supported; Set the Shortest Approved Log and Archive Retention; Honor STOP and HELP; Document Carrier and Subprocessor Limitations. See Sources S14, S18, and S19.</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Google Maps Platform - Limited or Organization Controlled</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Geocodes an Approved Location and Estimates Route Distance, Duration, Corridor Fit, or Detour for Enabled Matching Features.</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Submitted Origin, Destination, Waypoint, Address or Coordinate Values; Route Options; Requested Response Fields; API Project and Request Metadata; and Technical Logs. It Does Not Need Participant Names, Student Identity, Phone Numbers, Messages, Consent Records, or Full Ride History.</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Send Coordinates or Minimum Address Data Only When Needed; Keep Names and Account Identifiers Out of Requests; Use Field Masks; Obey Attribution and Storage Limits; Restrict API Keys; Log Cost without Logging Locations; Document the Specific Apis Enabled. See Sources S17 and S20.</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Google Calendar - Individual OAuth Connection</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Imports or Synchronizes Approved Event Details from a Calendar Selected by the User or Organization.</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Google Already Stores the Connected Account and Calendar. Through the Connection, Google Processes OAuth Identity, Consent, Token and API-Request Metadata; BandWagon Receives Fields Permitted by the Approved Scope, Which May Include Event Title, Time, Location, Description, Attendees, and Recurrence if a Broad Scope Is Granted.</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Disabled by Default; Use Delegated User Consent and the Narrowest Event or Read-Only Scope; Allow Disconnect; Revoke Tokens; Cache Only Approved Event Fields; Do Not Request Email, Contacts, Drive, or Unrelated Calendars; Complete Google Verification Where Required. See Sources S15 and S16.</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Microsoft Graph Calendar - Individual OAuth Connection</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Imports or Synchronizes Approved Event Details from a Microsoft Calendar Selected by the User or Organization.</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Microsoft Already Stores the Connected Account and Calendar. Microsoft Processes OAuth Identity, Tenant and Consent Information, Token and API-Request Metadata; BandWagon Receives Calendar Fields Allowed by the Approved Delegated Permission. Broader Permissions Could Expose Bodies, Attachments, Shared Calendars, or Every Accessible Event.</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Disabled by Default; Prefer Delegated and Least-Privileged Calendar Permission; Avoid Tenant-Wide Application Permission; Restrict Any Application Access to Named Mailboxes; Support Disconnect and Token Revocation; Store Only Approved Event Fields. See Source S21.</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Web Push Services - Individual Browser Choice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Delivers Optional Browser or Device Notifications without Requiring SMS.</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A Browser-Vendor Push Service May Process a Device Subscription Endpoint, Delivery Timing, Message Size, Application Identifier, Network Metadata, and Encrypted Notification Payload. The Device Browser Decrypts the Payload.</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User Permission Required; Use Encrypted Web Push Payloads; Avoid Precise Address, Sensitive Student, or Incident Detail in Notification Text; Allow Unsubscribe; Expire Inactive Subscriptions; Keep Email Available as a Fallback.</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Approved Payment Processor - Off Until Contributions Are Enabled</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Processes Optional Adult Contributions and Provides Transaction Status and Receipts.</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The Processor May Receive Contributor Identity and Contact Data, Amount, Billing Information, Full Card or Bank Details, Fraud Signals, IP or Device Data, Transaction History, Disputes, and Tax or Compliance Records. BandWagon Should Receive Only a Processor Token, Amount, Status, Receipt Reference, and Minimum Accounting Metadata.</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Processor-Hosted Payment Fields; No Full Card Number or Security Code Stored by BandWagon; Adult-Facing Only; Separate Financial Role; No Matching or Safety Influence; Organization Approval, PCI Responsibility, DPA, Retention, Webhook, Refund, and Incident Terms Required.</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4"/>
              </w:rPr>
              <w:t>Approved AI Model Provider - Off by Default</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4"/>
              </w:rPr>
              <w:t>May Support Only a Separately Approved Language-Assistance or Explanation Use Case After Deterministic Rules Run.</w:t>
            </w:r>
          </w:p>
        </w:tc>
        <w:tc>
          <w:tcPr>
            <w:tcW w:type="dxa" w:w="3190"/>
            <w:tcMar>
              <w:top w:w="80" w:type="dxa"/>
              <w:start w:w="120" w:type="dxa"/>
              <w:bottom w:w="80" w:type="dxa"/>
              <w:end w:w="120" w:type="dxa"/>
            </w:tcMar>
            <w:vAlign w:val="center"/>
          </w:tcPr>
          <w:p>
            <w:pPr>
              <w:spacing w:after="40" w:line="240" w:lineRule="auto"/>
            </w:pPr>
            <w:r>
              <w:rPr>
                <w:rFonts w:ascii="Calibri" w:hAnsi="Calibri"/>
                <w:color w:val="000000"/>
                <w:sz w:val="14"/>
              </w:rPr>
              <w:t>Only the Minimized and Redacted Prompt, Neutral Context, Model Settings, Token Counts, Response, Request Timing, and Technical Metadata Necessary for the Approved Module. No Provider Should Receive Precise Addresses, Direct Contact Data, Unredacted Minor Identity, Driver Documents, Safety Cases, or Full Ride History for the Baseline Use Case.</w:t>
            </w:r>
          </w:p>
        </w:tc>
        <w:tc>
          <w:tcPr>
            <w:tcW w:type="dxa" w:w="2410"/>
            <w:tcMar>
              <w:top w:w="80" w:type="dxa"/>
              <w:start w:w="120" w:type="dxa"/>
              <w:bottom w:w="80" w:type="dxa"/>
              <w:end w:w="120" w:type="dxa"/>
            </w:tcMar>
            <w:vAlign w:val="center"/>
          </w:tcPr>
          <w:p>
            <w:pPr>
              <w:spacing w:after="40" w:line="240" w:lineRule="auto"/>
            </w:pPr>
            <w:r>
              <w:rPr>
                <w:rFonts w:ascii="Calibri" w:hAnsi="Calibri"/>
                <w:color w:val="000000"/>
                <w:sz w:val="14"/>
              </w:rPr>
              <w:t>Separate AI Impact Record, Provider and Model Approval, U.S. Processing or Approved Exception, No-Training Terms, Zero or Shortest Available Retention, Subprocessor Review, Notice, User Choice, Output Validation, and Deterministic Fallback. Changing Model, Provider, or Data Categories Requires Re-Review.</w:t>
            </w:r>
          </w:p>
        </w:tc>
      </w:tr>
    </w:tbl>
    <w:p>
      <w:pPr>
        <w:spacing w:after="0"/>
      </w:pPr>
    </w:p>
    <w:p>
      <w:pPr>
        <w:pStyle w:val="Heading2"/>
      </w:pPr>
      <w:r>
        <w:t>Services That Are Not Participant-Data Processors</w:t>
      </w:r>
    </w:p>
    <w:tbl>
      <w:tblPr>
        <w:tblStyle w:val="TableGrid"/>
        <w:tblW w:type="dxa" w:w="9360"/>
        <w:tblLayout w:type="fixed"/>
        <w:tblLook w:firstColumn="1" w:firstRow="1" w:lastColumn="0" w:lastRow="0" w:noHBand="0" w:noVBand="1" w:val="04A0"/>
        <w:jc w:val="left"/>
        <w:tblInd w:w="120" w:type="dxa"/>
      </w:tblPr>
      <w:tblGrid>
        <w:gridCol w:w="2100"/>
        <w:gridCol w:w="3000"/>
        <w:gridCol w:w="4260"/>
      </w:tblGrid>
      <w:tr>
        <w:trPr>
          <w:cantSplit/>
          <w:tblHeader w:val="true"/>
        </w:trPr>
        <w:tc>
          <w:tcPr>
            <w:tcW w:type="dxa" w:w="2100"/>
            <w:tcMar>
              <w:top w:w="80" w:type="dxa"/>
              <w:start w:w="120" w:type="dxa"/>
              <w:bottom w:w="80" w:type="dxa"/>
              <w:end w:w="120" w:type="dxa"/>
            </w:tcMar>
            <w:vAlign w:val="center"/>
            <w:shd w:fill="E8EEF5"/>
          </w:tcPr>
          <w:p>
            <w:pPr>
              <w:jc w:val="center"/>
            </w:pPr>
            <w:r>
              <w:rPr>
                <w:rFonts w:ascii="Calibri" w:hAnsi="Calibri"/>
                <w:b/>
                <w:color w:val="1F4D78"/>
                <w:sz w:val="16"/>
              </w:rPr>
              <w:t>Service</w:t>
            </w:r>
          </w:p>
        </w:tc>
        <w:tc>
          <w:tcPr>
            <w:tcW w:type="dxa" w:w="3000"/>
            <w:tcMar>
              <w:top w:w="80" w:type="dxa"/>
              <w:start w:w="120" w:type="dxa"/>
              <w:bottom w:w="80" w:type="dxa"/>
              <w:end w:w="120" w:type="dxa"/>
            </w:tcMar>
            <w:vAlign w:val="center"/>
            <w:shd w:fill="E8EEF5"/>
          </w:tcPr>
          <w:p>
            <w:pPr>
              <w:jc w:val="center"/>
            </w:pPr>
            <w:r>
              <w:rPr>
                <w:rFonts w:ascii="Calibri" w:hAnsi="Calibri"/>
                <w:b/>
                <w:color w:val="1F4D78"/>
                <w:sz w:val="16"/>
              </w:rPr>
              <w:t>Purpose</w:t>
            </w:r>
          </w:p>
        </w:tc>
        <w:tc>
          <w:tcPr>
            <w:tcW w:type="dxa" w:w="4260"/>
            <w:tcMar>
              <w:top w:w="80" w:type="dxa"/>
              <w:start w:w="120" w:type="dxa"/>
              <w:bottom w:w="80" w:type="dxa"/>
              <w:end w:w="120" w:type="dxa"/>
            </w:tcMar>
            <w:vAlign w:val="center"/>
            <w:shd w:fill="E8EEF5"/>
          </w:tcPr>
          <w:p>
            <w:pPr>
              <w:jc w:val="center"/>
            </w:pPr>
            <w:r>
              <w:rPr>
                <w:rFonts w:ascii="Calibri" w:hAnsi="Calibri"/>
                <w:b/>
                <w:color w:val="1F4D78"/>
                <w:sz w:val="16"/>
              </w:rPr>
              <w:t>Participant-Data Boundary</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Public GitHub Repository</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6"/>
              </w:rPr>
              <w:t>Publishes Source Code, Documentation, Issues, and Change History for Public Review.</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6"/>
              </w:rPr>
              <w:t>No Production Credentials, Tokens, Logs, Database Exports, Screenshots Containing Personal Data, Private Support Records, or Participant Information May Be Committed. GitHub Users Can See All Intentionally Public Repository Content.</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Coolify and Open-Source Runtime Components</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6"/>
              </w:rPr>
              <w:t>Deploy and Operate the Application, Database, Cache, Jobs, and Supporting Services.</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6"/>
              </w:rPr>
              <w:t>When Self-Hosted Inside the Approved IONOS Environment, These Are Software Components Rather Than Separate Hosted Processors. Any Future Vendor-Hosted Control Plane, Telemetry, or Support Connection Must Be Added to the Provider Register Before Use.</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Outside Sponsors</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6"/>
              </w:rPr>
              <w:t>May Receive Approved Recognition for Financial or in-Kind Support.</w:t>
            </w:r>
          </w:p>
        </w:tc>
        <w:tc>
          <w:tcPr>
            <w:tcW w:type="dxa" w:w="4260"/>
            <w:tcMar>
              <w:top w:w="80" w:type="dxa"/>
              <w:start w:w="120" w:type="dxa"/>
              <w:bottom w:w="80" w:type="dxa"/>
              <w:end w:w="120" w:type="dxa"/>
            </w:tcMar>
            <w:vAlign w:val="center"/>
          </w:tcPr>
          <w:p>
            <w:pPr>
              <w:spacing w:after="40" w:line="240" w:lineRule="auto"/>
            </w:pPr>
            <w:r>
              <w:rPr>
                <w:rFonts w:ascii="Calibri" w:hAnsi="Calibri"/>
                <w:color w:val="000000"/>
                <w:sz w:val="16"/>
              </w:rPr>
              <w:t>Sponsors Receive No Participant List, Contact Information, Ride Information, Matching Data, Contribution History, Student-Facing Targeting Capability, or Platform Access. Recognition Data Flows from the Sponsor to BandWagon - Not from Participants to the Sponsor.</w:t>
            </w:r>
          </w:p>
        </w:tc>
      </w:tr>
    </w:tbl>
    <w:p>
      <w:pPr>
        <w:spacing w:after="0"/>
      </w:pPr>
    </w:p>
    <w:p>
      <w:pPr>
        <w:pStyle w:val="Heading2"/>
      </w:pPr>
      <w:r>
        <w:t>Provider Control and Change Rules</w:t>
      </w:r>
    </w:p>
    <w:p>
      <w:pPr>
        <w:pStyle w:val="ListBullet"/>
      </w:pPr>
      <w:r>
        <w:t>Core Providers Cannot Be Disabled by an Individual Organization While It Continues Using the Hosted Service. Harrison Ward Technology Must Disclose a Planned Core-Provider Change, Evaluate the New Data Path, Update Contracts and Evidence, and Give Organizations the Notice and Choices Required by Their Agreement.</w:t>
      </w:r>
    </w:p>
    <w:p>
      <w:pPr>
        <w:pStyle w:val="ListBullet"/>
      </w:pPr>
      <w:r>
        <w:t>Optional Organization Providers Remain Disabled Unless the Organization Enables the Related Feature After Review. A Disabled Feature Makes No Feature-Specific Provider Call and Collects No New Feature-Specific Data.</w:t>
      </w:r>
    </w:p>
    <w:p>
      <w:pPr>
        <w:pStyle w:val="ListBullet"/>
      </w:pPr>
      <w:r>
        <w:t>User-Connected Providers Require the User’s Own Authorization or Permission in Addition to Any Organization Approval. Users Must Be Able to Disconnect the Provider without Losing Access to the Core Non-Integrated Service.</w:t>
      </w:r>
    </w:p>
    <w:p>
      <w:pPr>
        <w:pStyle w:val="ListBullet"/>
      </w:pPr>
      <w:r>
        <w:t>A Provider Name Alone Is Not Sufficient Evidence. The Production Register Must Identify the Product, Account Owner, Region, Exact Data Fields, Purpose, Legal Role, Subprocessors, Retention, Deletion, Encryption, Access Method, Incident Term, Contract / DPA, Configuration Owner, and Last Review Date.</w:t>
      </w:r>
    </w:p>
    <w:p>
      <w:pPr>
        <w:pStyle w:val="ListBullet"/>
      </w:pPr>
      <w:r>
        <w:t>Support Access by Harrison Ward Technology and Provider Support Personnel Must Be Exceptional, Authorized, Time-Limited Where Practical, Logged, and Limited to the Records Needed to Resolve the Ticket, Privacy Request, Security Event, or Legal Requirement.</w:t>
      </w:r>
    </w:p>
    <w:p>
      <w:pPr>
        <w:pStyle w:val="Heading2"/>
      </w:pPr>
      <w:r>
        <w:t>ThirdParty Provider Approval Record</w:t>
      </w:r>
    </w:p>
    <w:tbl>
      <w:tblPr>
        <w:tblStyle w:val="TableGrid"/>
        <w:tblW w:type="dxa" w:w="9360"/>
        <w:tblLayout w:type="fixed"/>
        <w:tblLook w:firstColumn="1" w:firstRow="1" w:lastColumn="0" w:lastRow="0" w:noHBand="0" w:noVBand="1" w:val="04A0"/>
        <w:jc w:val="left"/>
        <w:tblInd w:w="120" w:type="dxa"/>
      </w:tblPr>
      <w:tblGrid>
        <w:gridCol w:w="800"/>
        <w:gridCol w:w="6500"/>
        <w:gridCol w:w="2060"/>
      </w:tblGrid>
      <w:tr>
        <w:trPr>
          <w:cantSplit/>
          <w:tblHeader w:val="true"/>
        </w:trPr>
        <w:tc>
          <w:tcPr>
            <w:tcW w:type="dxa" w:w="800"/>
            <w:tcMar>
              <w:top w:w="80" w:type="dxa"/>
              <w:start w:w="120" w:type="dxa"/>
              <w:bottom w:w="80" w:type="dxa"/>
              <w:end w:w="120" w:type="dxa"/>
            </w:tcMar>
            <w:vAlign w:val="center"/>
            <w:shd w:fill="E8EEF5"/>
          </w:tcPr>
          <w:p>
            <w:pPr>
              <w:jc w:val="center"/>
            </w:pPr>
            <w:r>
              <w:rPr>
                <w:rFonts w:ascii="Calibri" w:hAnsi="Calibri"/>
                <w:b/>
                <w:color w:val="1F4D78"/>
                <w:sz w:val="16"/>
              </w:rPr>
              <w:t>Status</w:t>
            </w:r>
          </w:p>
        </w:tc>
        <w:tc>
          <w:tcPr>
            <w:tcW w:type="dxa" w:w="6500"/>
            <w:tcMar>
              <w:top w:w="80" w:type="dxa"/>
              <w:start w:w="120" w:type="dxa"/>
              <w:bottom w:w="80" w:type="dxa"/>
              <w:end w:w="120" w:type="dxa"/>
            </w:tcMar>
            <w:vAlign w:val="center"/>
            <w:shd w:fill="E8EEF5"/>
          </w:tcPr>
          <w:p>
            <w:pPr>
              <w:jc w:val="center"/>
            </w:pPr>
            <w:r>
              <w:rPr>
                <w:rFonts w:ascii="Calibri" w:hAnsi="Calibri"/>
                <w:b/>
                <w:color w:val="1F4D78"/>
                <w:sz w:val="16"/>
              </w:rPr>
              <w:t>Provider Evidence Required Before Launch</w:t>
            </w:r>
          </w:p>
        </w:tc>
        <w:tc>
          <w:tcPr>
            <w:tcW w:type="dxa" w:w="2060"/>
            <w:tcMar>
              <w:top w:w="80" w:type="dxa"/>
              <w:start w:w="120" w:type="dxa"/>
              <w:bottom w:w="80" w:type="dxa"/>
              <w:end w:w="120" w:type="dxa"/>
            </w:tcMar>
            <w:vAlign w:val="center"/>
            <w:shd w:fill="E8EEF5"/>
          </w:tcPr>
          <w:p>
            <w:pPr>
              <w:jc w:val="center"/>
            </w:pPr>
            <w:r>
              <w:rPr>
                <w:rFonts w:ascii="Calibri" w:hAnsi="Calibri"/>
                <w:b/>
                <w:color w:val="1F4D78"/>
                <w:sz w:val="16"/>
              </w:rPr>
              <w:t>Owner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Final Provider and Product Inventory Matches the Deployed v1 Configuration</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Privacy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Exact Fields, Data Flow, U.S. Region or Exception, Retention, Deletion, Subprocessors, and Support Access Are Documented</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Privacy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Contracts, DPA Terms, Incident Notice, Security Evidence, and Organization-Required Vendor Review Are Complete</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Organization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Optional Providers Are Disabled by Default and Tested to Make No Call Before Organization and User Authorization</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Technology Reviewer</w:t>
            </w:r>
          </w:p>
        </w:tc>
      </w:tr>
      <w:tr>
        <w:trPr>
          <w:cantSplit/>
        </w:trPr>
        <w:tc>
          <w:tcPr>
            <w:tcW w:type="dxa" w:w="80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6500"/>
            <w:tcMar>
              <w:top w:w="80" w:type="dxa"/>
              <w:start w:w="120" w:type="dxa"/>
              <w:bottom w:w="80" w:type="dxa"/>
              <w:end w:w="120" w:type="dxa"/>
            </w:tcMar>
            <w:vAlign w:val="center"/>
          </w:tcPr>
          <w:p>
            <w:pPr>
              <w:spacing w:after="40" w:line="240" w:lineRule="auto"/>
            </w:pPr>
            <w:r>
              <w:rPr>
                <w:rFonts w:ascii="Calibri" w:hAnsi="Calibri"/>
                <w:color w:val="000000"/>
                <w:sz w:val="16"/>
              </w:rPr>
              <w:t>Public Privacy Notice and Help Center Identify Enabled Provider Categories and Material Changes</w:t>
            </w:r>
          </w:p>
        </w:tc>
        <w:tc>
          <w:tcPr>
            <w:tcW w:type="dxa" w:w="2060"/>
            <w:tcMar>
              <w:top w:w="80" w:type="dxa"/>
              <w:start w:w="120" w:type="dxa"/>
              <w:bottom w:w="80" w:type="dxa"/>
              <w:end w:w="120" w:type="dxa"/>
            </w:tcMar>
            <w:vAlign w:val="center"/>
          </w:tcPr>
          <w:p>
            <w:pPr>
              <w:spacing w:after="40" w:line="240" w:lineRule="auto"/>
            </w:pPr>
            <w:r>
              <w:rPr>
                <w:rFonts w:ascii="Calibri" w:hAnsi="Calibri"/>
                <w:color w:val="000000"/>
                <w:sz w:val="16"/>
              </w:rPr>
              <w:t>Platform Operator / Communications Owner</w:t>
            </w:r>
          </w:p>
        </w:tc>
      </w:tr>
    </w:tbl>
    <w:p>
      <w:pPr>
        <w:pageBreakBefore/>
        <w:spacing w:after="80"/>
      </w:pPr>
      <w:r>
        <w:rPr>
          <w:rFonts w:ascii="Calibri" w:hAnsi="Calibri"/>
          <w:b/>
          <w:color w:val="5C6B7A"/>
          <w:sz w:val="18"/>
        </w:rPr>
        <w:t>REVIEW 4C - AI</w:t>
      </w:r>
    </w:p>
    <w:p>
      <w:pPr>
        <w:pStyle w:val="Heading1"/>
      </w:pPr>
      <w:r>
        <w:t>AI Use, Privacy, and Governance</w:t>
      </w:r>
    </w:p>
    <w:p>
      <w:pPr>
        <w:spacing w:after="240"/>
      </w:pPr>
      <w:r>
        <w:rPr>
          <w:rFonts w:ascii="Calibri" w:hAnsi="Calibri"/>
          <w:i/>
          <w:color w:val="5C6B7A"/>
          <w:sz w:val="22"/>
        </w:rPr>
        <w:t>AI is not required for core matching. Any AI capability is optional, feature-gated, and separately approved.</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Current Baseline: </w:t>
            </w:r>
            <w:r>
              <w:rPr>
                <w:rFonts w:ascii="Calibri" w:hAnsi="Calibri"/>
                <w:color w:val="000000"/>
              </w:rPr>
              <w:t>BandWagon Matching and Eligibility Are Deterministic Rules—not AI. The Master Specification Only Contemplates Optional Contextual Interpretation of Natural-Language Replies, and It Requires Explicit Confirmation for Ambiguous State Changes. For the Baseline Pilot, AI Should Remain OFF Unless This Section Receives a Separate Written Approval.</w:t>
            </w:r>
          </w:p>
        </w:tc>
      </w:tr>
    </w:tbl>
    <w:p>
      <w:pPr>
        <w:spacing w:after="0"/>
      </w:pPr>
    </w:p>
    <w:p>
      <w:pPr>
        <w:pStyle w:val="Heading2"/>
      </w:pPr>
      <w:r>
        <w:t>Organization-Level AI Choice</w:t>
      </w:r>
    </w:p>
    <w:p>
      <w:r>
        <w:t>Each BandWagon organization has an independent AI setting. The default is Disabled. An organization may remain fully functional without AI or separately approve only the specific AI modules it wants to use. Enabling AI for one organization does not enable it for another tenant.</w:t>
      </w:r>
    </w:p>
    <w:tbl>
      <w:tblPr>
        <w:tblStyle w:val="TableGrid"/>
        <w:tblW w:type="dxa" w:w="9360"/>
        <w:tblLayout w:type="fixed"/>
        <w:tblLook w:firstColumn="1" w:firstRow="1" w:lastColumn="0" w:lastRow="0" w:noHBand="0" w:noVBand="1" w:val="04A0"/>
        <w:jc w:val="left"/>
        <w:tblInd w:w="120" w:type="dxa"/>
      </w:tblPr>
      <w:tblGrid>
        <w:gridCol w:w="1900"/>
        <w:gridCol w:w="3900"/>
        <w:gridCol w:w="3560"/>
      </w:tblGrid>
      <w:tr>
        <w:trPr>
          <w:cantSplit/>
          <w:tblHeader w:val="true"/>
        </w:trPr>
        <w:tc>
          <w:tcPr>
            <w:tcW w:type="dxa" w:w="1900"/>
            <w:tcMar>
              <w:top w:w="80" w:type="dxa"/>
              <w:start w:w="120" w:type="dxa"/>
              <w:bottom w:w="80" w:type="dxa"/>
              <w:end w:w="120" w:type="dxa"/>
            </w:tcMar>
            <w:vAlign w:val="center"/>
            <w:shd w:fill="E8EEF5"/>
          </w:tcPr>
          <w:p>
            <w:pPr>
              <w:jc w:val="center"/>
            </w:pPr>
            <w:r>
              <w:rPr>
                <w:rFonts w:ascii="Calibri" w:hAnsi="Calibri"/>
                <w:b/>
                <w:color w:val="1F4D78"/>
                <w:sz w:val="15"/>
              </w:rPr>
              <w:t>Organization Choice</w:t>
            </w:r>
          </w:p>
        </w:tc>
        <w:tc>
          <w:tcPr>
            <w:tcW w:type="dxa" w:w="3900"/>
            <w:tcMar>
              <w:top w:w="80" w:type="dxa"/>
              <w:start w:w="120" w:type="dxa"/>
              <w:bottom w:w="80" w:type="dxa"/>
              <w:end w:w="120" w:type="dxa"/>
            </w:tcMar>
            <w:vAlign w:val="center"/>
            <w:shd w:fill="E8EEF5"/>
          </w:tcPr>
          <w:p>
            <w:pPr>
              <w:jc w:val="center"/>
            </w:pPr>
            <w:r>
              <w:rPr>
                <w:rFonts w:ascii="Calibri" w:hAnsi="Calibri"/>
                <w:b/>
                <w:color w:val="1F4D78"/>
                <w:sz w:val="15"/>
              </w:rPr>
              <w:t>What the Organization Receives</w:t>
            </w:r>
          </w:p>
        </w:tc>
        <w:tc>
          <w:tcPr>
            <w:tcW w:type="dxa" w:w="3560"/>
            <w:tcMar>
              <w:top w:w="80" w:type="dxa"/>
              <w:start w:w="120" w:type="dxa"/>
              <w:bottom w:w="80" w:type="dxa"/>
              <w:end w:w="120" w:type="dxa"/>
            </w:tcMar>
            <w:vAlign w:val="center"/>
            <w:shd w:fill="E8EEF5"/>
          </w:tcPr>
          <w:p>
            <w:pPr>
              <w:jc w:val="center"/>
            </w:pPr>
            <w:r>
              <w:rPr>
                <w:rFonts w:ascii="Calibri" w:hAnsi="Calibri"/>
                <w:b/>
                <w:color w:val="1F4D78"/>
                <w:sz w:val="15"/>
              </w:rPr>
              <w:t>What Remains Unavailable</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AI Disabled - Default</w:t>
            </w:r>
          </w:p>
        </w:tc>
        <w:tc>
          <w:tcPr>
            <w:tcW w:type="dxa" w:w="3900"/>
            <w:tcMar>
              <w:top w:w="80" w:type="dxa"/>
              <w:start w:w="120" w:type="dxa"/>
              <w:bottom w:w="80" w:type="dxa"/>
              <w:end w:w="120" w:type="dxa"/>
            </w:tcMar>
            <w:vAlign w:val="center"/>
          </w:tcPr>
          <w:p>
            <w:pPr>
              <w:spacing w:after="40" w:line="240" w:lineRule="auto"/>
            </w:pPr>
            <w:r>
              <w:rPr>
                <w:rFonts w:ascii="Calibri" w:hAnsi="Calibri"/>
                <w:color w:val="000000"/>
                <w:sz w:val="15"/>
              </w:rPr>
              <w:t>Complete Deterministic Ride Requests, Offers, Matching, Parent Approval, Notifications, Calendars, Administration, and Reporting.</w:t>
            </w:r>
          </w:p>
        </w:tc>
        <w:tc>
          <w:tcPr>
            <w:tcW w:type="dxa" w:w="3560"/>
            <w:tcMar>
              <w:top w:w="80" w:type="dxa"/>
              <w:start w:w="120" w:type="dxa"/>
              <w:bottom w:w="80" w:type="dxa"/>
              <w:end w:w="120" w:type="dxa"/>
            </w:tcMar>
            <w:vAlign w:val="center"/>
          </w:tcPr>
          <w:p>
            <w:pPr>
              <w:spacing w:after="40" w:line="240" w:lineRule="auto"/>
            </w:pPr>
            <w:r>
              <w:rPr>
                <w:rFonts w:ascii="Calibri" w:hAnsi="Calibri"/>
                <w:color w:val="000000"/>
                <w:sz w:val="15"/>
              </w:rPr>
              <w:t>No Natural-Language Interpretation, AI-Drafted Assistance, or AI-Generated Feedback Summaries. Users Rely on Buttons, Forms, and Documented Commands.</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Open-Request Explanation Enabled</w:t>
            </w:r>
          </w:p>
        </w:tc>
        <w:tc>
          <w:tcPr>
            <w:tcW w:type="dxa" w:w="3900"/>
            <w:tcMar>
              <w:top w:w="80" w:type="dxa"/>
              <w:start w:w="120" w:type="dxa"/>
              <w:bottom w:w="80" w:type="dxa"/>
              <w:end w:w="120" w:type="dxa"/>
            </w:tcMar>
            <w:vAlign w:val="center"/>
          </w:tcPr>
          <w:p>
            <w:pPr>
              <w:spacing w:after="40" w:line="240" w:lineRule="auto"/>
            </w:pPr>
            <w:r>
              <w:rPr>
                <w:rFonts w:ascii="Calibri" w:hAnsi="Calibri"/>
                <w:color w:val="000000"/>
                <w:sz w:val="15"/>
              </w:rPr>
              <w:t>After Deterministic Filtering, an Eligible Driver May Receive a Plain-Language Explanation of Why an Open Request Appears to Fit the Driver’s Private Time, Direction, Seats, and Detour Settings.</w:t>
            </w:r>
          </w:p>
        </w:tc>
        <w:tc>
          <w:tcPr>
            <w:tcW w:type="dxa" w:w="3560"/>
            <w:tcMar>
              <w:top w:w="80" w:type="dxa"/>
              <w:start w:w="120" w:type="dxa"/>
              <w:bottom w:w="80" w:type="dxa"/>
              <w:end w:w="120" w:type="dxa"/>
            </w:tcMar>
            <w:vAlign w:val="center"/>
          </w:tcPr>
          <w:p>
            <w:pPr>
              <w:spacing w:after="40" w:line="240" w:lineRule="auto"/>
            </w:pPr>
            <w:r>
              <w:rPr>
                <w:rFonts w:ascii="Calibri" w:hAnsi="Calibri"/>
                <w:color w:val="000000"/>
                <w:sz w:val="15"/>
              </w:rPr>
              <w:t>AI Does Not See or Expose More Route Detail Than Required, Rank Drivers, Approve a Match, Change Ride State, Decide Safety, or Override the Driver’s Filters.</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Message Assistance Enabled</w:t>
            </w:r>
          </w:p>
        </w:tc>
        <w:tc>
          <w:tcPr>
            <w:tcW w:type="dxa" w:w="3900"/>
            <w:tcMar>
              <w:top w:w="80" w:type="dxa"/>
              <w:start w:w="120" w:type="dxa"/>
              <w:bottom w:w="80" w:type="dxa"/>
              <w:end w:w="120" w:type="dxa"/>
            </w:tcMar>
            <w:vAlign w:val="center"/>
          </w:tcPr>
          <w:p>
            <w:pPr>
              <w:spacing w:after="40" w:line="240" w:lineRule="auto"/>
            </w:pPr>
            <w:r>
              <w:rPr>
                <w:rFonts w:ascii="Calibri" w:hAnsi="Calibri"/>
                <w:color w:val="000000"/>
                <w:sz w:val="15"/>
              </w:rPr>
              <w:t>Redacted Ambiguous Replies May Be Converted into a Proposed Action for the User to Confirm.</w:t>
            </w:r>
          </w:p>
        </w:tc>
        <w:tc>
          <w:tcPr>
            <w:tcW w:type="dxa" w:w="3560"/>
            <w:tcMar>
              <w:top w:w="80" w:type="dxa"/>
              <w:start w:w="120" w:type="dxa"/>
              <w:bottom w:w="80" w:type="dxa"/>
              <w:end w:w="120" w:type="dxa"/>
            </w:tcMar>
            <w:vAlign w:val="center"/>
          </w:tcPr>
          <w:p>
            <w:pPr>
              <w:spacing w:after="40" w:line="240" w:lineRule="auto"/>
            </w:pPr>
            <w:r>
              <w:rPr>
                <w:rFonts w:ascii="Calibri" w:hAnsi="Calibri"/>
                <w:color w:val="000000"/>
                <w:sz w:val="15"/>
              </w:rPr>
              <w:t>No Automatic Ride-State Changes, Driver Selection, Eligibility Decision, Safety Decision, or Disclosure of Private Ride Data.</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Support Drafting Enabled</w:t>
            </w:r>
          </w:p>
        </w:tc>
        <w:tc>
          <w:tcPr>
            <w:tcW w:type="dxa" w:w="3900"/>
            <w:tcMar>
              <w:top w:w="80" w:type="dxa"/>
              <w:start w:w="120" w:type="dxa"/>
              <w:bottom w:w="80" w:type="dxa"/>
              <w:end w:w="120" w:type="dxa"/>
            </w:tcMar>
            <w:vAlign w:val="center"/>
          </w:tcPr>
          <w:p>
            <w:pPr>
              <w:spacing w:after="40" w:line="240" w:lineRule="auto"/>
            </w:pPr>
            <w:r>
              <w:rPr>
                <w:rFonts w:ascii="Calibri" w:hAnsi="Calibri"/>
                <w:color w:val="000000"/>
                <w:sz w:val="15"/>
              </w:rPr>
              <w:t>Authorized Support Users May Receive a Draft Plain-Language Response for Human Review.</w:t>
            </w:r>
          </w:p>
        </w:tc>
        <w:tc>
          <w:tcPr>
            <w:tcW w:type="dxa" w:w="3560"/>
            <w:tcMar>
              <w:top w:w="80" w:type="dxa"/>
              <w:start w:w="120" w:type="dxa"/>
              <w:bottom w:w="80" w:type="dxa"/>
              <w:end w:w="120" w:type="dxa"/>
            </w:tcMar>
            <w:vAlign w:val="center"/>
          </w:tcPr>
          <w:p>
            <w:pPr>
              <w:spacing w:after="40" w:line="240" w:lineRule="auto"/>
            </w:pPr>
            <w:r>
              <w:rPr>
                <w:rFonts w:ascii="Calibri" w:hAnsi="Calibri"/>
                <w:color w:val="000000"/>
                <w:sz w:val="15"/>
              </w:rPr>
              <w:t>Nothing Is Sent Automatically. The Reviewer Remains Responsible for Accuracy, Privacy, and Approved Wording.</w:t>
            </w:r>
          </w:p>
        </w:tc>
      </w:tr>
      <w:tr>
        <w:trPr>
          <w:cantSplit/>
        </w:trPr>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Aggregate Summary Enabled</w:t>
            </w:r>
          </w:p>
        </w:tc>
        <w:tc>
          <w:tcPr>
            <w:tcW w:type="dxa" w:w="3900"/>
            <w:tcMar>
              <w:top w:w="80" w:type="dxa"/>
              <w:start w:w="120" w:type="dxa"/>
              <w:bottom w:w="80" w:type="dxa"/>
              <w:end w:w="120" w:type="dxa"/>
            </w:tcMar>
            <w:vAlign w:val="center"/>
          </w:tcPr>
          <w:p>
            <w:pPr>
              <w:spacing w:after="40" w:line="240" w:lineRule="auto"/>
            </w:pPr>
            <w:r>
              <w:rPr>
                <w:rFonts w:ascii="Calibri" w:hAnsi="Calibri"/>
                <w:color w:val="000000"/>
                <w:sz w:val="15"/>
              </w:rPr>
              <w:t>De-Identified Pilot Comments May Be Summarized to Identify Themes for Human Review.</w:t>
            </w:r>
          </w:p>
        </w:tc>
        <w:tc>
          <w:tcPr>
            <w:tcW w:type="dxa" w:w="3560"/>
            <w:tcMar>
              <w:top w:w="80" w:type="dxa"/>
              <w:start w:w="120" w:type="dxa"/>
              <w:bottom w:w="80" w:type="dxa"/>
              <w:end w:w="120" w:type="dxa"/>
            </w:tcMar>
            <w:vAlign w:val="center"/>
          </w:tcPr>
          <w:p>
            <w:pPr>
              <w:spacing w:after="40" w:line="240" w:lineRule="auto"/>
            </w:pPr>
            <w:r>
              <w:rPr>
                <w:rFonts w:ascii="Calibri" w:hAnsi="Calibri"/>
                <w:color w:val="000000"/>
                <w:sz w:val="15"/>
              </w:rPr>
              <w:t>No Household-Level Profiling, Minor Profiling, Sentiment Scoring, Ranking, Advertising, or Use of Small Groups That Could Identify a Family.</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40"/>
            </w:pPr>
            <w:r>
              <w:rPr>
                <w:rFonts w:ascii="Calibri" w:hAnsi="Calibri"/>
                <w:b/>
                <w:color w:val="1F4D78"/>
              </w:rPr>
              <w:t xml:space="preserve">Consent and Notice Boundary: </w:t>
            </w:r>
            <w:r>
              <w:rPr>
                <w:rFonts w:ascii="Calibri" w:hAnsi="Calibri"/>
                <w:color w:val="000000"/>
              </w:rPr>
              <w:t>Organization Approval Is Necessary but Not Sufficient. The Enabled Module Must Also Have an Approved Privacy Notice, a Non-AI Alternative, the Required User Consent or Acknowledgement, and a Visible Feature Indicator. A Parent or User Choice Cannot Be Overridden by the Organization Administrator.</w:t>
            </w:r>
          </w:p>
        </w:tc>
      </w:tr>
    </w:tbl>
    <w:p>
      <w:pPr>
        <w:spacing w:after="0"/>
      </w:pPr>
    </w:p>
    <w:p>
      <w:pPr>
        <w:pStyle w:val="Heading2"/>
      </w:pPr>
      <w:r>
        <w:t>Litellm Gateway and Provider Boundary</w:t>
      </w:r>
    </w:p>
    <w:p>
      <w:r>
        <w:t>The proposed production pattern routes approved AI requests through a BandWagon-controlled LiteLLM gateway hosted with the application in a documented U.S. region. The gateway provides one consistent control point for approved models, credentials, budgets, feature flags, and audit metadata. It does not make an outside model private by itself; every downstream provider still requires separate contract, retention, training, residency, and subprocessor review.</w:t>
      </w:r>
    </w:p>
    <w:tbl>
      <w:tblPr>
        <w:tblStyle w:val="TableGrid"/>
        <w:tblW w:type="dxa" w:w="9360"/>
        <w:tblLayout w:type="fixed"/>
        <w:tblLook w:firstColumn="1" w:firstRow="1" w:lastColumn="0" w:lastRow="0" w:noHBand="0" w:noVBand="1" w:val="04A0"/>
        <w:jc w:val="left"/>
        <w:tblInd w:w="120" w:type="dxa"/>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jc w:val="center"/>
            </w:pPr>
            <w:r>
              <w:rPr>
                <w:rFonts w:ascii="Calibri" w:hAnsi="Calibri"/>
                <w:b/>
                <w:color w:val="1F4D78"/>
                <w:sz w:val="16"/>
              </w:rPr>
              <w:t>Control Point</w:t>
            </w:r>
          </w:p>
        </w:tc>
        <w:tc>
          <w:tcPr>
            <w:tcW w:type="dxa" w:w="7260"/>
            <w:tcMar>
              <w:top w:w="80" w:type="dxa"/>
              <w:start w:w="120" w:type="dxa"/>
              <w:bottom w:w="80" w:type="dxa"/>
              <w:end w:w="120" w:type="dxa"/>
            </w:tcMar>
            <w:vAlign w:val="center"/>
            <w:shd w:fill="E8EEF5"/>
          </w:tcPr>
          <w:p>
            <w:pPr>
              <w:jc w:val="center"/>
            </w:pPr>
            <w:r>
              <w:rPr>
                <w:rFonts w:ascii="Calibri" w:hAnsi="Calibri"/>
                <w:b/>
                <w:color w:val="1F4D78"/>
                <w:sz w:val="16"/>
              </w:rPr>
              <w:t>Required Behavior</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Before Litellm</w:t>
            </w:r>
          </w:p>
        </w:tc>
        <w:tc>
          <w:tcPr>
            <w:tcW w:type="dxa" w:w="7260"/>
            <w:tcMar>
              <w:top w:w="80" w:type="dxa"/>
              <w:start w:w="120" w:type="dxa"/>
              <w:bottom w:w="80" w:type="dxa"/>
              <w:end w:w="120" w:type="dxa"/>
            </w:tcMar>
            <w:vAlign w:val="center"/>
          </w:tcPr>
          <w:p>
            <w:pPr>
              <w:spacing w:after="40" w:line="240" w:lineRule="auto"/>
            </w:pPr>
            <w:r>
              <w:rPr>
                <w:rFonts w:ascii="Calibri" w:hAnsi="Calibri"/>
                <w:color w:val="000000"/>
                <w:sz w:val="16"/>
              </w:rPr>
              <w:t>BandWagon Verifies the Organization and Module Feature Flags, Applies Role and Guardian Controls, Removes Prohibited Fields, and Minimizes / Redacts the Text.</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Litellm Gateway</w:t>
            </w:r>
          </w:p>
        </w:tc>
        <w:tc>
          <w:tcPr>
            <w:tcW w:type="dxa" w:w="7260"/>
            <w:tcMar>
              <w:top w:w="80" w:type="dxa"/>
              <w:start w:w="120" w:type="dxa"/>
              <w:bottom w:w="80" w:type="dxa"/>
              <w:end w:w="120" w:type="dxa"/>
            </w:tcMar>
            <w:vAlign w:val="center"/>
          </w:tcPr>
          <w:p>
            <w:pPr>
              <w:spacing w:after="40" w:line="240" w:lineRule="auto"/>
            </w:pPr>
            <w:r>
              <w:rPr>
                <w:rFonts w:ascii="Calibri" w:hAnsi="Calibri"/>
                <w:color w:val="000000"/>
                <w:sz w:val="16"/>
              </w:rPr>
              <w:t>Allows Only Approved Provider / Model Routes; Enforces Token and Cost Limits; Disables Prompt / Body Logging; Records Limited Operational Metadata without Personal Content.</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Model Provider</w:t>
            </w:r>
          </w:p>
        </w:tc>
        <w:tc>
          <w:tcPr>
            <w:tcW w:type="dxa" w:w="7260"/>
            <w:tcMar>
              <w:top w:w="80" w:type="dxa"/>
              <w:start w:w="120" w:type="dxa"/>
              <w:bottom w:w="80" w:type="dxa"/>
              <w:end w:w="120" w:type="dxa"/>
            </w:tcMar>
            <w:vAlign w:val="center"/>
          </w:tcPr>
          <w:p>
            <w:pPr>
              <w:spacing w:after="40" w:line="240" w:lineRule="auto"/>
            </w:pPr>
            <w:r>
              <w:rPr>
                <w:rFonts w:ascii="Calibri" w:hAnsi="Calibri"/>
                <w:color w:val="000000"/>
                <w:sz w:val="16"/>
              </w:rPr>
              <w:t>Receives Only the Approved Minimized Payload Under No-Training, Shortest-Retention, Deletion, Security, and U.S. Data-Handling Terms.</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Returned Output</w:t>
            </w:r>
          </w:p>
        </w:tc>
        <w:tc>
          <w:tcPr>
            <w:tcW w:type="dxa" w:w="7260"/>
            <w:tcMar>
              <w:top w:w="80" w:type="dxa"/>
              <w:start w:w="120" w:type="dxa"/>
              <w:bottom w:w="80" w:type="dxa"/>
              <w:end w:w="120" w:type="dxa"/>
            </w:tcMar>
            <w:vAlign w:val="center"/>
          </w:tcPr>
          <w:p>
            <w:pPr>
              <w:spacing w:after="40" w:line="240" w:lineRule="auto"/>
            </w:pPr>
            <w:r>
              <w:rPr>
                <w:rFonts w:ascii="Calibri" w:hAnsi="Calibri"/>
                <w:color w:val="000000"/>
                <w:sz w:val="16"/>
              </w:rPr>
              <w:t>Validated Against a Strict Schema, Treated as Untrusted Content, and Shown Only as a Draft or Proposed Interpretation Requiring Normal Authorization and Confirmation.</w:t>
            </w:r>
          </w:p>
        </w:tc>
      </w:tr>
      <w:tr>
        <w:trPr>
          <w:cantSplit/>
        </w:trPr>
        <w:tc>
          <w:tcPr>
            <w:tcW w:type="dxa" w:w="2100"/>
            <w:tcMar>
              <w:top w:w="80" w:type="dxa"/>
              <w:start w:w="120" w:type="dxa"/>
              <w:bottom w:w="80" w:type="dxa"/>
              <w:end w:w="120" w:type="dxa"/>
            </w:tcMar>
            <w:vAlign w:val="center"/>
          </w:tcPr>
          <w:p>
            <w:pPr>
              <w:spacing w:after="40" w:line="240" w:lineRule="auto"/>
            </w:pPr>
            <w:r>
              <w:rPr>
                <w:rFonts w:ascii="Calibri" w:hAnsi="Calibri"/>
                <w:color w:val="000000"/>
                <w:sz w:val="16"/>
              </w:rPr>
              <w:t>Failure or Opt-Out</w:t>
            </w:r>
          </w:p>
        </w:tc>
        <w:tc>
          <w:tcPr>
            <w:tcW w:type="dxa" w:w="7260"/>
            <w:tcMar>
              <w:top w:w="80" w:type="dxa"/>
              <w:start w:w="120" w:type="dxa"/>
              <w:bottom w:w="80" w:type="dxa"/>
              <w:end w:w="120" w:type="dxa"/>
            </w:tcMar>
            <w:vAlign w:val="center"/>
          </w:tcPr>
          <w:p>
            <w:pPr>
              <w:spacing w:after="40" w:line="240" w:lineRule="auto"/>
            </w:pPr>
            <w:r>
              <w:rPr>
                <w:rFonts w:ascii="Calibri" w:hAnsi="Calibri"/>
                <w:color w:val="000000"/>
                <w:sz w:val="16"/>
              </w:rPr>
              <w:t>Falls Back to Deterministic Buttons, Forms, Text Commands, and Human Support. Core Ride Coordination Continues without AI.</w:t>
            </w:r>
          </w:p>
        </w:tc>
      </w:tr>
    </w:tbl>
    <w:p>
      <w:pPr>
        <w:spacing w:after="0"/>
      </w:pPr>
    </w:p>
    <w:p>
      <w:pPr>
        <w:spacing w:before="80" w:after="40"/>
        <w:jc w:val="center"/>
      </w:pPr>
      <w:r>
        <w:drawing>
          <wp:inline xmlns:a="http://schemas.openxmlformats.org/drawingml/2006/main" xmlns:pic="http://schemas.openxmlformats.org/drawingml/2006/picture">
            <wp:extent cx="5806440" cy="3467247"/>
            <wp:docPr id="6" name="Picture 6" descr="Figure 5. AI guardrail flow. AI may propose an interpretation of redacted, ambiguous text; it cannot bypass authorization, execute a material change, reveal private data, or make a safety decision." title="Ai Guardrail Flow"/>
            <wp:cNvGraphicFramePr>
              <a:graphicFrameLocks noChangeAspect="1"/>
            </wp:cNvGraphicFramePr>
            <a:graphic>
              <a:graphicData uri="http://schemas.openxmlformats.org/drawingml/2006/picture">
                <pic:pic>
                  <pic:nvPicPr>
                    <pic:cNvPr id="0" name="ai_guardrail_flow.png"/>
                    <pic:cNvPicPr/>
                  </pic:nvPicPr>
                  <pic:blipFill>
                    <a:blip r:embed="rId18"/>
                    <a:stretch>
                      <a:fillRect/>
                    </a:stretch>
                  </pic:blipFill>
                  <pic:spPr>
                    <a:xfrm>
                      <a:off x="0" y="0"/>
                      <a:ext cx="5806440" cy="3467247"/>
                    </a:xfrm>
                    <a:prstGeom prst="rect"/>
                  </pic:spPr>
                </pic:pic>
              </a:graphicData>
            </a:graphic>
          </wp:inline>
        </w:drawing>
      </w:r>
    </w:p>
    <w:p>
      <w:pPr>
        <w:pStyle w:val="SmallNote"/>
        <w:keepNext w:val="0"/>
        <w:jc w:val="center"/>
      </w:pPr>
      <w:r>
        <w:rPr>
          <w:rFonts w:ascii="Calibri" w:hAnsi="Calibri"/>
          <w:i/>
          <w:color w:val="5C6B7A"/>
          <w:sz w:val="17"/>
        </w:rPr>
        <w:t>Figure 5. AI guardrail flow. AI may propose an interpretation of redacted, ambiguous text; it cannot bypass authorization, execute a material change, reveal private data, or make a safety decision.</w:t>
      </w:r>
    </w:p>
    <w:p>
      <w:pPr>
        <w:pStyle w:val="Heading2"/>
      </w:pPr>
      <w:r>
        <w:t>1. Proposed and Prohibited Uses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E8EEF5"/>
          </w:tcPr>
          <w:p>
            <w:pPr>
              <w:jc w:val="center"/>
            </w:pPr>
            <w:r>
              <w:rPr>
                <w:rFonts w:ascii="Calibri" w:hAnsi="Calibri"/>
                <w:b/>
                <w:color w:val="1F4D78"/>
                <w:sz w:val="16"/>
              </w:rPr>
              <w:t>Potentially Permissible Only After Approval</w:t>
            </w:r>
          </w:p>
        </w:tc>
        <w:tc>
          <w:tcPr>
            <w:tcW w:type="dxa" w:w="4680"/>
            <w:tcMar>
              <w:top w:w="80" w:type="dxa"/>
              <w:start w:w="120" w:type="dxa"/>
              <w:bottom w:w="80" w:type="dxa"/>
              <w:end w:w="120" w:type="dxa"/>
            </w:tcMar>
            <w:vAlign w:val="center"/>
            <w:shd w:fill="E8EEF5"/>
          </w:tcPr>
          <w:p>
            <w:pPr>
              <w:jc w:val="center"/>
            </w:pPr>
            <w:r>
              <w:rPr>
                <w:rFonts w:ascii="Calibri" w:hAnsi="Calibri"/>
                <w:b/>
                <w:color w:val="1F4D78"/>
                <w:sz w:val="16"/>
              </w:rPr>
              <w:t>Prohibited</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Explain Why an Already-Eligible Open Request Appears Compatible with a Driver’s Private Route Corridor, Schedule, Seats, Direction, and Detour Preference After Deterministic Filtering.</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Use AI to Decide Driver Eligibility, Safety, Trustworthiness, Insurance, Background, or Parent Approval; Reveal the Driver’s Route or Precise Location; or Continuously Track a Vehicle.</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Classify an Ambiguous Transactional Reply Such as “I Can Take Them” into a Proposed Command for the User to Confirm.</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Choose or Rank a Driver Based on Predicted Safety, Trustworthiness, Identity, Background, Family Status, or Protected / Sensitive Traits.</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Draft a Plain-Language Explanation or Support Response That Is Reviewed Before Sending.</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Approve a Minor’s Ride, Override a Parent, Certify a Driver, Determine Legal / Insurance Eligibility, or Make Disciplinary / Suspension Decisions.</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Summarize De-Identified Aggregate Pilot Feedback for Human Review.</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Use Exact Address, Coordinates, Phone, Email, Message History, Incident Details, or Minor Profiles to Train a General Model.</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Flag That Text May Be Ambiguous or Outside the Permitted Command Set.</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Directly Call the Database, Change Ride State, Send an Offer, Disclose a Match, or Contact a User without Normal Authorization and Confirmation.</w:t>
            </w:r>
          </w:p>
        </w:tc>
      </w:tr>
      <w:tr>
        <w:trPr>
          <w:cantSplit/>
        </w:trPr>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Translate User-Facing Help Text Only if Meaning, Consent, and Safety Wording Are Reviewed.</w:t>
            </w:r>
          </w:p>
        </w:tc>
        <w:tc>
          <w:tcPr>
            <w:tcW w:type="dxa" w:w="4680"/>
            <w:tcMar>
              <w:top w:w="80" w:type="dxa"/>
              <w:start w:w="120" w:type="dxa"/>
              <w:bottom w:w="80" w:type="dxa"/>
              <w:end w:w="120" w:type="dxa"/>
            </w:tcMar>
            <w:vAlign w:val="center"/>
          </w:tcPr>
          <w:p>
            <w:pPr>
              <w:spacing w:after="40" w:line="240" w:lineRule="auto"/>
            </w:pPr>
            <w:r>
              <w:rPr>
                <w:rFonts w:ascii="Calibri" w:hAnsi="Calibri"/>
                <w:color w:val="000000"/>
                <w:sz w:val="16"/>
              </w:rPr>
              <w:t>Generate Public Ratings, Reputation Scores, Risk Scores, Behavioral Profiles, Targeted Advertising, or Engagement Optimization for Minors.</w:t>
            </w:r>
          </w:p>
        </w:tc>
      </w:tr>
    </w:tbl>
    <w:p>
      <w:pPr>
        <w:spacing w:after="0"/>
      </w:pPr>
    </w:p>
    <w:p>
      <w:pPr>
        <w:pStyle w:val="Heading2"/>
      </w:pPr>
      <w:r>
        <w:t>2. AI Privacy Controls</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jc w:val="center"/>
            </w:pPr>
            <w:r>
              <w:rPr>
                <w:rFonts w:ascii="Calibri" w:hAnsi="Calibri"/>
                <w:b/>
                <w:color w:val="1F4D78"/>
                <w:sz w:val="16"/>
              </w:rPr>
              <w:t>Control</w:t>
            </w:r>
          </w:p>
        </w:tc>
        <w:tc>
          <w:tcPr>
            <w:tcW w:type="dxa" w:w="7060"/>
            <w:tcMar>
              <w:top w:w="80" w:type="dxa"/>
              <w:start w:w="120" w:type="dxa"/>
              <w:bottom w:w="80" w:type="dxa"/>
              <w:end w:w="120" w:type="dxa"/>
            </w:tcMar>
            <w:vAlign w:val="center"/>
            <w:shd w:fill="E8EEF5"/>
          </w:tcPr>
          <w:p>
            <w:pPr>
              <w:jc w:val="center"/>
            </w:pPr>
            <w:r>
              <w:rPr>
                <w:rFonts w:ascii="Calibri" w:hAnsi="Calibri"/>
                <w:b/>
                <w:color w:val="1F4D78"/>
                <w:sz w:val="16"/>
              </w:rPr>
              <w:t>Requirement</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Data Minimization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Run Deterministic Commands First. If AI Is Needed, Send Only the Minimum Text Fragment and Neutral Context Required to Classify Intent.</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Redaction / Pseudonymization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Remove Names, Email, Phone, Exact Addresses, Coordinates, Student Identifiers, Access Tokens, URLs Containing Secrets, and Unnecessary Ride Details Before Provider Submission.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No Training</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Contract and Configuration Must Prohibit Provider Training or Secondary Use of Prompts, Outputs, Telemetry, and User Content.</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Retention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Use Zero-Retention or the Shortest Contractually Available Retention; Document Operational Logs Separately and Avoid Prompt / Body Logging.</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U.S. Data Handling</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Use a Documented U.S. Processing / Storage Region or Obtain a Written Exception Identifying Any Non-U.S. Processing.</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Human Control</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AI Output Is a Proposed Interpretation. The User Confirms Ambiguous or Material Actions; Normal Role, Tenant, Parent, Block, and Ride-State Checks Always Run.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No Autonomous Authority</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The Model Has No Database Credentials and No Direct Tool That Can Reveal Records or Mutate Ride State.</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Security</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Protect Provider Credentials; Defend Against Prompt Injection / Data Exfiltration; Cap Input / Output; Validate Output Against a Strict Command Schema.</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Transparency</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Tell Users When AI Is Used, What Data Is Sent, Why, Provider Category, Retention, and How to Use a Non-AI Alternative.</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6"/>
              </w:rPr>
              <w:t>Testing and Monitoring</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6"/>
              </w:rPr>
              <w:t>Pre-Release Misuse / Privacy Tests; Error Sampling with De-Identified Data; Rollback Switch; Incident Path; Periodic Bias and Accuracy Review.</w:t>
            </w:r>
          </w:p>
        </w:tc>
      </w:tr>
    </w:tbl>
    <w:p>
      <w:pPr>
        <w:spacing w:after="0"/>
      </w:pPr>
    </w:p>
    <w:p>
      <w:pPr>
        <w:pStyle w:val="Heading2"/>
      </w:pPr>
      <w:r>
        <w:t>3. Required AI Impact Record</w:t>
      </w:r>
    </w:p>
    <w:tbl>
      <w:tblPr>
        <w:tblStyle w:val="TableGrid"/>
        <w:tblW w:type="dxa" w:w="9360"/>
        <w:tblLayout w:type="fixed"/>
        <w:tblLook w:firstColumn="1" w:firstRow="1" w:lastColumn="0" w:lastRow="0" w:noHBand="0" w:noVBand="1" w:val="04A0"/>
        <w:jc w:val="left"/>
        <w:tblInd w:w="120" w:type="dxa"/>
      </w:tblPr>
      <w:tblGrid>
        <w:gridCol w:w="3600"/>
        <w:gridCol w:w="5760"/>
      </w:tblGrid>
      <w:tr>
        <w:trPr>
          <w:cantSplit/>
          <w:tblHeader w:val="true"/>
        </w:trPr>
        <w:tc>
          <w:tcPr>
            <w:tcW w:type="dxa" w:w="3600"/>
            <w:tcMar>
              <w:top w:w="80" w:type="dxa"/>
              <w:start w:w="120" w:type="dxa"/>
              <w:bottom w:w="80" w:type="dxa"/>
              <w:end w:w="120" w:type="dxa"/>
            </w:tcMar>
            <w:vAlign w:val="center"/>
            <w:shd w:fill="E8EEF5"/>
          </w:tcPr>
          <w:p>
            <w:pPr>
              <w:jc w:val="center"/>
            </w:pPr>
            <w:r>
              <w:rPr>
                <w:rFonts w:ascii="Calibri" w:hAnsi="Calibri"/>
                <w:b/>
                <w:color w:val="1F4D78"/>
                <w:sz w:val="16"/>
              </w:rPr>
              <w:t>Question</w:t>
            </w:r>
          </w:p>
        </w:tc>
        <w:tc>
          <w:tcPr>
            <w:tcW w:type="dxa" w:w="5760"/>
            <w:tcMar>
              <w:top w:w="80" w:type="dxa"/>
              <w:start w:w="120" w:type="dxa"/>
              <w:bottom w:w="80" w:type="dxa"/>
              <w:end w:w="120" w:type="dxa"/>
            </w:tcMar>
            <w:vAlign w:val="center"/>
            <w:shd w:fill="E8EEF5"/>
          </w:tcPr>
          <w:p>
            <w:pPr>
              <w:jc w:val="center"/>
            </w:pPr>
            <w:r>
              <w:rPr>
                <w:rFonts w:ascii="Calibri" w:hAnsi="Calibri"/>
                <w:b/>
                <w:color w:val="1F4D78"/>
                <w:sz w:val="16"/>
              </w:rPr>
              <w:t>Required Answer Before Enablement</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What Exact User Problem Requires AI?</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Show Why Deterministic Commands Are Insufficient and Why the Benefit Justifies New Privacy Risk.</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What Data Enters the Model?</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Field-Level List, Examples After Redaction, Age / Minor Involvement, and Data Explicitly Prohibited.</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Which Provider / Model / Region?</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Provider, Model / Version, U.S. Processing / Storage, Subprocessors, DPA, Training and Retention Terms.</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What Can the Output Do?</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Strict Output Schema, Confirmation Rule, Authorization Enforcement, Fallback, and No-Direct-Authority Proof.</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How Is Quality Measured?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False Interpretation Rate, Confirmation Rate, Correction Path, and Threshold for Disabling the Feature.</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How Is Privacy Tested?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Prompt-Injection, Sensitive-Data Leakage, Logging, Deletion, Provider Failure, and Cross-Tenant Test Results.</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Who Owns the Decision?</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Named Technical Owner, Privacy Approver, External Reviewer if Required, and Go / No-Go Signer.</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6"/>
              </w:rPr>
              <w:t>How Is the Feature Stopped?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6"/>
              </w:rPr>
              <w:t>Feature Flag Off Switch, Deterministic Fallback, User Communication, and Provider Credential Revocation.</w:t>
            </w:r>
          </w:p>
        </w:tc>
      </w:tr>
    </w:tbl>
    <w:p>
      <w:pPr>
        <w:spacing w:after="0"/>
      </w:pPr>
    </w:p>
    <w:p>
      <w:pPr>
        <w:pStyle w:val="Heading2"/>
      </w:pPr>
      <w:r>
        <w:t>4. AI Notice - Draft</w:t>
      </w:r>
    </w:p>
    <w:p>
      <w:r>
        <w:t>“BandWagon’s core ride matching does not use artificial intelligence. If an optional message-assistance feature is enabled, it may analyze a minimized and redacted portion of an ambiguous reply to suggest what you meant. It does not select or certify drivers, approve a child’s ride, decide safety or eligibility, or directly change a ride. You will be asked to confirm material actions. You may use the standard buttons or text commands instead.”</w:t>
      </w:r>
    </w:p>
    <w:p>
      <w:pPr>
        <w:pStyle w:val="Heading2"/>
      </w:pPr>
      <w:r>
        <w:t>5. AI Approval Gate</w:t>
      </w:r>
    </w:p>
    <w:p>
      <w:pPr>
        <w:pStyle w:val="ListBullet"/>
      </w:pPr>
      <w:r>
        <w:t>Default Production Feature Flag Is OFF for Every Organization.</w:t>
      </w:r>
    </w:p>
    <w:p>
      <w:pPr>
        <w:pStyle w:val="ListBullet"/>
      </w:pPr>
      <w:r>
        <w:t>Enabling AI Requires a Completed Impact Record, Provider Contract / DPA, U.S. Residency Evidence or Documented Exception, No-Training / Retention Terms, Security Tests, Privacy Notice Update, and Approval Owner Signature.</w:t>
      </w:r>
    </w:p>
    <w:p>
      <w:pPr>
        <w:pStyle w:val="ListBullet"/>
      </w:pPr>
      <w:r>
        <w:t>A Model / Provider / Version Change, a New Data Category, or Expansion Beyond Language Interpretation Triggers Re-Review Before Deployment.</w:t>
      </w:r>
    </w:p>
    <w:p>
      <w:pPr>
        <w:pStyle w:val="ListBullet"/>
      </w:pPr>
      <w:r>
        <w:t>AI Remains Prohibited for Driver / Student Scoring, Matching Ranking, Eligibility, Safety, Background, Insurance, Incident Adjudication, Advertising, or Disciplinary Decisions.</w:t>
      </w:r>
    </w:p>
    <w:p>
      <w:pPr>
        <w:pStyle w:val="ListBullet"/>
      </w:pPr>
      <w:r>
        <w:t>Governance Should Use the NIST AI RMF and Generative AI Profile as Voluntary Control References. See Sources S8 and S9.</w:t>
      </w: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Technology / Data Privacy Reviewer + Pilot Go / No-Go Owner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Keep AI Disabled for the Pilot, or Approve Only the Specifically Documented Language-Assistance Use Case.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Record Provider / Model, U.S. Region or Exception, Data Fields, Retention / Training Terms, Confirmation Controls, Tests, Owner, and Re-Review Triggers.</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REVIEW 5</w:t>
      </w:r>
    </w:p>
    <w:p>
      <w:pPr>
        <w:pStyle w:val="Heading1"/>
      </w:pPr>
      <w:r>
        <w:t>Risk / Transportation / Insurance Review</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Core Boundary: </w:t>
            </w:r>
            <w:r>
              <w:rPr>
                <w:rFonts w:ascii="Calibri" w:hAnsi="Calibri"/>
                <w:color w:val="000000"/>
              </w:rPr>
              <w:t>BandWagon Coordinates Introductions Between Consenting Families. It Does Not Provide a Vehicle, Employ Drivers, Dispatch Transportation, Guarantee Suitability, or Replace Transportation Operated or Arranged by Another Authority. That Boundary Must Be Confirmed in Practice, Not Only in a Disclaimer.</w:t>
            </w:r>
          </w:p>
        </w:tc>
      </w:tr>
    </w:tbl>
    <w:p>
      <w:pPr>
        <w:spacing w:after="0"/>
      </w:pPr>
    </w:p>
    <w:p>
      <w:pPr>
        <w:pStyle w:val="Heading2"/>
      </w:pPr>
      <w:r>
        <w:t>Questions Requiring Organization, Authority, or Insurer Direction</w:t>
      </w:r>
    </w:p>
    <w:tbl>
      <w:tblPr>
        <w:tblStyle w:val="TableGrid"/>
        <w:tblW w:type="dxa" w:w="9360"/>
        <w:tblLayout w:type="fixed"/>
        <w:tblLook w:firstColumn="1" w:firstRow="1" w:lastColumn="0" w:lastRow="0" w:noHBand="0" w:noVBand="1" w:val="04A0"/>
        <w:jc w:val="left"/>
        <w:tblInd w:w="120" w:type="dxa"/>
      </w:tblPr>
      <w:tblGrid>
        <w:gridCol w:w="3300"/>
        <w:gridCol w:w="4200"/>
        <w:gridCol w:w="1860"/>
      </w:tblGrid>
      <w:tr>
        <w:trPr>
          <w:cantSplit/>
          <w:tblHeader w:val="true"/>
        </w:trPr>
        <w:tc>
          <w:tcPr>
            <w:tcW w:type="dxa" w:w="3300"/>
            <w:tcMar>
              <w:top w:w="80" w:type="dxa"/>
              <w:start w:w="120" w:type="dxa"/>
              <w:bottom w:w="80" w:type="dxa"/>
              <w:end w:w="120" w:type="dxa"/>
            </w:tcMar>
            <w:vAlign w:val="center"/>
            <w:shd w:fill="E8EEF5"/>
          </w:tcPr>
          <w:p>
            <w:pPr>
              <w:jc w:val="center"/>
            </w:pPr>
            <w:r>
              <w:rPr>
                <w:rFonts w:ascii="Calibri" w:hAnsi="Calibri"/>
                <w:b/>
                <w:color w:val="1F4D78"/>
                <w:sz w:val="16"/>
              </w:rPr>
              <w:t>Question</w:t>
            </w:r>
          </w:p>
        </w:tc>
        <w:tc>
          <w:tcPr>
            <w:tcW w:type="dxa" w:w="4200"/>
            <w:tcMar>
              <w:top w:w="80" w:type="dxa"/>
              <w:start w:w="120" w:type="dxa"/>
              <w:bottom w:w="80" w:type="dxa"/>
              <w:end w:w="120" w:type="dxa"/>
            </w:tcMar>
            <w:vAlign w:val="center"/>
            <w:shd w:fill="E8EEF5"/>
          </w:tcPr>
          <w:p>
            <w:pPr>
              <w:jc w:val="center"/>
            </w:pPr>
            <w:r>
              <w:rPr>
                <w:rFonts w:ascii="Calibri" w:hAnsi="Calibri"/>
                <w:b/>
                <w:color w:val="1F4D78"/>
                <w:sz w:val="16"/>
              </w:rPr>
              <w:t>Why It Matters</w:t>
            </w:r>
          </w:p>
        </w:tc>
        <w:tc>
          <w:tcPr>
            <w:tcW w:type="dxa" w:w="1860"/>
            <w:tcMar>
              <w:top w:w="80" w:type="dxa"/>
              <w:start w:w="120" w:type="dxa"/>
              <w:bottom w:w="80" w:type="dxa"/>
              <w:end w:w="120" w:type="dxa"/>
            </w:tcMar>
            <w:vAlign w:val="center"/>
            <w:shd w:fill="E8EEF5"/>
          </w:tcPr>
          <w:p>
            <w:pPr>
              <w:jc w:val="center"/>
            </w:pPr>
            <w:r>
              <w:rPr>
                <w:rFonts w:ascii="Calibri" w:hAnsi="Calibri"/>
                <w:b/>
                <w:color w:val="1F4D78"/>
                <w:sz w:val="16"/>
              </w:rPr>
              <w:t>Direction</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Are Matched Adults Organization Volunteers or Private Participants When Driving Minors?</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Classification May Affect Screening, Duty, Supervision, Insurance, and Recordkeeping.</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What Volunteer or Background Screening, if Any, Is Required?</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The Named Organization, Host Site, League, Insurer, or Other Governing Authority Must Define the Rule and Approved Verifier.</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Is Driver-License Verification Required?</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The Named Authority or Insurer Must Define the Method, Verifying Party, Evidence, and Recheck Interval.</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What Automobile Insurance Evidence Is Required?</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The Organization Should Not Invent Coverage Thresholds or Store Documents without Insurer or Authority Direction.</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Does General Liability, Directors and Officers, Event, or Umbrella Coverage Include This Activity?</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The Organization and Insurer Should Confirm Applicable Coverage, Exclusions, Conditions, and Claims Notice.</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Are Students Ever Permitted to Drive Other Students?</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Recommended Pilot Answer Is No; Any Expansion Requires Separate Written Approval.</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May Rides Begin or End at the Host Site or Program Activities?</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Host-Site and Activity Procedures May Change Pickup, Duty, Screening, Supervision, and Communication Requirements.</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r>
        <w:trPr>
          <w:cantSplit/>
        </w:trPr>
        <w:tc>
          <w:tcPr>
            <w:tcW w:type="dxa" w:w="3300"/>
            <w:tcMar>
              <w:top w:w="80" w:type="dxa"/>
              <w:start w:w="120" w:type="dxa"/>
              <w:bottom w:w="80" w:type="dxa"/>
              <w:end w:w="120" w:type="dxa"/>
            </w:tcMar>
            <w:vAlign w:val="center"/>
          </w:tcPr>
          <w:p>
            <w:pPr>
              <w:spacing w:after="40" w:line="240" w:lineRule="auto"/>
            </w:pPr>
            <w:r>
              <w:rPr>
                <w:rFonts w:ascii="Calibri" w:hAnsi="Calibri"/>
                <w:color w:val="000000"/>
                <w:sz w:val="16"/>
              </w:rPr>
              <w:t>What Incident and Claims Reporting Process Applies?</w:t>
            </w:r>
          </w:p>
        </w:tc>
        <w:tc>
          <w:tcPr>
            <w:tcW w:type="dxa" w:w="4200"/>
            <w:tcMar>
              <w:top w:w="80" w:type="dxa"/>
              <w:start w:w="120" w:type="dxa"/>
              <w:bottom w:w="80" w:type="dxa"/>
              <w:end w:w="120" w:type="dxa"/>
            </w:tcMar>
            <w:vAlign w:val="center"/>
          </w:tcPr>
          <w:p>
            <w:pPr>
              <w:spacing w:after="40" w:line="240" w:lineRule="auto"/>
            </w:pPr>
            <w:r>
              <w:rPr>
                <w:rFonts w:ascii="Calibri" w:hAnsi="Calibri"/>
                <w:color w:val="000000"/>
                <w:sz w:val="16"/>
              </w:rPr>
              <w:t>Safety Reports Need Immediate Routing without Implying the App Is Emergency Dispatch.</w:t>
            </w:r>
          </w:p>
        </w:tc>
        <w:tc>
          <w:tcPr>
            <w:tcW w:type="dxa" w:w="1860"/>
            <w:tcMar>
              <w:top w:w="80" w:type="dxa"/>
              <w:start w:w="120" w:type="dxa"/>
              <w:bottom w:w="80" w:type="dxa"/>
              <w:end w:w="120" w:type="dxa"/>
            </w:tcMar>
            <w:vAlign w:val="center"/>
          </w:tcPr>
          <w:p>
            <w:pPr>
              <w:spacing w:after="40" w:line="240" w:lineRule="auto"/>
            </w:pPr>
            <w:r>
              <w:rPr>
                <w:rFonts w:ascii="Calibri" w:hAnsi="Calibri"/>
                <w:color w:val="000000"/>
                <w:sz w:val="16"/>
              </w:rPr>
              <w:t>TBD</w:t>
            </w:r>
          </w:p>
        </w:tc>
      </w:tr>
    </w:tbl>
    <w:p>
      <w:pPr>
        <w:spacing w:after="0"/>
      </w:pPr>
    </w:p>
    <w:p>
      <w:pPr>
        <w:pStyle w:val="Heading2"/>
      </w:pPr>
      <w:r>
        <w:t>Proposed Adult Driver Eligibility Controls</w:t>
      </w:r>
    </w:p>
    <w:p>
      <w:pPr>
        <w:pStyle w:val="ListBullet"/>
      </w:pPr>
      <w:r>
        <w:t>At Least 21 Years Old for the Pilot, Unless Affiliated Institution / Insurer Directs a Different Threshold.</w:t>
      </w:r>
    </w:p>
    <w:p>
      <w:pPr>
        <w:pStyle w:val="ListBullet"/>
      </w:pPr>
      <w:r>
        <w:t>Valid Driver’s License and Any Affiliated Institution Driver / Volunteer Verification Required by Written Direction.</w:t>
      </w:r>
    </w:p>
    <w:p>
      <w:pPr>
        <w:pStyle w:val="ListBullet"/>
      </w:pPr>
      <w:r>
        <w:t>Current Automobile Liability Insurance and Legally Compliant Registration / Inspection.</w:t>
      </w:r>
    </w:p>
    <w:p>
      <w:pPr>
        <w:pStyle w:val="ListBullet"/>
      </w:pPr>
      <w:r>
        <w:t>Vehicle Has a Functioning Seat Belt for Every Passenger; Capacity May Not Exceed Belted Seating.</w:t>
      </w:r>
    </w:p>
    <w:p>
      <w:pPr>
        <w:pStyle w:val="ListBullet"/>
      </w:pPr>
      <w:r>
        <w:t>No Driving Under the Influence of Alcohol, Cannabis, Impairing Medication, or Other Drugs.</w:t>
      </w:r>
    </w:p>
    <w:p>
      <w:pPr>
        <w:pStyle w:val="ListBullet"/>
      </w:pPr>
      <w:r>
        <w:t>No Handheld Device Use While Driving; Route and Communication Are Handled Before Departure or While Safely Parked.</w:t>
      </w:r>
    </w:p>
    <w:p>
      <w:pPr>
        <w:pStyle w:val="ListBullet"/>
      </w:pPr>
      <w:r>
        <w:t>Driver Truthfully Discloses Any Suspension, Revocation, Material Insurance Lapse, or Condition That Makes the Driver Ineligible Under the Approved Rules.</w:t>
      </w:r>
    </w:p>
    <w:p>
      <w:pPr>
        <w:pStyle w:val="ListBullet"/>
      </w:pPr>
      <w:r>
        <w:t>Driver Is Not Presented as Endorsed, Certified, Employed, or Guaranteed by Affiliated Institution, the Organization, or BandWagon Unless a Written Program Expressly Establishes That Status.</w:t>
      </w:r>
    </w:p>
    <w:p>
      <w:pPr>
        <w:pStyle w:val="ListBullet"/>
      </w:pPr>
      <w:r>
        <w:t>Eligibility Expires and Must Be Re-Attested at the Approved Interval; Named Administrators May Suspend Status Immediately Pending Review.</w:t>
      </w:r>
    </w:p>
    <w:p>
      <w:pPr>
        <w:pStyle w:val="Heading2"/>
      </w:pPr>
      <w:r>
        <w:t>Parent Responsibilities</w:t>
      </w:r>
    </w:p>
    <w:p>
      <w:pPr>
        <w:pStyle w:val="ListBullet"/>
      </w:pPr>
      <w:r>
        <w:t>Evaluate and Approve Each Transportation Arrangement for the Student.</w:t>
      </w:r>
    </w:p>
    <w:p>
      <w:pPr>
        <w:pStyle w:val="ListBullet"/>
      </w:pPr>
      <w:r>
        <w:t>Confirm the Identity of the Driver and Relevant Details Before the Ride.</w:t>
      </w:r>
    </w:p>
    <w:p>
      <w:pPr>
        <w:pStyle w:val="ListBullet"/>
      </w:pPr>
      <w:r>
        <w:t>Provide Accurate Pickup, Drop-Off, Schedule, Passenger, Accessibility, and Emergency-Contact Information.</w:t>
      </w:r>
    </w:p>
    <w:p>
      <w:pPr>
        <w:pStyle w:val="ListBullet"/>
      </w:pPr>
      <w:r>
        <w:t>Use 911 for Emergencies; BandWagon and Organization Volunteers Are Not Emergency Dispatch.</w:t>
      </w:r>
    </w:p>
    <w:p>
      <w:pPr>
        <w:pStyle w:val="ListBullet"/>
      </w:pPr>
      <w:r>
        <w:t>Notify the Other Household Promptly of Cancellations or Delays.</w:t>
      </w:r>
    </w:p>
    <w:p>
      <w:pPr>
        <w:pStyle w:val="ListBullet"/>
      </w:pPr>
      <w:r>
        <w:t>Report Material Safety Concerns Through the Designated Process without Posting Allegations Broadly in the Application.</w:t>
      </w:r>
    </w:p>
    <w:p>
      <w:pPr>
        <w:pStyle w:val="Heading2"/>
      </w:pPr>
      <w:r>
        <w:t>Proposed Transportation Disclaimer</w:t>
      </w:r>
    </w:p>
    <w:p>
      <w:r>
        <w:t>“BandWagon only helps participating families communicate about possible rides. BandWagon, Harrison Ward Technology, the participating organization, and any affiliated institution do not provide the vehicle or transportation service through this tool and do not guarantee a driver, vehicle, schedule, route, insurance status, background, or outcome. Participation is voluntary. Parents and guardians remain responsible for deciding whether a transportation arrangement is appropriate for their student. Call 911 in an emergency.”</w:t>
      </w:r>
    </w:p>
    <w:p>
      <w:pPr>
        <w:pStyle w:val="SmallNote"/>
      </w:pPr>
      <w:r>
        <w:t>This proposed language must be reviewed against the actual operating model and any agreement. A disclaimer does not correct unsafe practices, expand insurance, or override district policy.</w:t>
      </w:r>
    </w:p>
    <w:p>
      <w:pPr>
        <w:pStyle w:val="Heading2"/>
      </w:pPr>
      <w:r>
        <w:t>Reviewer Response and Attachment Record</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E8EEF5"/>
          </w:tcPr>
          <w:p>
            <w:pPr>
              <w:keepNext/>
              <w:jc w:val="center"/>
            </w:pPr>
            <w:r>
              <w:rPr>
                <w:rFonts w:ascii="Calibri" w:hAnsi="Calibri"/>
                <w:b/>
                <w:color w:val="1F4D78"/>
                <w:sz w:val="19"/>
              </w:rPr>
              <w:t>Field</w:t>
            </w:r>
          </w:p>
        </w:tc>
        <w:tc>
          <w:tcPr>
            <w:tcW w:type="dxa" w:w="7160"/>
            <w:tcMar>
              <w:top w:w="80" w:type="dxa"/>
              <w:start w:w="120" w:type="dxa"/>
              <w:bottom w:w="80" w:type="dxa"/>
              <w:end w:w="120" w:type="dxa"/>
            </w:tcMar>
            <w:vAlign w:val="center"/>
            <w:shd w:fill="E8EEF5"/>
          </w:tcPr>
          <w:p>
            <w:pPr>
              <w:keepNext/>
              <w:jc w:val="center"/>
            </w:pPr>
            <w:r>
              <w:rPr>
                <w:rFonts w:ascii="Calibri" w:hAnsi="Calibri"/>
                <w:b/>
                <w:color w:val="1F4D78"/>
                <w:sz w:val="19"/>
              </w:rPr>
              <w:t>Response</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Reviewing Body</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Risk / Transportation / Insurer Reviewer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Requested Action</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Identify Driver, Volunteer, Insurance, Transportation, Disclaimer, Incident, and Host Site Conditions for the Limited Pilot.</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Official Response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Attach the Reviewer’s Own Approval, Minutes, Ticket, Memo, Agreement, Email, or Conditions.</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Type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 Resolution / Minutes ☐ Ticket ☐ Memo / Letter ☐ Agreement ☐ Email ☐ Other</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Attachment Reference</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Title, File Name, Ticket Number, Meeting Date, or Controlled Evidence Location: ______________________________</w:t>
            </w:r>
          </w:p>
        </w:tc>
      </w:tr>
      <w:tr>
        <w:trPr>
          <w:cantSplit/>
        </w:trPr>
        <w:tc>
          <w:tcPr>
            <w:tcW w:type="dxa" w:w="2200"/>
            <w:tcMar>
              <w:top w:w="80" w:type="dxa"/>
              <w:start w:w="120" w:type="dxa"/>
              <w:bottom w:w="80" w:type="dxa"/>
              <w:end w:w="120" w:type="dxa"/>
            </w:tcMar>
            <w:vAlign w:val="center"/>
            <w:shd w:fill="F2F4F7"/>
          </w:tcPr>
          <w:p>
            <w:pPr>
              <w:keepNext/>
              <w:spacing w:after="40" w:line="240" w:lineRule="auto"/>
              <w:jc w:val="center"/>
            </w:pPr>
            <w:r>
              <w:rPr>
                <w:rFonts w:ascii="Calibri" w:hAnsi="Calibri"/>
                <w:b/>
                <w:color w:val="1F4D78"/>
                <w:sz w:val="19"/>
              </w:rPr>
              <w:t>Conditions / Notes</w:t>
            </w:r>
          </w:p>
        </w:tc>
        <w:tc>
          <w:tcPr>
            <w:tcW w:type="dxa" w:w="7160"/>
            <w:tcMar>
              <w:top w:w="80" w:type="dxa"/>
              <w:start w:w="120" w:type="dxa"/>
              <w:bottom w:w="80" w:type="dxa"/>
              <w:end w:w="120" w:type="dxa"/>
            </w:tcMar>
            <w:vAlign w:val="center"/>
          </w:tcPr>
          <w:p>
            <w:pPr>
              <w:keepNext/>
              <w:spacing w:after="40" w:line="240" w:lineRule="auto"/>
            </w:pPr>
            <w:r>
              <w:rPr>
                <w:rFonts w:ascii="Calibri" w:hAnsi="Calibri"/>
                <w:color w:val="000000"/>
                <w:sz w:val="19"/>
              </w:rPr>
              <w:t>State Whether the Proposed Parent-to-Parent Model Is Permissible and List Required Screening, Forms, Coverage, and Restrictions.</w:t>
            </w:r>
          </w:p>
        </w:tc>
      </w:tr>
      <w:tr>
        <w:trPr>
          <w:cantSplit/>
        </w:trPr>
        <w:tc>
          <w:tcPr>
            <w:tcW w:type="dxa" w:w="2200"/>
            <w:tcMar>
              <w:top w:w="80" w:type="dxa"/>
              <w:start w:w="120" w:type="dxa"/>
              <w:bottom w:w="80" w:type="dxa"/>
              <w:end w:w="120" w:type="dxa"/>
            </w:tcMar>
            <w:vAlign w:val="center"/>
            <w:shd w:fill="F2F4F7"/>
          </w:tcPr>
          <w:p>
            <w:pPr>
              <w:spacing w:after="40" w:line="240" w:lineRule="auto"/>
              <w:jc w:val="center"/>
            </w:pPr>
            <w:r>
              <w:rPr>
                <w:rFonts w:ascii="Calibri" w:hAnsi="Calibri"/>
                <w:b/>
                <w:color w:val="1F4D78"/>
                <w:sz w:val="19"/>
              </w:rPr>
              <w:t>Decision Date / Owner</w:t>
            </w:r>
          </w:p>
        </w:tc>
        <w:tc>
          <w:tcPr>
            <w:tcW w:type="dxa" w:w="7160"/>
            <w:tcMar>
              <w:top w:w="80" w:type="dxa"/>
              <w:start w:w="120" w:type="dxa"/>
              <w:bottom w:w="80" w:type="dxa"/>
              <w:end w:w="120" w:type="dxa"/>
            </w:tcMar>
            <w:vAlign w:val="center"/>
          </w:tcPr>
          <w:p>
            <w:pPr>
              <w:spacing w:after="40" w:line="240" w:lineRule="auto"/>
            </w:pPr>
            <w:r>
              <w:rPr>
                <w:rFonts w:ascii="Calibri" w:hAnsi="Calibri"/>
                <w:color w:val="000000"/>
                <w:sz w:val="19"/>
              </w:rPr>
              <w:t>________________________________________________________________</w:t>
            </w:r>
          </w:p>
        </w:tc>
      </w:tr>
    </w:tbl>
    <w:p>
      <w:pPr>
        <w:pageBreakBefore/>
        <w:spacing w:after="80"/>
      </w:pPr>
      <w:r>
        <w:rPr>
          <w:rFonts w:ascii="Calibri" w:hAnsi="Calibri"/>
          <w:b/>
          <w:color w:val="5C6B7A"/>
          <w:sz w:val="18"/>
        </w:rPr>
        <w:t>PART III - PARTICIPANT DOCUMENTS</w:t>
      </w:r>
    </w:p>
    <w:p>
      <w:pPr>
        <w:pStyle w:val="Heading1"/>
      </w:pPr>
      <w:r>
        <w:t>Parent Consent, Student Authorization, and Driver Attestation</w:t>
      </w:r>
    </w:p>
    <w:p>
      <w:pPr>
        <w:pStyle w:val="Heading2"/>
      </w:pPr>
      <w:r>
        <w:t>Parent / Guardian Consent - Draft</w:t>
      </w:r>
    </w:p>
    <w:p>
      <w:r>
        <w:t>By creating or joining a household, I confirm that I am the parent or legal guardian, or that I am otherwise authorized to manage the household information I provide. I understand that participation is voluntary and is not required by participating organization or Affiliated institution or governing authority.</w:t>
      </w:r>
    </w:p>
    <w:p>
      <w:pPr>
        <w:pStyle w:val="ListBullet"/>
      </w:pPr>
      <w:r>
        <w:t>I Authorize BandWagon to Collect and Use the Minimum Account, Household, Ride, Communication, and Security Information Described in the Privacy Notice to Operate the Service.</w:t>
      </w:r>
    </w:p>
    <w:p>
      <w:pPr>
        <w:pStyle w:val="ListBullet"/>
      </w:pPr>
      <w:r>
        <w:t>I Understand Which Profile Fields Are Optional, Including Driver Bio, Maximum Capacity, per-Ride Seats, Vehicle Description, Service Areas, Availability, Verified Phone, and Contact Visibility, and I May Change or Remove Optional Information Subject to an Active Ride or Documented Hold.</w:t>
      </w:r>
    </w:p>
    <w:p>
      <w:pPr>
        <w:pStyle w:val="ListBullet"/>
      </w:pPr>
      <w:r>
        <w:t>I Authorize the Linked Student Profile and Control Whether the Student May Submit Ride Requests or Receive Permitted Notifications.</w:t>
      </w:r>
    </w:p>
    <w:p>
      <w:pPr>
        <w:pStyle w:val="ListBullet"/>
      </w:pPr>
      <w:r>
        <w:t>I Understand That Approximate Ride Information May Be Shown to Eligible Organization Participants and That Precise Logistics Are Shared Only with an Approved Match, Subject to the Service’s Access Rules.</w:t>
      </w:r>
    </w:p>
    <w:p>
      <w:pPr>
        <w:pStyle w:val="ListBullet"/>
      </w:pPr>
      <w:r>
        <w:t>I Understand That BandWagon Facilitates Communication and Does Not Provide or Guarantee Transportation.</w:t>
      </w:r>
    </w:p>
    <w:p>
      <w:pPr>
        <w:pStyle w:val="ListBullet"/>
      </w:pPr>
      <w:r>
        <w:t>I Understand That the Production App, Core Database, Logs, Cache, and Backups Are Required to Use U.S. Regions, While Approved Outside Processors Are Identified Separately in the Privacy Notice.</w:t>
      </w:r>
    </w:p>
    <w:p>
      <w:pPr>
        <w:pStyle w:val="ListBullet"/>
      </w:pPr>
      <w:r>
        <w:t>I Understand That Core Matching Is Rules-Based, Not AI. Any Optional AI Message-Assistance Feature Will Be Separately Disclosed and Will Not Select Drivers, Approve Rides, or Make Safety Decisions.</w:t>
      </w:r>
    </w:p>
    <w:p>
      <w:pPr>
        <w:pStyle w:val="ListBullet"/>
      </w:pPr>
      <w:r>
        <w:t>I Remain Responsible for Evaluating and Approving Each Driver and Transportation Arrangement for My Student.</w:t>
      </w:r>
    </w:p>
    <w:p>
      <w:pPr>
        <w:pStyle w:val="ListBullet"/>
      </w:pPr>
      <w:r>
        <w:t>I May Withdraw from the Service, Adjust Communications, or Request Deletion Subject to Safety, Incident, Legal-Hold, and Backup-Retention Requirements Described in the Privacy Notice.</w:t>
      </w:r>
    </w:p>
    <w:tbl>
      <w:tblPr>
        <w:tblStyle w:val="TableGrid"/>
        <w:tblW w:type="dxa" w:w="9360"/>
        <w:tblLayout w:type="fixed"/>
        <w:tblLook w:firstColumn="1" w:firstRow="1" w:lastColumn="0" w:lastRow="0" w:noHBand="0" w:noVBand="1" w:val="04A0"/>
        <w:jc w:val="left"/>
        <w:tblInd w:w="120" w:type="dxa"/>
      </w:tblPr>
      <w:tblGrid>
        <w:gridCol w:w="3600"/>
        <w:gridCol w:w="5760"/>
      </w:tblGrid>
      <w:tr>
        <w:trPr>
          <w:cantSplit/>
          <w:tblHeader w:val="true"/>
        </w:trPr>
        <w:tc>
          <w:tcPr>
            <w:tcW w:type="dxa" w:w="3600"/>
            <w:tcMar>
              <w:top w:w="80" w:type="dxa"/>
              <w:start w:w="120" w:type="dxa"/>
              <w:bottom w:w="80" w:type="dxa"/>
              <w:end w:w="120" w:type="dxa"/>
            </w:tcMar>
            <w:vAlign w:val="center"/>
            <w:shd w:fill="E8EEF5"/>
          </w:tcPr>
          <w:p>
            <w:pPr>
              <w:jc w:val="center"/>
            </w:pPr>
            <w:r>
              <w:rPr>
                <w:rFonts w:ascii="Calibri" w:hAnsi="Calibri"/>
                <w:b/>
                <w:color w:val="1F4D78"/>
                <w:sz w:val="18"/>
              </w:rPr>
              <w:t>Consent Record</w:t>
            </w:r>
          </w:p>
        </w:tc>
        <w:tc>
          <w:tcPr>
            <w:tcW w:type="dxa" w:w="5760"/>
            <w:tcMar>
              <w:top w:w="80" w:type="dxa"/>
              <w:start w:w="120" w:type="dxa"/>
              <w:bottom w:w="80" w:type="dxa"/>
              <w:end w:w="120" w:type="dxa"/>
            </w:tcMar>
            <w:vAlign w:val="center"/>
            <w:shd w:fill="E8EEF5"/>
          </w:tcPr>
          <w:p>
            <w:pPr>
              <w:jc w:val="center"/>
            </w:pPr>
            <w:r>
              <w:rPr>
                <w:rFonts w:ascii="Calibri" w:hAnsi="Calibri"/>
                <w:b/>
                <w:color w:val="1F4D78"/>
                <w:sz w:val="18"/>
              </w:rPr>
              <w:t>Captured Value</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Parent / Guardian Name</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______________________________</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Linked Student(s)</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______________________________</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Consent Version</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______________________________</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Date / Time and Method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______________________________</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Email Consent</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 Yes</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SMS / RCS Consent</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 Yes ☐ No</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Transportation Terms Accepted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 Yes</w:t>
            </w:r>
          </w:p>
        </w:tc>
      </w:tr>
      <w:tr>
        <w:trPr>
          <w:cantSplit/>
        </w:trPr>
        <w:tc>
          <w:tcPr>
            <w:tcW w:type="dxa" w:w="3600"/>
            <w:tcMar>
              <w:top w:w="80" w:type="dxa"/>
              <w:start w:w="120" w:type="dxa"/>
              <w:bottom w:w="80" w:type="dxa"/>
              <w:end w:w="120" w:type="dxa"/>
            </w:tcMar>
            <w:vAlign w:val="center"/>
          </w:tcPr>
          <w:p>
            <w:pPr>
              <w:spacing w:after="40" w:line="240" w:lineRule="auto"/>
            </w:pPr>
            <w:r>
              <w:rPr>
                <w:rFonts w:ascii="Calibri" w:hAnsi="Calibri"/>
                <w:color w:val="000000"/>
                <w:sz w:val="18"/>
              </w:rPr>
              <w:t>Privacy Notice Acknowledged</w:t>
            </w:r>
          </w:p>
        </w:tc>
        <w:tc>
          <w:tcPr>
            <w:tcW w:type="dxa" w:w="5760"/>
            <w:tcMar>
              <w:top w:w="80" w:type="dxa"/>
              <w:start w:w="120" w:type="dxa"/>
              <w:bottom w:w="80" w:type="dxa"/>
              <w:end w:w="120" w:type="dxa"/>
            </w:tcMar>
            <w:vAlign w:val="center"/>
          </w:tcPr>
          <w:p>
            <w:pPr>
              <w:spacing w:after="40" w:line="240" w:lineRule="auto"/>
            </w:pPr>
            <w:r>
              <w:rPr>
                <w:rFonts w:ascii="Calibri" w:hAnsi="Calibri"/>
                <w:color w:val="000000"/>
                <w:sz w:val="18"/>
              </w:rPr>
              <w:t>☐ Yes</w:t>
            </w:r>
          </w:p>
        </w:tc>
      </w:tr>
    </w:tbl>
    <w:p>
      <w:pPr>
        <w:spacing w:after="0"/>
      </w:pPr>
    </w:p>
    <w:p>
      <w:pPr>
        <w:pStyle w:val="Heading2"/>
      </w:pPr>
      <w:r>
        <w:t>Student Participation Notice - Draft</w:t>
      </w:r>
    </w:p>
    <w:p>
      <w:r>
        <w:t>Your parent or guardian controls your household and whether you may use BandWagon. Use only your own account. Do not share private addresses, phone numbers, screenshots, or ride information outside the matched households. Do not use the service during the school day when personal devices are prohibited. Tell your parent or another trusted adult immediately if a ride, message, or person makes you uncomfortable. Use 911 in an emergency.</w:t>
      </w:r>
    </w:p>
    <w:p>
      <w:pPr>
        <w:pStyle w:val="Heading2"/>
      </w:pPr>
      <w:r>
        <w:t>Adult Driver Attestation - Draft</w:t>
      </w:r>
    </w:p>
    <w:p>
      <w:r>
        <w:t>Before offering rides, the adult driver must attest that the following statements are accurate and must update or suspend the profile if they are no longer accurate:</w:t>
      </w:r>
    </w:p>
    <w:p>
      <w:pPr>
        <w:pStyle w:val="ListBullet"/>
      </w:pPr>
      <w:r>
        <w:t>I Satisfy the Approved Minimum Age and Driver Eligibility Requirements.</w:t>
      </w:r>
    </w:p>
    <w:p>
      <w:pPr>
        <w:pStyle w:val="ListBullet"/>
      </w:pPr>
      <w:r>
        <w:t>I Hold a Valid Driver’s License and Current Automobile Liability Insurance.</w:t>
      </w:r>
    </w:p>
    <w:p>
      <w:pPr>
        <w:pStyle w:val="ListBullet"/>
      </w:pPr>
      <w:r>
        <w:t>My Vehicle Is Legally Operable and Has a Functioning Seat Belt for Every Passenger.</w:t>
      </w:r>
    </w:p>
    <w:p>
      <w:pPr>
        <w:pStyle w:val="ListBullet"/>
      </w:pPr>
      <w:r>
        <w:t>I Will Not Drive While Impaired or Use a Handheld Device While Driving.</w:t>
      </w:r>
    </w:p>
    <w:p>
      <w:pPr>
        <w:pStyle w:val="ListBullet"/>
      </w:pPr>
      <w:r>
        <w:t>I Will Follow the Approved Pickup, Drop-Off, Passenger, Communication, and Incident Procedures.</w:t>
      </w:r>
    </w:p>
    <w:p>
      <w:pPr>
        <w:pStyle w:val="ListBullet"/>
      </w:pPr>
      <w:r>
        <w:t>I Understand That Approval to Use the Application Is Not an Endorsement or Guarantee of Me or My Vehicle.</w:t>
      </w:r>
    </w:p>
    <w:p>
      <w:pPr>
        <w:pStyle w:val="ListBullet"/>
      </w:pPr>
      <w:r>
        <w:t>I Authorize Any Verification Specifically Required by the Approved Pilot Rules and Described Before I Submit It.</w:t>
      </w:r>
    </w:p>
    <w:p>
      <w:pPr>
        <w:pStyle w:val="Heading2"/>
      </w:pPr>
      <w:r>
        <w:t>SMS / RCS Disclosure - Draft</w:t>
      </w:r>
    </w:p>
    <w:p>
      <w:r>
        <w:t>By selecting SMS / RCS notifications and providing a mobile number, the user agrees to receive service messages related to verification, ride requests, offers, matches, reminders, safety notices, and account administration. Message frequency varies. Message and data rates may apply. Consent to text messaging is not a condition of participating; email-only access remains available. Reply STOP to stop messages and HELP for help. Transactional records and account preferences may remain as described in the privacy notice.</w:t>
      </w:r>
    </w:p>
    <w:p>
      <w:pPr>
        <w:pageBreakBefore/>
        <w:spacing w:after="80"/>
      </w:pPr>
      <w:r>
        <w:rPr>
          <w:rFonts w:ascii="Calibri" w:hAnsi="Calibri"/>
          <w:b/>
          <w:color w:val="5C6B7A"/>
          <w:sz w:val="18"/>
        </w:rPr>
        <w:t>PART IV - OPERATIONS</w:t>
      </w:r>
    </w:p>
    <w:p>
      <w:pPr>
        <w:pStyle w:val="Heading1"/>
      </w:pPr>
      <w:r>
        <w:t>Safety, Privacy, and Security Incident Response</w:t>
      </w:r>
    </w:p>
    <w:p>
      <w:pPr>
        <w:pStyle w:val="Heading2"/>
      </w:pPr>
      <w:r>
        <w:t>Incident Categories</w:t>
      </w:r>
    </w:p>
    <w:tbl>
      <w:tblPr>
        <w:tblStyle w:val="TableGrid"/>
        <w:tblW w:type="dxa" w:w="9360"/>
        <w:tblLayout w:type="fixed"/>
        <w:tblLook w:firstColumn="1" w:firstRow="1" w:lastColumn="0" w:lastRow="0" w:noHBand="0" w:noVBand="1" w:val="04A0"/>
        <w:jc w:val="left"/>
        <w:tblInd w:w="120" w:type="dxa"/>
      </w:tblPr>
      <w:tblGrid>
        <w:gridCol w:w="1450"/>
        <w:gridCol w:w="5150"/>
        <w:gridCol w:w="2760"/>
      </w:tblGrid>
      <w:tr>
        <w:trPr>
          <w:cantSplit/>
          <w:tblHeader w:val="true"/>
        </w:trPr>
        <w:tc>
          <w:tcPr>
            <w:tcW w:type="dxa" w:w="1450"/>
            <w:tcMar>
              <w:top w:w="80" w:type="dxa"/>
              <w:start w:w="120" w:type="dxa"/>
              <w:bottom w:w="80" w:type="dxa"/>
              <w:end w:w="120" w:type="dxa"/>
            </w:tcMar>
            <w:vAlign w:val="center"/>
            <w:shd w:fill="E8EEF5"/>
          </w:tcPr>
          <w:p>
            <w:pPr>
              <w:jc w:val="center"/>
            </w:pPr>
            <w:r>
              <w:rPr>
                <w:rFonts w:ascii="Calibri" w:hAnsi="Calibri"/>
                <w:b/>
                <w:color w:val="1F4D78"/>
                <w:sz w:val="16"/>
              </w:rPr>
              <w:t>Category</w:t>
            </w:r>
          </w:p>
        </w:tc>
        <w:tc>
          <w:tcPr>
            <w:tcW w:type="dxa" w:w="5150"/>
            <w:tcMar>
              <w:top w:w="80" w:type="dxa"/>
              <w:start w:w="120" w:type="dxa"/>
              <w:bottom w:w="80" w:type="dxa"/>
              <w:end w:w="120" w:type="dxa"/>
            </w:tcMar>
            <w:vAlign w:val="center"/>
            <w:shd w:fill="E8EEF5"/>
          </w:tcPr>
          <w:p>
            <w:pPr>
              <w:jc w:val="center"/>
            </w:pPr>
            <w:r>
              <w:rPr>
                <w:rFonts w:ascii="Calibri" w:hAnsi="Calibri"/>
                <w:b/>
                <w:color w:val="1F4D78"/>
                <w:sz w:val="16"/>
              </w:rPr>
              <w:t>Examples</w:t>
            </w:r>
          </w:p>
        </w:tc>
        <w:tc>
          <w:tcPr>
            <w:tcW w:type="dxa" w:w="2760"/>
            <w:tcMar>
              <w:top w:w="80" w:type="dxa"/>
              <w:start w:w="120" w:type="dxa"/>
              <w:bottom w:w="80" w:type="dxa"/>
              <w:end w:w="120" w:type="dxa"/>
            </w:tcMar>
            <w:vAlign w:val="center"/>
            <w:shd w:fill="E8EEF5"/>
          </w:tcPr>
          <w:p>
            <w:pPr>
              <w:jc w:val="center"/>
            </w:pPr>
            <w:r>
              <w:rPr>
                <w:rFonts w:ascii="Calibri" w:hAnsi="Calibri"/>
                <w:b/>
                <w:color w:val="1F4D78"/>
                <w:sz w:val="16"/>
              </w:rPr>
              <w:t>Immediate Owner</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Emergency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Crash, Missing Student, Immediate Threat, Medical Emergency</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Participant Calls 911; Parent / Guardian Notified</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Ride Safety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Unsafe Driving, Impairment Concern, Harassment, Unauthorized Passenger, Serious No-Show</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Organization Safety Owner + Parent; Suspend Account as Appropriate</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Privacy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Address Exposed to Wrong User, Unauthorized Export, Improper Admin Access</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Platform Security + Organization Privacy Contact</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Cybersecurity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Account Takeover, Vulnerability Exploitation, Database or Provider Compromise</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Platform Security Incident Lead</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Residency / AI</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Data Routed Outside Approved U.S. Boundary; AI Enabled or Used Beyond Approval; Sensitive Prompt Leakage</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Platform Security + Privacy Owner; Disable Affected Feature</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Policy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Use During Prohibited Time, Improper Staff Involvement, Misleading Affiliated Institution Endorsement</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Pilot Owner + Program Director / Host-Site Administrator</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6"/>
              </w:rPr>
              <w:t>Service Reliability</w:t>
            </w:r>
          </w:p>
        </w:tc>
        <w:tc>
          <w:tcPr>
            <w:tcW w:type="dxa" w:w="5150"/>
            <w:tcMar>
              <w:top w:w="80" w:type="dxa"/>
              <w:start w:w="120" w:type="dxa"/>
              <w:bottom w:w="80" w:type="dxa"/>
              <w:end w:w="120" w:type="dxa"/>
            </w:tcMar>
            <w:vAlign w:val="center"/>
          </w:tcPr>
          <w:p>
            <w:pPr>
              <w:spacing w:after="40" w:line="240" w:lineRule="auto"/>
            </w:pPr>
            <w:r>
              <w:rPr>
                <w:rFonts w:ascii="Calibri" w:hAnsi="Calibri"/>
                <w:color w:val="000000"/>
                <w:sz w:val="16"/>
              </w:rPr>
              <w:t>Notification Delay, Application Outage, Calendar Mismatch</w:t>
            </w:r>
          </w:p>
        </w:tc>
        <w:tc>
          <w:tcPr>
            <w:tcW w:type="dxa" w:w="2760"/>
            <w:tcMar>
              <w:top w:w="80" w:type="dxa"/>
              <w:start w:w="120" w:type="dxa"/>
              <w:bottom w:w="80" w:type="dxa"/>
              <w:end w:w="120" w:type="dxa"/>
            </w:tcMar>
            <w:vAlign w:val="center"/>
          </w:tcPr>
          <w:p>
            <w:pPr>
              <w:spacing w:after="40" w:line="240" w:lineRule="auto"/>
            </w:pPr>
            <w:r>
              <w:rPr>
                <w:rFonts w:ascii="Calibri" w:hAnsi="Calibri"/>
                <w:color w:val="000000"/>
                <w:sz w:val="16"/>
              </w:rPr>
              <w:t>Platform Operations; Users Revert to Direct Communication</w:t>
            </w:r>
          </w:p>
        </w:tc>
      </w:tr>
    </w:tbl>
    <w:p>
      <w:pPr>
        <w:spacing w:after="0"/>
      </w:pPr>
    </w:p>
    <w:p>
      <w:pPr>
        <w:pStyle w:val="Heading2"/>
      </w:pPr>
      <w:r>
        <w:t>Response Workflow</w:t>
      </w:r>
    </w:p>
    <w:p>
      <w:pPr>
        <w:spacing w:after="40" w:line="240" w:lineRule="auto"/>
        <w:ind w:left="720" w:hanging="360"/>
        <w:numPr>
          <w:ilvl w:val="0"/>
          <w:numId w:val="11"/>
        </w:numPr>
      </w:pPr>
      <w:r>
        <w:t>Protect People First. Call 911 or Appropriate Emergency Services When Needed; the Application Is Not an Emergency Channel.</w:t>
      </w:r>
    </w:p>
    <w:p>
      <w:pPr>
        <w:spacing w:after="40" w:line="240" w:lineRule="auto"/>
        <w:ind w:left="720" w:hanging="360"/>
        <w:numPr>
          <w:ilvl w:val="0"/>
          <w:numId w:val="11"/>
        </w:numPr>
      </w:pPr>
      <w:r>
        <w:t>Contain the Issue. Suspend Affected Accounts, Administrative Access, Messaging, Exports, Integrations, or the Pilot When Warranted.</w:t>
      </w:r>
    </w:p>
    <w:p>
      <w:pPr>
        <w:spacing w:after="40" w:line="240" w:lineRule="auto"/>
        <w:ind w:left="720" w:hanging="360"/>
        <w:numPr>
          <w:ilvl w:val="0"/>
          <w:numId w:val="11"/>
        </w:numPr>
      </w:pPr>
      <w:r>
        <w:t>Preserve the Minimum Relevant Evidence. Protect It from Unnecessary Access and Do Not Delete Records Subject to an Active Investigation or Legal Hold.</w:t>
      </w:r>
    </w:p>
    <w:p>
      <w:pPr>
        <w:spacing w:after="40" w:line="240" w:lineRule="auto"/>
        <w:ind w:left="720" w:hanging="360"/>
        <w:numPr>
          <w:ilvl w:val="0"/>
          <w:numId w:val="11"/>
        </w:numPr>
      </w:pPr>
      <w:r>
        <w:t>Assess Scope and Responsibility. Determine Whether the Matter Affects Only Participating Families, the Organization, Institution-Affiliated Data, or a Service Provider.</w:t>
      </w:r>
    </w:p>
    <w:p>
      <w:pPr>
        <w:spacing w:after="40" w:line="240" w:lineRule="auto"/>
        <w:ind w:left="720" w:hanging="360"/>
        <w:numPr>
          <w:ilvl w:val="0"/>
          <w:numId w:val="11"/>
        </w:numPr>
      </w:pPr>
      <w:r>
        <w:t>Notify the Required Owners. Use the Approved Contact Matrix and Timeframes; Do Not Wait for Certainty When Immediate Safety Is Involved.</w:t>
      </w:r>
    </w:p>
    <w:p>
      <w:pPr>
        <w:spacing w:after="40" w:line="240" w:lineRule="auto"/>
        <w:ind w:left="720" w:hanging="360"/>
        <w:numPr>
          <w:ilvl w:val="0"/>
          <w:numId w:val="11"/>
        </w:numPr>
      </w:pPr>
      <w:r>
        <w:t>Correct and Recover. Apply Technical or Operational Fixes, Validate Them, and Document Who Authorized Return to Service.</w:t>
      </w:r>
    </w:p>
    <w:p>
      <w:pPr>
        <w:spacing w:after="40" w:line="240" w:lineRule="auto"/>
        <w:ind w:left="720" w:hanging="360"/>
        <w:numPr>
          <w:ilvl w:val="0"/>
          <w:numId w:val="11"/>
        </w:numPr>
      </w:pPr>
      <w:r>
        <w:t>Close and Learn. Record Root Cause, Actions, Notifications, Residual Risk, and Any Policy or Training Change without Keeping Unnecessary Personal Details.</w:t>
      </w:r>
    </w:p>
    <w:p>
      <w:r>
        <w:br w:type="page"/>
      </w:r>
    </w:p>
    <w:p>
      <w:pPr>
        <w:pStyle w:val="Heading2"/>
      </w:pPr>
      <w:r>
        <w:t>Incident Contact Matrix - Complete Before Pilot</w:t>
      </w:r>
    </w:p>
    <w:tbl>
      <w:tblPr>
        <w:tblStyle w:val="TableGrid"/>
        <w:tblW w:type="dxa" w:w="9360"/>
        <w:tblLayout w:type="fixed"/>
        <w:tblLook w:firstColumn="1" w:firstRow="1" w:lastColumn="0" w:lastRow="0" w:noHBand="0" w:noVBand="1" w:val="04A0"/>
        <w:jc w:val="left"/>
        <w:tblInd w:w="120" w:type="dxa"/>
      </w:tblPr>
      <w:tblGrid>
        <w:gridCol w:w="2200"/>
        <w:gridCol w:w="2200"/>
        <w:gridCol w:w="2480"/>
        <w:gridCol w:w="2480"/>
      </w:tblGrid>
      <w:tr>
        <w:trPr>
          <w:cantSplit/>
          <w:tblHeader w:val="true"/>
        </w:trPr>
        <w:tc>
          <w:tcPr>
            <w:tcW w:type="dxa" w:w="2200"/>
            <w:tcMar>
              <w:top w:w="80" w:type="dxa"/>
              <w:start w:w="120" w:type="dxa"/>
              <w:bottom w:w="80" w:type="dxa"/>
              <w:end w:w="120" w:type="dxa"/>
            </w:tcMar>
            <w:vAlign w:val="center"/>
            <w:shd w:fill="E8EEF5"/>
          </w:tcPr>
          <w:p>
            <w:pPr>
              <w:jc w:val="center"/>
            </w:pPr>
            <w:r>
              <w:rPr>
                <w:rFonts w:ascii="Calibri" w:hAnsi="Calibri"/>
                <w:b/>
                <w:color w:val="1F4D78"/>
                <w:sz w:val="17"/>
              </w:rPr>
              <w:t>Role</w:t>
            </w:r>
          </w:p>
        </w:tc>
        <w:tc>
          <w:tcPr>
            <w:tcW w:type="dxa" w:w="2200"/>
            <w:tcMar>
              <w:top w:w="80" w:type="dxa"/>
              <w:start w:w="120" w:type="dxa"/>
              <w:bottom w:w="80" w:type="dxa"/>
              <w:end w:w="120" w:type="dxa"/>
            </w:tcMar>
            <w:vAlign w:val="center"/>
            <w:shd w:fill="E8EEF5"/>
          </w:tcPr>
          <w:p>
            <w:pPr>
              <w:jc w:val="center"/>
            </w:pPr>
            <w:r>
              <w:rPr>
                <w:rFonts w:ascii="Calibri" w:hAnsi="Calibri"/>
                <w:b/>
                <w:color w:val="1F4D78"/>
                <w:sz w:val="17"/>
              </w:rPr>
              <w:t>Name</w:t>
            </w:r>
          </w:p>
        </w:tc>
        <w:tc>
          <w:tcPr>
            <w:tcW w:type="dxa" w:w="2480"/>
            <w:tcMar>
              <w:top w:w="80" w:type="dxa"/>
              <w:start w:w="120" w:type="dxa"/>
              <w:bottom w:w="80" w:type="dxa"/>
              <w:end w:w="120" w:type="dxa"/>
            </w:tcMar>
            <w:vAlign w:val="center"/>
            <w:shd w:fill="E8EEF5"/>
          </w:tcPr>
          <w:p>
            <w:pPr>
              <w:jc w:val="center"/>
            </w:pPr>
            <w:r>
              <w:rPr>
                <w:rFonts w:ascii="Calibri" w:hAnsi="Calibri"/>
                <w:b/>
                <w:color w:val="1F4D78"/>
                <w:sz w:val="17"/>
              </w:rPr>
              <w:t>Primary Contact</w:t>
            </w:r>
          </w:p>
        </w:tc>
        <w:tc>
          <w:tcPr>
            <w:tcW w:type="dxa" w:w="2480"/>
            <w:tcMar>
              <w:top w:w="80" w:type="dxa"/>
              <w:start w:w="120" w:type="dxa"/>
              <w:bottom w:w="80" w:type="dxa"/>
              <w:end w:w="120" w:type="dxa"/>
            </w:tcMar>
            <w:vAlign w:val="center"/>
            <w:shd w:fill="E8EEF5"/>
          </w:tcPr>
          <w:p>
            <w:pPr>
              <w:jc w:val="center"/>
            </w:pPr>
            <w:r>
              <w:rPr>
                <w:rFonts w:ascii="Calibri" w:hAnsi="Calibri"/>
                <w:b/>
                <w:color w:val="1F4D78"/>
                <w:sz w:val="17"/>
              </w:rPr>
              <w:t>Backup / After Hours</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Organization Executive Owner</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Organization Safety Owner</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Organization Privacy Contact</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Program Director / Sponsor</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Host-Site Administrator / Designee</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Privacy / Security Contact</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 by Affiliated Institution</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Platform Security / Operations</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Harrison Ward Technology</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Insurance / Counsel</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248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bl>
    <w:p>
      <w:pPr>
        <w:spacing w:after="0"/>
      </w:pPr>
    </w:p>
    <w:p>
      <w:pPr>
        <w:pStyle w:val="Heading2"/>
      </w:pPr>
      <w:r>
        <w:t>First-Hour Actions</w:t>
      </w:r>
    </w:p>
    <w:p>
      <w:pPr>
        <w:pStyle w:val="ListBullet"/>
      </w:pPr>
      <w:r>
        <w:t>Safety Event: Call 911 When Appropriate, Notify the Parent / Guardian, and Do Not Delay Emergency Action While Trying to Report Through the Application.</w:t>
      </w:r>
    </w:p>
    <w:p>
      <w:pPr>
        <w:pStyle w:val="ListBullet"/>
      </w:pPr>
      <w:r>
        <w:t>Account or Privacy Event: Disable Affected Accounts or Sessions, STOP Unnecessary Disclosure, Preserve Relevant Logs, and Notify the Platform Security and Organization Privacy Contacts.</w:t>
      </w:r>
    </w:p>
    <w:p>
      <w:pPr>
        <w:pStyle w:val="ListBullet"/>
      </w:pPr>
      <w:r>
        <w:t>Transportation Complaint: Protect the Student, Suspend the Driver or Match When Warranted, Notify the Parent and Safety Owner, and Follow Affiliated Institution / Insurer Reporting Instructions.</w:t>
      </w:r>
    </w:p>
    <w:p>
      <w:pPr>
        <w:pStyle w:val="ListBullet"/>
      </w:pPr>
      <w:r>
        <w:t>Misleading Institutional Endorsement or Policy Conflict: Pause Promotion or the Pilot and Route the Issue to the Program Owner and Host-Site Administrator Before Resuming.</w:t>
      </w:r>
    </w:p>
    <w:p>
      <w:pPr>
        <w:pStyle w:val="Heading2"/>
      </w:pPr>
      <w:r>
        <w:t>Minimum Incident Record</w:t>
      </w:r>
    </w:p>
    <w:tbl>
      <w:tblPr>
        <w:tblStyle w:val="TableGrid"/>
        <w:tblW w:type="dxa" w:w="9360"/>
        <w:tblLayout w:type="fixed"/>
        <w:tblLook w:firstColumn="1" w:firstRow="1" w:lastColumn="0" w:lastRow="0" w:noHBand="0" w:noVBand="1" w:val="04A0"/>
        <w:jc w:val="left"/>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E8EEF5"/>
          </w:tcPr>
          <w:p>
            <w:pPr>
              <w:jc w:val="center"/>
            </w:pPr>
            <w:r>
              <w:rPr>
                <w:rFonts w:ascii="Calibri" w:hAnsi="Calibri"/>
                <w:b/>
                <w:color w:val="1F4D78"/>
                <w:sz w:val="17"/>
              </w:rPr>
              <w:t>Field</w:t>
            </w:r>
          </w:p>
        </w:tc>
        <w:tc>
          <w:tcPr>
            <w:tcW w:type="dxa" w:w="6860"/>
            <w:tcMar>
              <w:top w:w="80" w:type="dxa"/>
              <w:start w:w="120" w:type="dxa"/>
              <w:bottom w:w="80" w:type="dxa"/>
              <w:end w:w="120" w:type="dxa"/>
            </w:tcMar>
            <w:vAlign w:val="center"/>
            <w:shd w:fill="E8EEF5"/>
          </w:tcPr>
          <w:p>
            <w:pPr>
              <w:jc w:val="center"/>
            </w:pPr>
            <w:r>
              <w:rPr>
                <w:rFonts w:ascii="Calibri" w:hAnsi="Calibri"/>
                <w:b/>
                <w:color w:val="1F4D78"/>
                <w:sz w:val="17"/>
              </w:rPr>
              <w:t>Required Detail</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When and How Received</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Date / Time, Reporting Channel, and Reporter Contact</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People and Ride</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Only the Accounts, Match, and Event Needed to Understand the Report</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Immediate Protection</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911 / Medical Action, Guardian Contact, Suspension, or Containment</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Data / Systems Affected</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Records Exposed, Accounts Involved, Vendor / Service Involvement</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Notifications</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Who Was Notified, When, by Whom, and Under Which Requirement</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Closure</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Finding, Corrective Action, Approval to Resume, and Retention / Legal-Hold Decision</w:t>
            </w:r>
          </w:p>
        </w:tc>
      </w:tr>
    </w:tbl>
    <w:p>
      <w:pPr>
        <w:pageBreakBefore/>
        <w:spacing w:after="80"/>
      </w:pPr>
      <w:r>
        <w:rPr>
          <w:rFonts w:ascii="Calibri" w:hAnsi="Calibri"/>
          <w:b/>
          <w:color w:val="5C6B7A"/>
          <w:sz w:val="18"/>
        </w:rPr>
        <w:t>PART V - PILOT</w:t>
      </w:r>
    </w:p>
    <w:p>
      <w:pPr>
        <w:pStyle w:val="Heading1"/>
      </w:pPr>
      <w:r>
        <w:t>Limited Pilot Plan and Launch Gate</w:t>
      </w:r>
    </w:p>
    <w:p>
      <w:pPr>
        <w:pStyle w:val="Heading2"/>
      </w:pPr>
      <w:r>
        <w:t>Recommended Scope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jc w:val="center"/>
            </w:pPr>
            <w:r>
              <w:rPr>
                <w:rFonts w:ascii="Calibri" w:hAnsi="Calibri"/>
                <w:b/>
                <w:color w:val="1F4D78"/>
                <w:sz w:val="18"/>
              </w:rPr>
              <w:t>Item</w:t>
            </w:r>
          </w:p>
        </w:tc>
        <w:tc>
          <w:tcPr>
            <w:tcW w:type="dxa" w:w="7060"/>
            <w:tcMar>
              <w:top w:w="80" w:type="dxa"/>
              <w:start w:w="120" w:type="dxa"/>
              <w:bottom w:w="80" w:type="dxa"/>
              <w:end w:w="120" w:type="dxa"/>
            </w:tcMar>
            <w:vAlign w:val="center"/>
            <w:shd w:fill="E8EEF5"/>
          </w:tcPr>
          <w:p>
            <w:pPr>
              <w:jc w:val="center"/>
            </w:pPr>
            <w:r>
              <w:rPr>
                <w:rFonts w:ascii="Calibri" w:hAnsi="Calibri"/>
                <w:b/>
                <w:color w:val="1F4D78"/>
                <w:sz w:val="18"/>
              </w:rPr>
              <w:t>Recommended Pilot Limit</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Duration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30 to 45 Days, Followed by a Written Review</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Population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10 to 25 Parent-Managed Households; Adult Parent / Guardian Drivers Only</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Events</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One Approved Event Type or Section; No Overnight or Out-of-Area Travel Unless Separately Approved</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Cost / Funding</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$0 to the Participating Organization, Affiliated Institution, and Families; Contribution Prompts and Sponsor Recognition Disabled Unless Separately Approved</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Data Source</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Parent-Entered Information and Approved Public Calendar Only; No Institution-Provided Roster or Participant-System Integration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Messaging</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Email Available; SMS / RCS Only After Carrier Readiness and Separate Opt-in</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Staff Role</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Advisory and Escalation Only; No Routine Driver Selection or Ride Dispatch</w:t>
            </w:r>
          </w:p>
        </w:tc>
      </w:tr>
      <w:tr>
        <w:trPr>
          <w:cantSplit/>
        </w:trPr>
        <w:tc>
          <w:tcPr>
            <w:tcW w:type="dxa" w:w="2300"/>
            <w:tcMar>
              <w:top w:w="80" w:type="dxa"/>
              <w:start w:w="120" w:type="dxa"/>
              <w:bottom w:w="80" w:type="dxa"/>
              <w:end w:w="120" w:type="dxa"/>
            </w:tcMar>
            <w:vAlign w:val="center"/>
          </w:tcPr>
          <w:p>
            <w:pPr>
              <w:spacing w:after="40" w:line="240" w:lineRule="auto"/>
            </w:pPr>
            <w:r>
              <w:rPr>
                <w:rFonts w:ascii="Calibri" w:hAnsi="Calibri"/>
                <w:color w:val="000000"/>
                <w:sz w:val="18"/>
              </w:rPr>
              <w:t>Success Decision</w:t>
            </w:r>
          </w:p>
        </w:tc>
        <w:tc>
          <w:tcPr>
            <w:tcW w:type="dxa" w:w="7060"/>
            <w:tcMar>
              <w:top w:w="80" w:type="dxa"/>
              <w:start w:w="120" w:type="dxa"/>
              <w:bottom w:w="80" w:type="dxa"/>
              <w:end w:w="120" w:type="dxa"/>
            </w:tcMar>
            <w:vAlign w:val="center"/>
          </w:tcPr>
          <w:p>
            <w:pPr>
              <w:spacing w:after="40" w:line="240" w:lineRule="auto"/>
            </w:pPr>
            <w:r>
              <w:rPr>
                <w:rFonts w:ascii="Calibri" w:hAnsi="Calibri"/>
                <w:color w:val="000000"/>
                <w:sz w:val="18"/>
              </w:rPr>
              <w:t>Continue, Modify, Expand, or STOP Based on Safety, Privacy, Participation, and Operational Evidence</w:t>
            </w:r>
          </w:p>
        </w:tc>
      </w:tr>
    </w:tbl>
    <w:p>
      <w:pPr>
        <w:spacing w:after="0"/>
      </w:pPr>
    </w:p>
    <w:p>
      <w:pPr>
        <w:pStyle w:val="Heading2"/>
      </w:pPr>
      <w:r>
        <w:t>Success Measures</w:t>
      </w:r>
    </w:p>
    <w:tbl>
      <w:tblPr>
        <w:tblStyle w:val="TableGrid"/>
        <w:tblW w:type="dxa" w:w="9360"/>
        <w:tblLayout w:type="fixed"/>
        <w:tblLook w:firstColumn="1" w:firstRow="1" w:lastColumn="0" w:lastRow="0" w:noHBand="0" w:noVBand="1" w:val="04A0"/>
        <w:jc w:val="left"/>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E8EEF5"/>
          </w:tcPr>
          <w:p>
            <w:pPr>
              <w:jc w:val="center"/>
            </w:pPr>
            <w:r>
              <w:rPr>
                <w:rFonts w:ascii="Calibri" w:hAnsi="Calibri"/>
                <w:b/>
                <w:color w:val="1F4D78"/>
                <w:sz w:val="17"/>
              </w:rPr>
              <w:t>Measure</w:t>
            </w:r>
          </w:p>
        </w:tc>
        <w:tc>
          <w:tcPr>
            <w:tcW w:type="dxa" w:w="6860"/>
            <w:tcMar>
              <w:top w:w="80" w:type="dxa"/>
              <w:start w:w="120" w:type="dxa"/>
              <w:bottom w:w="80" w:type="dxa"/>
              <w:end w:w="120" w:type="dxa"/>
            </w:tcMar>
            <w:vAlign w:val="center"/>
            <w:shd w:fill="E8EEF5"/>
          </w:tcPr>
          <w:p>
            <w:pPr>
              <w:jc w:val="center"/>
            </w:pPr>
            <w:r>
              <w:rPr>
                <w:rFonts w:ascii="Calibri" w:hAnsi="Calibri"/>
                <w:b/>
                <w:color w:val="1F4D78"/>
                <w:sz w:val="17"/>
              </w:rPr>
              <w:t>Target / Question</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Request Resolution</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What Percentage of Ride Requests Receive an Accepted Match?</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Privacy Reduction</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Did the Tool Reduce Broad Posting of Phone Numbers and Addresses?</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Parent Experience</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Could Parents Request, Offer, Approve, Change, and Cancel without Volunteer Intervention?</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Safety</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Were There Any Safety Reports, Disputed Identities, Unauthorized Passengers, or Serious No-Shows?</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Admin Burden</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How Much Time Did Organization Admins Spend and Which Data Did They Actually Need?</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Reliability</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Were Notifications Timely and Was There a Clear Fallback During Outages?</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Equity / Access</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Could Email-Only and Desktop Users Participate without a Smartphone or SMS?</w:t>
            </w:r>
          </w:p>
        </w:tc>
      </w:tr>
      <w:tr>
        <w:trPr>
          <w:cantSplit/>
        </w:trPr>
        <w:tc>
          <w:tcPr>
            <w:tcW w:type="dxa" w:w="2500"/>
            <w:tcMar>
              <w:top w:w="80" w:type="dxa"/>
              <w:start w:w="120" w:type="dxa"/>
              <w:bottom w:w="80" w:type="dxa"/>
              <w:end w:w="120" w:type="dxa"/>
            </w:tcMar>
            <w:vAlign w:val="center"/>
          </w:tcPr>
          <w:p>
            <w:pPr>
              <w:spacing w:after="40" w:line="240" w:lineRule="auto"/>
            </w:pPr>
            <w:r>
              <w:rPr>
                <w:rFonts w:ascii="Calibri" w:hAnsi="Calibri"/>
                <w:color w:val="000000"/>
                <w:sz w:val="17"/>
              </w:rPr>
              <w:t>Compliance</w:t>
            </w:r>
          </w:p>
        </w:tc>
        <w:tc>
          <w:tcPr>
            <w:tcW w:type="dxa" w:w="6860"/>
            <w:tcMar>
              <w:top w:w="80" w:type="dxa"/>
              <w:start w:w="120" w:type="dxa"/>
              <w:bottom w:w="80" w:type="dxa"/>
              <w:end w:w="120" w:type="dxa"/>
            </w:tcMar>
            <w:vAlign w:val="center"/>
          </w:tcPr>
          <w:p>
            <w:pPr>
              <w:spacing w:after="40" w:line="240" w:lineRule="auto"/>
            </w:pPr>
            <w:r>
              <w:rPr>
                <w:rFonts w:ascii="Calibri" w:hAnsi="Calibri"/>
                <w:color w:val="000000"/>
                <w:sz w:val="17"/>
              </w:rPr>
              <w:t>Did Actual Behavior Match Consent, Privacy, Retention, and Approval Conditions?</w:t>
            </w:r>
          </w:p>
        </w:tc>
      </w:tr>
    </w:tbl>
    <w:p>
      <w:pPr>
        <w:spacing w:after="0"/>
      </w:pPr>
    </w:p>
    <w:p>
      <w:r>
        <w:br w:type="page"/>
      </w:r>
    </w:p>
    <w:p>
      <w:pPr>
        <w:pStyle w:val="Heading2"/>
      </w:pPr>
      <w:r>
        <w:t>Pre-Launch Approval and Evidence Checklist</w:t>
      </w:r>
    </w:p>
    <w:tbl>
      <w:tblPr>
        <w:tblStyle w:val="TableGrid"/>
        <w:tblW w:type="dxa" w:w="9360"/>
        <w:tblLayout w:type="fixed"/>
        <w:tblLook w:firstColumn="1" w:firstRow="1" w:lastColumn="0" w:lastRow="0" w:noHBand="0" w:noVBand="1" w:val="04A0"/>
        <w:jc w:val="left"/>
        <w:tblInd w:w="120" w:type="dxa"/>
      </w:tblPr>
      <w:tblGrid>
        <w:gridCol w:w="850"/>
        <w:gridCol w:w="1800"/>
        <w:gridCol w:w="6710"/>
      </w:tblGrid>
      <w:tr>
        <w:trPr>
          <w:cantSplit/>
          <w:tblHeader w:val="true"/>
        </w:trPr>
        <w:tc>
          <w:tcPr>
            <w:tcW w:type="dxa" w:w="850"/>
            <w:tcMar>
              <w:top w:w="80" w:type="dxa"/>
              <w:start w:w="120" w:type="dxa"/>
              <w:bottom w:w="80" w:type="dxa"/>
              <w:end w:w="120" w:type="dxa"/>
            </w:tcMar>
            <w:vAlign w:val="center"/>
            <w:shd w:fill="E8EEF5"/>
          </w:tcPr>
          <w:p>
            <w:pPr>
              <w:jc w:val="center"/>
            </w:pPr>
            <w:r>
              <w:rPr>
                <w:rFonts w:ascii="Calibri" w:hAnsi="Calibri"/>
                <w:b/>
                <w:color w:val="1F4D78"/>
                <w:sz w:val="16"/>
              </w:rPr>
              <w:t>Status</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6"/>
              </w:rPr>
              <w:t>Area</w:t>
            </w:r>
          </w:p>
        </w:tc>
        <w:tc>
          <w:tcPr>
            <w:tcW w:type="dxa" w:w="6710"/>
            <w:tcMar>
              <w:top w:w="80" w:type="dxa"/>
              <w:start w:w="120" w:type="dxa"/>
              <w:bottom w:w="80" w:type="dxa"/>
              <w:end w:w="120" w:type="dxa"/>
            </w:tcMar>
            <w:vAlign w:val="center"/>
            <w:shd w:fill="E8EEF5"/>
          </w:tcPr>
          <w:p>
            <w:pPr>
              <w:jc w:val="center"/>
            </w:pPr>
            <w:r>
              <w:rPr>
                <w:rFonts w:ascii="Calibri" w:hAnsi="Calibri"/>
                <w:b/>
                <w:color w:val="1F4D78"/>
                <w:sz w:val="16"/>
              </w:rPr>
              <w:t>Evidence Required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Governance</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Organization Governing Body Resolution, Conflict Disclosure, Named Owners, and Pilot Scope Are on File.</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Program</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Program Director / Sponsor Has Approved Event Scope and Staff Boundaries.</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Host Site</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Host-Site Authorization and Affiliated Institution Routing Requirements Are Documented.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Privacy</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Affiliated Institution Has Stated Whether a Applicable DPA, Data-Sharing Agreement, Questionnaire, or Other Vendor Review Is Required.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Transportation</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Volunteer, Background Check, Driver-License, Insurance, and Host Site Pickup Requirements Are Documented.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Legal / Insurance</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Organization Insurer / Counsel Has Reviewed the Operating Model, Retention, and Disclaimers as Needed.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Accounts</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Parent-Controlled Household and Under-13 Restrictions Are Enforced.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Drivers</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Adult-Driver-Only Pilot Restriction and Approved Attestations Are Enforced.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Access</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Role Matrix and Least-Privilege Tests Pass; Admin Access Is Named and Logged.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Feature Controls</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Final Organization Feature Registry Lists Every Optional Module, Approved Default, Organization Owner, User Choice, Provider Call, Data Fields, and Shutdown Behavior; Disabled-Feature Tests Pass.</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Platform Visibility</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The Automated Processing Inventory, Platform-Personnel Access Matrix, Time-Limited Support Procedure, and Access-Log Review Are Complete and Match Production.</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Funding</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Free-Core Commitment, Contribution / Sponsor Settings, Payment Processor, Financial-Role Separation, Sponsor-Data Prohibition, and Organization Approval Are Documented; Organization Funding Features Remain Off Unless Approved.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Security</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Security Acceptance Criteria and Backup / Restore Test Are Complete.</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Data</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Final v1 Field Inventory Identifies Required / Optional Data, Validation, Purpose, Visibility, Storage, Retention, and Deletion; Production Matches It.</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U.S. Residency</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Compute, Database, Cache, Logs, and Private Backup Bucket Are Evidenced in U.S. Regions; Each Outside Processor Is Verified or Documented as an Approved Exception.</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Encryption</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TLS, at-Rest Encryption, Restricted-Field Protection, Encrypted Backups, Secret Storage, and Restore / Recovery Evidence Are Complete.</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AI</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AI Is Disabled, or a Separate AI Impact Record and Written Approval Are Complete; No Prohibited Scoring or Autonomous Action Is Enabled.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Messaging</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Email and SMS / RCS Consent, STOP / HELP, and Fallback Behavior Are Tested.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Safety</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Block / Report / Escalation Procedures and Emergency Language Are Visible and Tested.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Communications</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Invitation, Non-Endorsement, Parent Guide, and Support Contacts Are Approved.</w:t>
            </w:r>
          </w:p>
        </w:tc>
      </w:tr>
      <w:tr>
        <w:trPr>
          <w:cantSplit/>
        </w:trPr>
        <w:tc>
          <w:tcPr>
            <w:tcW w:type="dxa" w:w="850"/>
            <w:tcMar>
              <w:top w:w="80" w:type="dxa"/>
              <w:start w:w="120" w:type="dxa"/>
              <w:bottom w:w="80" w:type="dxa"/>
              <w:end w:w="120" w:type="dxa"/>
            </w:tcMar>
            <w:vAlign w:val="center"/>
          </w:tcPr>
          <w:p>
            <w:pPr>
              <w:spacing w:after="40" w:line="240" w:lineRule="auto"/>
            </w:pPr>
            <w:r>
              <w:rPr>
                <w:rFonts w:ascii="Calibri" w:hAnsi="Calibri"/>
                <w:color w:val="000000"/>
                <w:sz w:val="16"/>
              </w:rPr>
              <w: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6"/>
              </w:rPr>
              <w:t>Go / No-Go</w:t>
            </w:r>
          </w:p>
        </w:tc>
        <w:tc>
          <w:tcPr>
            <w:tcW w:type="dxa" w:w="6710"/>
            <w:tcMar>
              <w:top w:w="80" w:type="dxa"/>
              <w:start w:w="120" w:type="dxa"/>
              <w:bottom w:w="80" w:type="dxa"/>
              <w:end w:w="120" w:type="dxa"/>
            </w:tcMar>
            <w:vAlign w:val="center"/>
          </w:tcPr>
          <w:p>
            <w:pPr>
              <w:spacing w:after="40" w:line="240" w:lineRule="auto"/>
            </w:pPr>
            <w:r>
              <w:rPr>
                <w:rFonts w:ascii="Calibri" w:hAnsi="Calibri"/>
                <w:color w:val="000000"/>
                <w:sz w:val="16"/>
              </w:rPr>
              <w:t>Named Accountable Owner Signs the Launch Gate; Unresolved Red Items STOP Launch.</w:t>
            </w:r>
          </w:p>
        </w:tc>
      </w:tr>
    </w:tbl>
    <w:p>
      <w:pPr>
        <w:spacing w:after="0"/>
      </w:pPr>
    </w:p>
    <w:p>
      <w:pPr>
        <w:pStyle w:val="Heading2"/>
      </w:pPr>
      <w:r>
        <w:t>Pilot Exit / Suspension Criteria</w:t>
      </w:r>
    </w:p>
    <w:p>
      <w:pPr>
        <w:pStyle w:val="ListBullet"/>
      </w:pPr>
      <w:r>
        <w:t>Organization or Affiliated Institution Directs the Activity to Stop.</w:t>
      </w:r>
    </w:p>
    <w:p>
      <w:pPr>
        <w:pStyle w:val="ListBullet"/>
      </w:pPr>
      <w:r>
        <w:t>A Material Privacy or Safety Incident Cannot Be Contained Promptly.</w:t>
      </w:r>
    </w:p>
    <w:p>
      <w:pPr>
        <w:pStyle w:val="ListBullet"/>
      </w:pPr>
      <w:r>
        <w:t>Required Driver, Volunteer, or Insurance Controls Are Not Met.</w:t>
      </w:r>
    </w:p>
    <w:p>
      <w:pPr>
        <w:pStyle w:val="ListBullet"/>
      </w:pPr>
      <w:r>
        <w:t>The Application’s Actual Data Collection or Access Materially Differs from the Approved Documentation.</w:t>
      </w:r>
    </w:p>
    <w:p>
      <w:pPr>
        <w:pStyle w:val="ListBullet"/>
      </w:pPr>
      <w:r>
        <w:t>The Service Creates an Expectation That Students Use Prohibited Personal Devices During the School Day.</w:t>
      </w:r>
    </w:p>
    <w:p>
      <w:pPr>
        <w:pStyle w:val="ListBullet"/>
      </w:pPr>
      <w:r>
        <w:t>The Administrative Burden or Participation Level Does Not Justify Continued Operation.</w:t>
      </w:r>
    </w:p>
    <w:p>
      <w:pPr>
        <w:pageBreakBefore/>
        <w:spacing w:after="80"/>
      </w:pPr>
      <w:r>
        <w:rPr>
          <w:rFonts w:ascii="Calibri" w:hAnsi="Calibri"/>
          <w:b/>
          <w:color w:val="5C6B7A"/>
          <w:sz w:val="18"/>
        </w:rPr>
        <w:t>PART VI - COMMUNICATIONS</w:t>
      </w:r>
    </w:p>
    <w:p>
      <w:pPr>
        <w:pStyle w:val="Heading1"/>
      </w:pPr>
      <w:r>
        <w:t>Parent Invitation and Reviewer Cover Notes</w:t>
      </w:r>
    </w:p>
    <w:p>
      <w:pPr>
        <w:pStyle w:val="Heading2"/>
      </w:pPr>
      <w:r>
        <w:t>Parent Pilot Invitation - Draft</w:t>
      </w:r>
    </w:p>
    <w:p>
      <w:r>
        <w:t>The Participating organization is evaluating a small, voluntary pilot of Organization-branded BandWagon instance, a privacy-focused ride-coordination service powered by BandWagon. It is designed to help participating participating families request or offer rides without posting addresses and phone numbers broadly in social media or group messages.</w:t>
      </w:r>
    </w:p>
    <w:p>
      <w:r>
        <w:t>Participation is optional and parent controlled. The pilot does not replace affiliated institution transportation, and neither participating organization nor affiliated institution provides or guarantees a driver or ride through the service. Adult parent / guardian drivers only will be permitted during the pilot. affiliated institution will not provide student rosters or account data to the service.</w:t>
      </w:r>
    </w:p>
    <w:p>
      <w:r>
        <w:t>BandWagon’s approved core platform is free for participating families and organizations. Optional adult-user contributions and approved outside funding sponsors may support platform costs, but funding never changes access, matching priority, safety decisions, or core features. Organization contribution prompts and sponsor recognition will remain disabled unless the Organization separately approves them.</w:t>
      </w:r>
    </w:p>
    <w:p>
      <w:r>
        <w:t>Parents selected for the pilot will receive the privacy notice, transportation terms, consent information, and support contact before creating an account.</w:t>
      </w:r>
    </w:p>
    <w:p>
      <w:pPr>
        <w:pStyle w:val="Heading2"/>
      </w:pPr>
      <w:r>
        <w:t>Short Cover Note to the Program Director / Host-Site Administrator</w:t>
      </w:r>
    </w:p>
    <w:p>
      <w:r>
        <w:t>We are submitting a proposal for a limited parent-to-parent ride-coordination pilot. The proposed service is voluntary, parent initiated, adult-driver only, and does not require affiliated institution to provide student information or operate transportation. Please route the proposal through the normal review process and return or attach the official response and any conditions required before a pilot launch.</w:t>
      </w:r>
    </w:p>
    <w:p>
      <w:pPr>
        <w:pStyle w:val="Heading2"/>
      </w:pPr>
      <w:r>
        <w:t>Short Cover Note to Technology / Data Privacy Reviewer</w:t>
      </w:r>
    </w:p>
    <w:p>
      <w:r>
        <w:t>The proposed pilot intentionally avoids Institution-held education records and district account provisioning. Parents create and manage their own households, and the service collects only information needed to coordinate an approved match. We are requesting your determination on whether a Applicable DPA, data-sharing agreement, security review, device restriction, or other vendor process is required before a organization-sponsored pilot may begin.</w:t>
      </w:r>
    </w:p>
    <w:p>
      <w:pPr>
        <w:pStyle w:val="Heading2"/>
      </w:pPr>
      <w:r>
        <w:t>Short Cover Note to Risk Management / Transportation</w:t>
      </w:r>
    </w:p>
    <w:p>
      <w:r>
        <w:t>The proposed tool coordinates voluntary introductions between participating families but does not provide vehicles, employ drivers, or replace official affiliated institution transportation. For the limited pilot, we recommend adult parent / guardian drivers only. We are requesting written direction on approved volunteer-screening provider / background checks, driver-license review, insurance evidence, organization coverage, host site pickup rules, disclaimers, and incident reporting.</w:t>
      </w:r>
    </w:p>
    <w:p>
      <w:pPr>
        <w:pageBreakBefore/>
        <w:spacing w:after="80"/>
      </w:pPr>
      <w:r>
        <w:rPr>
          <w:rFonts w:ascii="Calibri" w:hAnsi="Calibri"/>
          <w:b/>
          <w:color w:val="5C6B7A"/>
          <w:sz w:val="18"/>
        </w:rPr>
        <w:t>PART VII - RESPONSE REGISTER</w:t>
      </w:r>
    </w:p>
    <w:p>
      <w:pPr>
        <w:pStyle w:val="Heading1"/>
      </w:pPr>
      <w:r>
        <w:t>Open Items, Required Evidence, and Attached Decisions</w:t>
      </w:r>
    </w:p>
    <w:tbl>
      <w:tblPr>
        <w:tblStyle w:val="TableGrid"/>
        <w:tblW w:type="dxa" w:w="9360"/>
        <w:tblLayout w:type="fixed"/>
        <w:tblLook w:firstColumn="1" w:firstRow="1" w:lastColumn="0" w:lastRow="0" w:noHBand="0" w:noVBand="1" w:val="04A0"/>
        <w:jc w:val="left"/>
        <w:tblInd w:w="120" w:type="dxa"/>
      </w:tblPr>
      <w:tblGrid>
        <w:gridCol w:w="700"/>
        <w:gridCol w:w="4180"/>
        <w:gridCol w:w="1850"/>
        <w:gridCol w:w="1050"/>
        <w:gridCol w:w="1580"/>
      </w:tblGrid>
      <w:tr>
        <w:trPr>
          <w:cantSplit/>
          <w:tblHeader w:val="true"/>
        </w:trPr>
        <w:tc>
          <w:tcPr>
            <w:tcW w:type="dxa" w:w="700"/>
            <w:tcMar>
              <w:top w:w="80" w:type="dxa"/>
              <w:start w:w="120" w:type="dxa"/>
              <w:bottom w:w="80" w:type="dxa"/>
              <w:end w:w="120" w:type="dxa"/>
            </w:tcMar>
            <w:vAlign w:val="center"/>
            <w:shd w:fill="E8EEF5"/>
          </w:tcPr>
          <w:p>
            <w:pPr>
              <w:jc w:val="center"/>
            </w:pPr>
            <w:r>
              <w:rPr>
                <w:rFonts w:ascii="Calibri" w:hAnsi="Calibri"/>
                <w:b/>
                <w:color w:val="1F4D78"/>
                <w:sz w:val="15"/>
              </w:rPr>
              <w:t>ID</w:t>
            </w:r>
          </w:p>
        </w:tc>
        <w:tc>
          <w:tcPr>
            <w:tcW w:type="dxa" w:w="4180"/>
            <w:tcMar>
              <w:top w:w="80" w:type="dxa"/>
              <w:start w:w="120" w:type="dxa"/>
              <w:bottom w:w="80" w:type="dxa"/>
              <w:end w:w="120" w:type="dxa"/>
            </w:tcMar>
            <w:vAlign w:val="center"/>
            <w:shd w:fill="E8EEF5"/>
          </w:tcPr>
          <w:p>
            <w:pPr>
              <w:jc w:val="center"/>
            </w:pPr>
            <w:r>
              <w:rPr>
                <w:rFonts w:ascii="Calibri" w:hAnsi="Calibri"/>
                <w:b/>
                <w:color w:val="1F4D78"/>
                <w:sz w:val="15"/>
              </w:rPr>
              <w:t>Decision / Evidence Needed</w:t>
            </w:r>
          </w:p>
        </w:tc>
        <w:tc>
          <w:tcPr>
            <w:tcW w:type="dxa" w:w="1850"/>
            <w:tcMar>
              <w:top w:w="80" w:type="dxa"/>
              <w:start w:w="120" w:type="dxa"/>
              <w:bottom w:w="80" w:type="dxa"/>
              <w:end w:w="120" w:type="dxa"/>
            </w:tcMar>
            <w:vAlign w:val="center"/>
            <w:shd w:fill="E8EEF5"/>
          </w:tcPr>
          <w:p>
            <w:pPr>
              <w:jc w:val="center"/>
            </w:pPr>
            <w:r>
              <w:rPr>
                <w:rFonts w:ascii="Calibri" w:hAnsi="Calibri"/>
                <w:b/>
                <w:color w:val="1F4D78"/>
                <w:sz w:val="15"/>
              </w:rPr>
              <w:t>Owner</w:t>
            </w:r>
          </w:p>
        </w:tc>
        <w:tc>
          <w:tcPr>
            <w:tcW w:type="dxa" w:w="1050"/>
            <w:tcMar>
              <w:top w:w="80" w:type="dxa"/>
              <w:start w:w="120" w:type="dxa"/>
              <w:bottom w:w="80" w:type="dxa"/>
              <w:end w:w="120" w:type="dxa"/>
            </w:tcMar>
            <w:vAlign w:val="center"/>
            <w:shd w:fill="E8EEF5"/>
          </w:tcPr>
          <w:p>
            <w:pPr>
              <w:jc w:val="center"/>
            </w:pPr>
            <w:r>
              <w:rPr>
                <w:rFonts w:ascii="Calibri" w:hAnsi="Calibri"/>
                <w:b/>
                <w:color w:val="1F4D78"/>
                <w:sz w:val="15"/>
              </w:rPr>
              <w:t>Due</w:t>
            </w:r>
          </w:p>
        </w:tc>
        <w:tc>
          <w:tcPr>
            <w:tcW w:type="dxa" w:w="1580"/>
            <w:tcMar>
              <w:top w:w="80" w:type="dxa"/>
              <w:start w:w="120" w:type="dxa"/>
              <w:bottom w:w="80" w:type="dxa"/>
              <w:end w:w="120" w:type="dxa"/>
            </w:tcMar>
            <w:vAlign w:val="center"/>
            <w:shd w:fill="E8EEF5"/>
          </w:tcPr>
          <w:p>
            <w:pPr>
              <w:jc w:val="center"/>
            </w:pPr>
            <w:r>
              <w:rPr>
                <w:rFonts w:ascii="Calibri" w:hAnsi="Calibri"/>
                <w:b/>
                <w:color w:val="1F4D78"/>
                <w:sz w:val="15"/>
              </w:rPr>
              <w:t>Status</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G-01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Organization Governing Body Sponsor, Vote, Conflict Disclosure, and Named Executive Owner.</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Organization Executive Owner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G-02</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Approve or Decline Organization Contribution Prompts, Outside Funding Sponsors, and Sponsor-Recognition Settings; Document Financial Owner and Conflict Controls.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Organization Governing Body / Treasurer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P-01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Permitted Event Types and Staff Boundaries.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Program Director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C-01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Host-Site Authorization and Applicable External Review Routing.</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Host-Site Administrator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D-01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Determine Whether Applicable DPA / Data-Sharing / Security Review Is Required.</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Data Privacy Reviewer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D-02</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Personal / Institution Device and Domain-Access Posture.</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Technology Reviewer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R-01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Determine Volunteer / Background / Driver-License Requirements.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Affiliated Institution Risk / HR / Transportation</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R-02</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Automobile and Organization Insurance Requirements.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Organization Insurer / Affiliated Institution Risk</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R-03</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Pickup / Drop-Off on Host Site and Activity Boundaries.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Host-Site Administrator / Transportation</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L-01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Review Disclaimer, Consent, and Retention Periods.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Counsel / Insurer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Complete Security Acceptance and Role-Access Test Evidence.</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T-02</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Publish Final Subprocessor List, Retention, Deletion, and Incident Contacts.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T-03</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Prove U.S. Regions for Compute, Database, Cache, Logs, and IONOS S3 Backup Bucket; Document Any Processor Exception.</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Privacy</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T-04</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Complete TLS, at-Rest, Restricted-Field, Backup-Encryption, Secret / Key, and Restore Evidence.</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T-05</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Freeze the v1 Optional-Field and Validation Dictionary; Verify No License, Insurance, Registration, or Background Documents Are Stored.</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Risk</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T-06</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Freeze the v1 Organization Feature-Control Registry and Prove Disabled Modules Make No Provider Calls or New Feature-Specific Data Collection.</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Organization Owner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T-07</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Complete Platform-Visibility Inventory, Personnel Access Matrix, Time-Limited Support Procedure, Financial-Role Separation, and Access-Log Review.</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Privacy</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T-08</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Publish and Verify the Production Application Source and Explicit Software License Before Describing BandWagon as Open Source.</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T-09</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Freeze the v1 ThirdParty Provider Register and Publish Each Provider Purpose, Fields, Region or Exception, Retention, Deletion, Subprocessors, Support Access, and Organization / User Control.</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Privacy</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F-01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If Contributions Are Enabled, Approve Payment Processor, Financial Retention, Receipt Language, Suggested Amounts, Budget Alerts, and No-Card-Storage Evidence.</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 / Treasurer / Privacy</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AI-01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Keep AI Disabled or Complete a Separate Impact Record, Provider / Residency Review, Notice, Testing, and Written Approval.</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Technology / Privacy / Go-No-Go</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M-01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Complete Twilio / Carrier Registration Before Enabling SMS / RCS.</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Platform Operator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M-02</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Confirm Optional Google / Microsoft Calendar Scope and Approval.</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Director / Technology</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r>
        <w:trPr>
          <w:cantSplit/>
        </w:trPr>
        <w:tc>
          <w:tcPr>
            <w:tcW w:type="dxa" w:w="700"/>
            <w:tcMar>
              <w:top w:w="80" w:type="dxa"/>
              <w:start w:w="120" w:type="dxa"/>
              <w:bottom w:w="80" w:type="dxa"/>
              <w:end w:w="120" w:type="dxa"/>
            </w:tcMar>
            <w:vAlign w:val="center"/>
          </w:tcPr>
          <w:p>
            <w:pPr>
              <w:spacing w:after="40" w:line="240" w:lineRule="auto"/>
            </w:pPr>
            <w:r>
              <w:rPr>
                <w:rFonts w:ascii="Calibri" w:hAnsi="Calibri"/>
                <w:color w:val="000000"/>
                <w:sz w:val="15"/>
              </w:rPr>
              <w:t>GO-01</w:t>
            </w:r>
          </w:p>
        </w:tc>
        <w:tc>
          <w:tcPr>
            <w:tcW w:type="dxa" w:w="4180"/>
            <w:tcMar>
              <w:top w:w="80" w:type="dxa"/>
              <w:start w:w="120" w:type="dxa"/>
              <w:bottom w:w="80" w:type="dxa"/>
              <w:end w:w="120" w:type="dxa"/>
            </w:tcMar>
            <w:vAlign w:val="center"/>
          </w:tcPr>
          <w:p>
            <w:pPr>
              <w:spacing w:after="40" w:line="240" w:lineRule="auto"/>
            </w:pPr>
            <w:r>
              <w:rPr>
                <w:rFonts w:ascii="Calibri" w:hAnsi="Calibri"/>
                <w:color w:val="000000"/>
                <w:sz w:val="15"/>
              </w:rPr>
              <w:t>Sign Final Go / No-Go Checklist After All Conditions Are Closed.</w:t>
            </w:r>
          </w:p>
        </w:tc>
        <w:tc>
          <w:tcPr>
            <w:tcW w:type="dxa" w:w="1850"/>
            <w:tcMar>
              <w:top w:w="80" w:type="dxa"/>
              <w:start w:w="120" w:type="dxa"/>
              <w:bottom w:w="80" w:type="dxa"/>
              <w:end w:w="120" w:type="dxa"/>
            </w:tcMar>
            <w:vAlign w:val="center"/>
          </w:tcPr>
          <w:p>
            <w:pPr>
              <w:spacing w:after="40" w:line="240" w:lineRule="auto"/>
            </w:pPr>
            <w:r>
              <w:rPr>
                <w:rFonts w:ascii="Calibri" w:hAnsi="Calibri"/>
                <w:color w:val="000000"/>
                <w:sz w:val="15"/>
              </w:rPr>
              <w:t>Organization Executive Owner</w:t>
            </w:r>
          </w:p>
        </w:tc>
        <w:tc>
          <w:tcPr>
            <w:tcW w:type="dxa" w:w="105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1580"/>
            <w:tcMar>
              <w:top w:w="80" w:type="dxa"/>
              <w:start w:w="120" w:type="dxa"/>
              <w:bottom w:w="80" w:type="dxa"/>
              <w:end w:w="120" w:type="dxa"/>
            </w:tcMar>
            <w:vAlign w:val="center"/>
          </w:tcPr>
          <w:p>
            <w:pPr>
              <w:spacing w:after="40" w:line="240" w:lineRule="auto"/>
            </w:pPr>
            <w:r>
              <w:rPr>
                <w:rFonts w:ascii="Calibri" w:hAnsi="Calibri"/>
                <w:color w:val="000000"/>
                <w:sz w:val="15"/>
              </w:rPr>
              <w:t>Open</w:t>
            </w:r>
          </w:p>
        </w:tc>
      </w:tr>
    </w:tbl>
    <w:p>
      <w:pPr>
        <w:pageBreakBefore/>
        <w:spacing w:after="80"/>
      </w:pPr>
      <w:r>
        <w:rPr>
          <w:rFonts w:ascii="Calibri" w:hAnsi="Calibri"/>
          <w:b/>
          <w:color w:val="5C6B7A"/>
          <w:sz w:val="18"/>
        </w:rPr>
        <w:t>APPENDIX A</w:t>
      </w:r>
    </w:p>
    <w:p>
      <w:pPr>
        <w:pStyle w:val="Heading1"/>
      </w:pPr>
      <w:r>
        <w:t>Sources and Policy References</w:t>
      </w:r>
    </w:p>
    <w:p>
      <w:pPr>
        <w:spacing w:after="0"/>
      </w:pPr>
      <w:r>
        <w:rPr>
          <w:rFonts w:ascii="Calibri" w:hAnsi="Calibri"/>
          <w:b/>
          <w:color w:val="1F4D78"/>
        </w:rPr>
        <w:t xml:space="preserve">S1 - </w:t>
      </w:r>
      <w:hyperlink r:id="rId19">
        <w:r>
          <w:rPr>
            <w:color w:val="2E74B5"/>
            <w:u w:val="single"/>
            <w:rFonts w:ascii="Calibri" w:hAnsi="Calibri"/>
          </w:rPr>
          <w:t>U.S. Department of Education - FERPA FAQs</w:t>
        </w:r>
      </w:hyperlink>
    </w:p>
    <w:p>
      <w:pPr>
        <w:pStyle w:val="SmallNote"/>
        <w:spacing w:after="0" w:line="240" w:lineRule="auto"/>
        <w:ind w:left="576"/>
      </w:pPr>
      <w:r>
        <w:t>Explains education-record disclosure, consent, directory information, and conditions for outside organizations performing institutional services.</w:t>
      </w:r>
    </w:p>
    <w:p>
      <w:pPr>
        <w:spacing w:after="0"/>
      </w:pPr>
      <w:r>
        <w:rPr>
          <w:rFonts w:ascii="Calibri" w:hAnsi="Calibri"/>
          <w:b/>
          <w:color w:val="1F4D78"/>
        </w:rPr>
        <w:t xml:space="preserve">S2 - </w:t>
      </w:r>
      <w:hyperlink r:id="rId20">
        <w:r>
          <w:rPr>
            <w:color w:val="2E74B5"/>
            <w:u w:val="single"/>
            <w:rFonts w:ascii="Calibri" w:hAnsi="Calibri"/>
          </w:rPr>
          <w:t>U.S. Department of Education - School Official Exception for Community Organizations</w:t>
        </w:r>
      </w:hyperlink>
    </w:p>
    <w:p>
      <w:pPr>
        <w:pStyle w:val="SmallNote"/>
        <w:spacing w:after="0" w:line="240" w:lineRule="auto"/>
        <w:ind w:left="576"/>
      </w:pPr>
      <w:r>
        <w:t>Explains the direct-control, purpose, redisclosure, and legitimate-interest conditions for an outside organization receiving education records.</w:t>
      </w:r>
    </w:p>
    <w:p>
      <w:pPr>
        <w:spacing w:after="0"/>
      </w:pPr>
      <w:r>
        <w:rPr>
          <w:rFonts w:ascii="Calibri" w:hAnsi="Calibri"/>
          <w:b/>
          <w:color w:val="1F4D78"/>
        </w:rPr>
        <w:t xml:space="preserve">S3 - </w:t>
      </w:r>
      <w:hyperlink r:id="rId21">
        <w:r>
          <w:rPr>
            <w:color w:val="2E74B5"/>
            <w:u w:val="single"/>
            <w:rFonts w:ascii="Calibri" w:hAnsi="Calibri"/>
          </w:rPr>
          <w:t>U.S. Department of Education - Limits on Records Shared with Community Organizations</w:t>
        </w:r>
      </w:hyperlink>
    </w:p>
    <w:p>
      <w:pPr>
        <w:pStyle w:val="SmallNote"/>
        <w:spacing w:after="0" w:line="240" w:lineRule="auto"/>
        <w:ind w:left="576"/>
      </w:pPr>
      <w:r>
        <w:t>Explains data-minimization and written-control expectations when a school outsources an institutional service involving education records.</w:t>
      </w:r>
    </w:p>
    <w:p>
      <w:pPr>
        <w:spacing w:after="0"/>
      </w:pPr>
      <w:r>
        <w:rPr>
          <w:rFonts w:ascii="Calibri" w:hAnsi="Calibri"/>
          <w:b/>
          <w:color w:val="1F4D78"/>
        </w:rPr>
        <w:t xml:space="preserve">S4 - </w:t>
      </w:r>
      <w:hyperlink r:id="rId22">
        <w:r>
          <w:rPr>
            <w:color w:val="2E74B5"/>
            <w:u w:val="single"/>
            <w:rFonts w:ascii="Calibri" w:hAnsi="Calibri"/>
          </w:rPr>
          <w:t>FTC - Complying with COPPA FAQ</w:t>
        </w:r>
      </w:hyperlink>
    </w:p>
    <w:p>
      <w:pPr>
        <w:pStyle w:val="SmallNote"/>
        <w:spacing w:after="0" w:line="240" w:lineRule="auto"/>
        <w:ind w:left="576"/>
      </w:pPr>
      <w:r>
        <w:t>Official guidance on privacy notice and verifiable parental consent for children under 13.</w:t>
      </w:r>
    </w:p>
    <w:p>
      <w:pPr>
        <w:spacing w:after="0"/>
      </w:pPr>
      <w:r>
        <w:rPr>
          <w:rFonts w:ascii="Calibri" w:hAnsi="Calibri"/>
          <w:b/>
          <w:color w:val="1F4D78"/>
        </w:rPr>
        <w:t xml:space="preserve">S5 - </w:t>
      </w:r>
      <w:hyperlink r:id="rId23">
        <w:r>
          <w:rPr>
            <w:color w:val="2E74B5"/>
            <w:u w:val="single"/>
            <w:rFonts w:ascii="Calibri" w:hAnsi="Calibri"/>
          </w:rPr>
          <w:t>FTC - COPPA Rule</w:t>
        </w:r>
      </w:hyperlink>
    </w:p>
    <w:p>
      <w:pPr>
        <w:pStyle w:val="SmallNote"/>
        <w:spacing w:after="0" w:line="240" w:lineRule="auto"/>
        <w:ind w:left="576"/>
      </w:pPr>
      <w:r>
        <w:t>Official COPPA rule resources and scope.</w:t>
      </w:r>
    </w:p>
    <w:p>
      <w:pPr>
        <w:spacing w:after="0"/>
      </w:pPr>
      <w:r>
        <w:rPr>
          <w:rFonts w:ascii="Calibri" w:hAnsi="Calibri"/>
          <w:b/>
          <w:color w:val="1F4D78"/>
        </w:rPr>
        <w:t xml:space="preserve">S6 - </w:t>
      </w:r>
      <w:hyperlink r:id="rId24">
        <w:r>
          <w:rPr>
            <w:color w:val="2E74B5"/>
            <w:u w:val="single"/>
            <w:rFonts w:ascii="Calibri" w:hAnsi="Calibri"/>
          </w:rPr>
          <w:t>FTC - 2025 COPPA Final Rule Amendments</w:t>
        </w:r>
      </w:hyperlink>
    </w:p>
    <w:p>
      <w:pPr>
        <w:pStyle w:val="SmallNote"/>
        <w:spacing w:after="0" w:line="240" w:lineRule="auto"/>
        <w:ind w:left="576"/>
      </w:pPr>
      <w:r>
        <w:t>Official amendments strengthening parental control, minimization, disclosure, security, and purpose-linked retention requirements for covered services.</w:t>
      </w:r>
    </w:p>
    <w:p>
      <w:pPr>
        <w:spacing w:after="0"/>
      </w:pPr>
      <w:r>
        <w:rPr>
          <w:rFonts w:ascii="Calibri" w:hAnsi="Calibri"/>
          <w:b/>
          <w:color w:val="1F4D78"/>
        </w:rPr>
        <w:t xml:space="preserve">S7 - </w:t>
      </w:r>
      <w:hyperlink r:id="rId25">
        <w:r>
          <w:rPr>
            <w:color w:val="2E74B5"/>
            <w:u w:val="single"/>
            <w:rFonts w:ascii="Calibri" w:hAnsi="Calibri"/>
          </w:rPr>
          <w:t>NIST Privacy Framework</w:t>
        </w:r>
      </w:hyperlink>
    </w:p>
    <w:p>
      <w:pPr>
        <w:pStyle w:val="SmallNote"/>
        <w:spacing w:after="0" w:line="240" w:lineRule="auto"/>
        <w:ind w:left="576"/>
      </w:pPr>
      <w:r>
        <w:t>Voluntary framework for identifying, governing, controlling, communicating, and protecting against privacy risk.</w:t>
      </w:r>
    </w:p>
    <w:p>
      <w:pPr>
        <w:spacing w:after="0"/>
      </w:pPr>
      <w:r>
        <w:rPr>
          <w:rFonts w:ascii="Calibri" w:hAnsi="Calibri"/>
          <w:b/>
          <w:color w:val="1F4D78"/>
        </w:rPr>
        <w:t xml:space="preserve">S8 - </w:t>
      </w:r>
      <w:hyperlink r:id="rId26">
        <w:r>
          <w:rPr>
            <w:color w:val="2E74B5"/>
            <w:u w:val="single"/>
            <w:rFonts w:ascii="Calibri" w:hAnsi="Calibri"/>
          </w:rPr>
          <w:t>NIST AI Risk Management Framework 1.0</w:t>
        </w:r>
      </w:hyperlink>
    </w:p>
    <w:p>
      <w:pPr>
        <w:pStyle w:val="SmallNote"/>
        <w:spacing w:after="0" w:line="240" w:lineRule="auto"/>
        <w:ind w:left="576"/>
      </w:pPr>
      <w:r>
        <w:t>Voluntary, use-case-agnostic framework for governing and managing AI risks.</w:t>
      </w:r>
    </w:p>
    <w:p>
      <w:pPr>
        <w:spacing w:after="0"/>
      </w:pPr>
      <w:r>
        <w:rPr>
          <w:rFonts w:ascii="Calibri" w:hAnsi="Calibri"/>
          <w:b/>
          <w:color w:val="1F4D78"/>
        </w:rPr>
        <w:t xml:space="preserve">S9 - </w:t>
      </w:r>
      <w:hyperlink r:id="rId27">
        <w:r>
          <w:rPr>
            <w:color w:val="2E74B5"/>
            <w:u w:val="single"/>
            <w:rFonts w:ascii="Calibri" w:hAnsi="Calibri"/>
          </w:rPr>
          <w:t>NIST AI RMF Generative AI Profile</w:t>
        </w:r>
      </w:hyperlink>
    </w:p>
    <w:p>
      <w:pPr>
        <w:pStyle w:val="SmallNote"/>
        <w:spacing w:after="0" w:line="240" w:lineRule="auto"/>
        <w:ind w:left="576"/>
      </w:pPr>
      <w:r>
        <w:t>Voluntary risk-management reference for trustworthy generative-AI design, testing, deployment, and monitoring.</w:t>
      </w:r>
    </w:p>
    <w:p>
      <w:pPr>
        <w:spacing w:after="0"/>
      </w:pPr>
      <w:r>
        <w:rPr>
          <w:rFonts w:ascii="Calibri" w:hAnsi="Calibri"/>
          <w:b/>
          <w:color w:val="1F4D78"/>
        </w:rPr>
        <w:t xml:space="preserve">S10 - </w:t>
      </w:r>
      <w:hyperlink r:id="rId28">
        <w:r>
          <w:rPr>
            <w:color w:val="2E74B5"/>
            <w:u w:val="single"/>
            <w:rFonts w:ascii="Calibri" w:hAnsi="Calibri"/>
          </w:rPr>
          <w:t>CISA Secure by Design</w:t>
        </w:r>
      </w:hyperlink>
    </w:p>
    <w:p>
      <w:pPr>
        <w:pStyle w:val="SmallNote"/>
        <w:spacing w:after="0" w:line="240" w:lineRule="auto"/>
        <w:ind w:left="576"/>
      </w:pPr>
      <w:r>
        <w:t>Software security principles emphasizing secure defaults, reduced customer burden, transparency, and ownership of security outcomes.</w:t>
      </w:r>
    </w:p>
    <w:p>
      <w:pPr>
        <w:spacing w:after="0"/>
      </w:pPr>
      <w:r>
        <w:rPr>
          <w:rFonts w:ascii="Calibri" w:hAnsi="Calibri"/>
          <w:b/>
          <w:color w:val="1F4D78"/>
        </w:rPr>
        <w:t xml:space="preserve">S11 - </w:t>
      </w:r>
      <w:hyperlink r:id="rId29">
        <w:r>
          <w:rPr>
            <w:color w:val="2E74B5"/>
            <w:u w:val="single"/>
            <w:rFonts w:ascii="Calibri" w:hAnsi="Calibri"/>
          </w:rPr>
          <w:t>BandWagon Public Repository</w:t>
        </w:r>
      </w:hyperlink>
    </w:p>
    <w:p>
      <w:pPr>
        <w:pStyle w:val="SmallNote"/>
        <w:spacing w:after="0" w:line="240" w:lineRule="auto"/>
        <w:ind w:left="576"/>
      </w:pPr>
      <w:r>
        <w:t>Public project documentation and change history. The production application source and an explicit software license must be verified before the platform is described as open source.</w:t>
      </w:r>
    </w:p>
    <w:p>
      <w:pPr>
        <w:spacing w:after="0"/>
      </w:pPr>
      <w:r>
        <w:rPr>
          <w:rFonts w:ascii="Calibri" w:hAnsi="Calibri"/>
          <w:b/>
          <w:color w:val="1F4D78"/>
        </w:rPr>
        <w:t xml:space="preserve">S12 - </w:t>
      </w:r>
      <w:hyperlink r:id="rId30">
        <w:r>
          <w:rPr>
            <w:color w:val="2E74B5"/>
            <w:u w:val="single"/>
            <w:rFonts w:ascii="Calibri" w:hAnsi="Calibri"/>
          </w:rPr>
          <w:t>IONOS Cloud Object Storage</w:t>
        </w:r>
      </w:hyperlink>
    </w:p>
    <w:p>
      <w:pPr>
        <w:pStyle w:val="SmallNote"/>
        <w:spacing w:after="0" w:line="240" w:lineRule="auto"/>
        <w:ind w:left="576"/>
      </w:pPr>
      <w:r>
        <w:t>Describes Object Storage capabilities relevant to encrypted backups, access controls, lifecycle management, and Object Lock.</w:t>
      </w:r>
    </w:p>
    <w:p>
      <w:pPr>
        <w:spacing w:after="0"/>
      </w:pPr>
      <w:r>
        <w:rPr>
          <w:rFonts w:ascii="Calibri" w:hAnsi="Calibri"/>
          <w:b/>
          <w:color w:val="1F4D78"/>
        </w:rPr>
        <w:t xml:space="preserve">S13 - </w:t>
      </w:r>
      <w:hyperlink r:id="rId31">
        <w:r>
          <w:rPr>
            <w:color w:val="2E74B5"/>
            <w:u w:val="single"/>
            <w:rFonts w:ascii="Calibri" w:hAnsi="Calibri"/>
          </w:rPr>
          <w:t>IONOS Cloud Data Centers</w:t>
        </w:r>
      </w:hyperlink>
    </w:p>
    <w:p>
      <w:pPr>
        <w:pStyle w:val="SmallNote"/>
        <w:spacing w:after="0" w:line="240" w:lineRule="auto"/>
        <w:ind w:left="576"/>
      </w:pPr>
      <w:r>
        <w:t>Lists available locations; production resources must be pinned to and evidenced in organization-approved regions.</w:t>
      </w:r>
    </w:p>
    <w:p>
      <w:pPr>
        <w:spacing w:after="0"/>
      </w:pPr>
      <w:r>
        <w:rPr>
          <w:rFonts w:ascii="Calibri" w:hAnsi="Calibri"/>
          <w:b/>
          <w:color w:val="1F4D78"/>
        </w:rPr>
        <w:t xml:space="preserve">S14 - </w:t>
      </w:r>
      <w:hyperlink r:id="rId32">
        <w:r>
          <w:rPr>
            <w:color w:val="2E74B5"/>
            <w:u w:val="single"/>
            <w:rFonts w:ascii="Calibri" w:hAnsi="Calibri"/>
          </w:rPr>
          <w:t>Twilio Global Infrastructure and Regions</w:t>
        </w:r>
      </w:hyperlink>
    </w:p>
    <w:p>
      <w:pPr>
        <w:pStyle w:val="SmallNote"/>
        <w:spacing w:after="0" w:line="240" w:lineRule="auto"/>
        <w:ind w:left="576"/>
      </w:pPr>
      <w:r>
        <w:t>Describes regions, product-specific availability, routing, processing, and residency limitations that must be verified for enabled messaging features.</w:t>
      </w:r>
    </w:p>
    <w:p>
      <w:pPr>
        <w:spacing w:after="0"/>
      </w:pPr>
      <w:r>
        <w:rPr>
          <w:rFonts w:ascii="Calibri" w:hAnsi="Calibri"/>
          <w:b/>
          <w:color w:val="1F4D78"/>
        </w:rPr>
        <w:t xml:space="preserve">S15 - </w:t>
      </w:r>
      <w:hyperlink r:id="rId33">
        <w:r>
          <w:rPr>
            <w:color w:val="2E74B5"/>
            <w:u w:val="single"/>
            <w:rFonts w:ascii="Calibri" w:hAnsi="Calibri"/>
          </w:rPr>
          <w:t>Google Calendar API Authorization</w:t>
        </w:r>
      </w:hyperlink>
    </w:p>
    <w:p>
      <w:pPr>
        <w:pStyle w:val="SmallNote"/>
        <w:spacing w:after="0" w:line="240" w:lineRule="auto"/>
        <w:ind w:left="576"/>
      </w:pPr>
      <w:r>
        <w:t>Lists Google Calendar OAuth scopes and directs applications to choose the narrowest scope needed.</w:t>
      </w:r>
    </w:p>
    <w:p>
      <w:pPr>
        <w:spacing w:after="0"/>
      </w:pPr>
      <w:r>
        <w:rPr>
          <w:rFonts w:ascii="Calibri" w:hAnsi="Calibri"/>
          <w:b/>
          <w:color w:val="1F4D78"/>
        </w:rPr>
        <w:t xml:space="preserve">S16 - </w:t>
      </w:r>
      <w:hyperlink r:id="rId34">
        <w:r>
          <w:rPr>
            <w:color w:val="2E74B5"/>
            <w:u w:val="single"/>
            <w:rFonts w:ascii="Calibri" w:hAnsi="Calibri"/>
          </w:rPr>
          <w:t>Google Calendar Event Resource</w:t>
        </w:r>
      </w:hyperlink>
    </w:p>
    <w:p>
      <w:pPr>
        <w:pStyle w:val="SmallNote"/>
        <w:spacing w:after="0" w:line="240" w:lineRule="auto"/>
        <w:ind w:left="576"/>
      </w:pPr>
      <w:r>
        <w:t>Identifies calendar event fields that may be available through an approved connection, depending on scope and application behavior.</w:t>
      </w:r>
    </w:p>
    <w:p>
      <w:pPr>
        <w:spacing w:after="0"/>
      </w:pPr>
      <w:r>
        <w:rPr>
          <w:rFonts w:ascii="Calibri" w:hAnsi="Calibri"/>
          <w:b/>
          <w:color w:val="1F4D78"/>
        </w:rPr>
        <w:t xml:space="preserve">S17 - </w:t>
      </w:r>
      <w:hyperlink r:id="rId35">
        <w:r>
          <w:rPr>
            <w:color w:val="2E74B5"/>
            <w:u w:val="single"/>
            <w:rFonts w:ascii="Calibri" w:hAnsi="Calibri"/>
          </w:rPr>
          <w:t>Google Maps Routes API</w:t>
        </w:r>
      </w:hyperlink>
    </w:p>
    <w:p>
      <w:pPr>
        <w:pStyle w:val="SmallNote"/>
        <w:spacing w:after="0" w:line="240" w:lineRule="auto"/>
        <w:ind w:left="576"/>
      </w:pPr>
      <w:r>
        <w:t>Explains route requests and route-matrix processing using submitted origins, destinations, options, and selected response fields.</w:t>
      </w:r>
    </w:p>
    <w:p>
      <w:pPr>
        <w:spacing w:after="0"/>
      </w:pPr>
      <w:r>
        <w:rPr>
          <w:rFonts w:ascii="Calibri" w:hAnsi="Calibri"/>
          <w:b/>
          <w:color w:val="1F4D78"/>
        </w:rPr>
        <w:t xml:space="preserve">S18 - </w:t>
      </w:r>
      <w:hyperlink r:id="rId36">
        <w:r>
          <w:rPr>
            <w:color w:val="2E74B5"/>
            <w:u w:val="single"/>
            <w:rFonts w:ascii="Calibri" w:hAnsi="Calibri"/>
          </w:rPr>
          <w:t>Twilio Messaging Logs</w:t>
        </w:r>
      </w:hyperlink>
    </w:p>
    <w:p>
      <w:pPr>
        <w:pStyle w:val="SmallNote"/>
        <w:spacing w:after="0" w:line="240" w:lineRule="auto"/>
        <w:ind w:left="576"/>
      </w:pPr>
      <w:r>
        <w:t>Describes messaging-log fields including time, direction, status, sender, recipient, segments, and attached media.</w:t>
      </w:r>
    </w:p>
    <w:p>
      <w:pPr>
        <w:spacing w:after="0"/>
      </w:pPr>
      <w:r>
        <w:rPr>
          <w:rFonts w:ascii="Calibri" w:hAnsi="Calibri"/>
          <w:b/>
          <w:color w:val="1F4D78"/>
        </w:rPr>
        <w:t xml:space="preserve">S19 - </w:t>
      </w:r>
      <w:hyperlink r:id="rId37">
        <w:r>
          <w:rPr>
            <w:color w:val="2E74B5"/>
            <w:u w:val="single"/>
            <w:rFonts w:ascii="Calibri" w:hAnsi="Calibri"/>
          </w:rPr>
          <w:t>Twilio Message Redaction</w:t>
        </w:r>
      </w:hyperlink>
    </w:p>
    <w:p>
      <w:pPr>
        <w:pStyle w:val="SmallNote"/>
        <w:spacing w:after="0" w:line="240" w:lineRule="auto"/>
        <w:ind w:left="576"/>
      </w:pPr>
      <w:r>
        <w:t>Describes optional message-body and phone-number redaction and important product and retention limitations.</w:t>
      </w:r>
    </w:p>
    <w:p>
      <w:pPr>
        <w:spacing w:after="0"/>
      </w:pPr>
      <w:r>
        <w:rPr>
          <w:rFonts w:ascii="Calibri" w:hAnsi="Calibri"/>
          <w:b/>
          <w:color w:val="1F4D78"/>
        </w:rPr>
        <w:t xml:space="preserve">S20 - </w:t>
      </w:r>
      <w:hyperlink r:id="rId38">
        <w:r>
          <w:rPr>
            <w:color w:val="2E74B5"/>
            <w:u w:val="single"/>
            <w:rFonts w:ascii="Calibri" w:hAnsi="Calibri"/>
          </w:rPr>
          <w:t>Google Maps Routes API Policies</w:t>
        </w:r>
      </w:hyperlink>
    </w:p>
    <w:p>
      <w:pPr>
        <w:pStyle w:val="SmallNote"/>
        <w:spacing w:after="0" w:line="240" w:lineRule="auto"/>
        <w:ind w:left="576"/>
      </w:pPr>
      <w:r>
        <w:t>Describes privacy-policy, attribution, and content-storage requirements for applications using route data.</w:t>
      </w:r>
    </w:p>
    <w:p>
      <w:pPr>
        <w:spacing w:after="0"/>
      </w:pPr>
      <w:r>
        <w:rPr>
          <w:rFonts w:ascii="Calibri" w:hAnsi="Calibri"/>
          <w:b/>
          <w:color w:val="1F4D78"/>
        </w:rPr>
        <w:t xml:space="preserve">S21 - </w:t>
      </w:r>
      <w:hyperlink r:id="rId39">
        <w:r>
          <w:rPr>
            <w:color w:val="2E74B5"/>
            <w:u w:val="single"/>
            <w:rFonts w:ascii="Calibri" w:hAnsi="Calibri"/>
          </w:rPr>
          <w:t>Microsoft Graph Permissions Reference</w:t>
        </w:r>
      </w:hyperlink>
    </w:p>
    <w:p>
      <w:pPr>
        <w:pStyle w:val="SmallNote"/>
        <w:spacing w:after="0" w:line="240" w:lineRule="auto"/>
        <w:ind w:left="576"/>
      </w:pPr>
      <w:r>
        <w:t>Defines delegated and application calendar permissions, including the difference between basic, read, and read / write access.</w:t>
      </w:r>
    </w:p>
    <w:p>
      <w:pPr>
        <w:spacing w:after="0"/>
      </w:pPr>
      <w:r>
        <w:rPr>
          <w:rFonts w:ascii="Calibri" w:hAnsi="Calibri"/>
          <w:b/>
          <w:color w:val="1F4D78"/>
        </w:rPr>
        <w:t xml:space="preserve">S22 - </w:t>
      </w:r>
      <w:hyperlink r:id="rId40">
        <w:r>
          <w:rPr>
            <w:color w:val="2E74B5"/>
            <w:u w:val="single"/>
            <w:rFonts w:ascii="Calibri" w:hAnsi="Calibri"/>
          </w:rPr>
          <w:t>Cloudflare Original Visitor IP Documentation</w:t>
        </w:r>
      </w:hyperlink>
    </w:p>
    <w:p>
      <w:pPr>
        <w:pStyle w:val="SmallNote"/>
        <w:spacing w:after="0" w:line="240" w:lineRule="auto"/>
        <w:ind w:left="576"/>
      </w:pPr>
      <w:r>
        <w:t>Explains Cloudflare’s reverse-proxy role and the handling of original visitor IP information between the edge and origin.</w:t>
      </w:r>
    </w:p>
    <w:p>
      <w:pPr>
        <w:pStyle w:val="Heading2"/>
      </w:pPr>
      <w:r>
        <w:t>Source Use Note</w:t>
      </w:r>
    </w:p>
    <w:p>
      <w:r>
        <w:t>This package uses current public sources available as of August 25, 2026. Laws, provider products, data paths, retention options, terms, local policies, app-review procedures, contacts, insurer requirements, volunteer-screening processes, and forms may change. Each participating organization must identify its jurisdiction and governing authorities, attach the controlling local sources, and obtain any internal procedures that are not publicly available.</w:t>
      </w:r>
    </w:p>
    <w:p>
      <w:pPr>
        <w:pageBreakBefore/>
        <w:spacing w:after="80"/>
      </w:pPr>
      <w:r>
        <w:rPr>
          <w:rFonts w:ascii="Calibri" w:hAnsi="Calibri"/>
          <w:b/>
          <w:color w:val="5C6B7A"/>
          <w:sz w:val="18"/>
        </w:rPr>
        <w:t>APPENDIX B</w:t>
      </w:r>
    </w:p>
    <w:p>
      <w:pPr>
        <w:pStyle w:val="Heading1"/>
      </w:pPr>
      <w:r>
        <w:t>Document Control and Attached Review Records</w:t>
      </w:r>
    </w:p>
    <w:tbl>
      <w:tblPr>
        <w:tblStyle w:val="TableGrid"/>
        <w:tblW w:type="dxa" w:w="9360"/>
        <w:tblLayout w:type="fixed"/>
        <w:tblLook w:firstColumn="1" w:firstRow="1" w:lastColumn="0" w:lastRow="0" w:noHBand="0" w:noVBand="1" w:val="04A0"/>
        <w:jc w:val="left"/>
        <w:tblInd w:w="120" w:type="dxa"/>
      </w:tblPr>
      <w:tblGrid>
        <w:gridCol w:w="1200"/>
        <w:gridCol w:w="1800"/>
        <w:gridCol w:w="2200"/>
        <w:gridCol w:w="4160"/>
      </w:tblGrid>
      <w:tr>
        <w:trPr>
          <w:cantSplit/>
          <w:tblHeader w:val="true"/>
        </w:trPr>
        <w:tc>
          <w:tcPr>
            <w:tcW w:type="dxa" w:w="1200"/>
            <w:tcMar>
              <w:top w:w="80" w:type="dxa"/>
              <w:start w:w="120" w:type="dxa"/>
              <w:bottom w:w="80" w:type="dxa"/>
              <w:end w:w="120" w:type="dxa"/>
            </w:tcMar>
            <w:vAlign w:val="center"/>
            <w:shd w:fill="E8EEF5"/>
          </w:tcPr>
          <w:p>
            <w:pPr>
              <w:jc w:val="center"/>
            </w:pPr>
            <w:r>
              <w:rPr>
                <w:rFonts w:ascii="Calibri" w:hAnsi="Calibri"/>
                <w:b/>
                <w:color w:val="1F4D78"/>
                <w:sz w:val="18"/>
              </w:rPr>
              <w:t>Version</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8"/>
              </w:rPr>
              <w:t>Date</w:t>
            </w:r>
          </w:p>
        </w:tc>
        <w:tc>
          <w:tcPr>
            <w:tcW w:type="dxa" w:w="2200"/>
            <w:tcMar>
              <w:top w:w="80" w:type="dxa"/>
              <w:start w:w="120" w:type="dxa"/>
              <w:bottom w:w="80" w:type="dxa"/>
              <w:end w:w="120" w:type="dxa"/>
            </w:tcMar>
            <w:vAlign w:val="center"/>
            <w:shd w:fill="E8EEF5"/>
          </w:tcPr>
          <w:p>
            <w:pPr>
              <w:jc w:val="center"/>
            </w:pPr>
            <w:r>
              <w:rPr>
                <w:rFonts w:ascii="Calibri" w:hAnsi="Calibri"/>
                <w:b/>
                <w:color w:val="1F4D78"/>
                <w:sz w:val="18"/>
              </w:rPr>
              <w:t>Owner</w:t>
            </w:r>
          </w:p>
        </w:tc>
        <w:tc>
          <w:tcPr>
            <w:tcW w:type="dxa" w:w="4160"/>
            <w:tcMar>
              <w:top w:w="80" w:type="dxa"/>
              <w:start w:w="120" w:type="dxa"/>
              <w:bottom w:w="80" w:type="dxa"/>
              <w:end w:w="120" w:type="dxa"/>
            </w:tcMar>
            <w:vAlign w:val="center"/>
            <w:shd w:fill="E8EEF5"/>
          </w:tcPr>
          <w:p>
            <w:pPr>
              <w:jc w:val="center"/>
            </w:pPr>
            <w:r>
              <w:rPr>
                <w:rFonts w:ascii="Calibri" w:hAnsi="Calibri"/>
                <w:b/>
                <w:color w:val="1F4D78"/>
                <w:sz w:val="18"/>
              </w:rPr>
              <w:t>Change</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0.1</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22,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Initial Deep Approval and Review Package.</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0.2</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22,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Added Approval / Data / Architecture / AI Graphics; U.S. Residency; Encrypted Storage / Backup Controls; Optional Fields and Validations; Standalone Deep Privacy and AI Sections; v1 / Deployment Update Gates.</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0.3</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Modernized All Diagrams; Applied TitleCase to Headings, Table Text, and Lists; Normalized Spacing Around Slashes Throughout.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0.3.1</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Centered Table Headers Horizontally and Vertically, Centered All Table Values Vertically, and Added a Branded Privacy-First Cover Graphic.</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0.3.2</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Converted Page One into a Full Book-Style Cover and Moved Review Metadata and the Decision Request into the Executive Review.</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0.3.3</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Extended the Page-One Cover Artwork to Every Edge and Layered the Cover Title and Product Branding Over the Full-Bleed Graphic.</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0.3.4</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Rebapplicable Program Rulest the Full-Bleed Cover with a Restrained Editorial Title Card, Improved Artwork Visibility, and Compact Harrison Ward Technology Branding.</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0.4.0</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Made Page One a Single Full-Bleed Cover Image with All Report Content Beginning on Page Two; Added Organization-Level AI Opt-in Choices, Non-AI Tradeoffs, and the Proposed Litellm Privacy Boundary.</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0.4.1</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Added Open-Request Recommendations, Driver-Controlled Route and Detour Preferences, Time-Aware Matching, on-the-Way Opportunities, and Privacy Boundaries Preventing Route Disclosure, Live Tracking, or AI Safety Decisions.</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0.4.2</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Added the Free-Platform Contribution and Outside-Sponsor Sustainability Model, Organization-by-Organization Optional Feature Controls, Non-Disableable Safeguards, Budget Alerts, Payment Boundaries, and a Deep Explanation of Automated Platform Processing and Least-Privileged Human Visibility.</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0.4.3</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Added a Common Questions-and-Answers Appendix Plus Reusable Approval Conversation Graphics, a Feature-Gate Flow, Readiness Scorecard, Feature Worksheet, Driver Evidence Matrix, Communication Chart, Data-Visibility Matrix, and Condition Register.</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0.4.4</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Replaced Individual-Name References with Organization-Level Roles Across the Executive Review, Approval Path, Reviewer Tables, Approval History, and Recommended Message.</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0.4.5</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Reframed the Package as a Proposal and Evidence Binder; Replaced Internal Signature Forms with Reviewer Response and Attachment Records So Each Organization Supplies Its Own Official Approval, Minutes, Ticket, Memo, Agreement, or Conditions.</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0.5.0</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23,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Generalized the Package for Any Participating Organization; Removed Named School and District References; Converted Reviewers to Role-Based Labels; Added Approval Profile 1 for School / District-Affiliated Youth Programs; and Made Local Policy Attachments Deployment-Specific.</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0.5.1</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25,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Clarified That Harrison Ward Technology - Not Harrison Ward Personally - Is the Platform Provider, Operator, Document Preparer, and Document Owner Throughout the Package.</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0.5.2</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August 25, 2026</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Added a Dedicated ThirdParty Service Register, Provider-Boundary Graphic, Required-Versus-Optional Service Controls, Purpose and Visibility Descriptions for IONOS, Cloudflare, Email, Twilio, Google Maps, Google Calendar, Microsoft Graph, Web Push, Payments, AI, GitHub, and Self-Hosted Components, Plus Provider Approval Evidence and Official Source References.</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0.5+</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TBD</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Harrison Ward Technology</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Reviewer Comments, Provider Evidence, Organization-Specific Policies, and External Conditions as They Are Received.</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8"/>
              </w:rPr>
              <w:t>1.0</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8"/>
              </w:rPr>
              <w:t>TBD at Deployment Gate</w:t>
            </w:r>
          </w:p>
        </w:tc>
        <w:tc>
          <w:tcPr>
            <w:tcW w:type="dxa" w:w="2200"/>
            <w:tcMar>
              <w:top w:w="80" w:type="dxa"/>
              <w:start w:w="120" w:type="dxa"/>
              <w:bottom w:w="80" w:type="dxa"/>
              <w:end w:w="120" w:type="dxa"/>
            </w:tcMar>
            <w:vAlign w:val="center"/>
          </w:tcPr>
          <w:p>
            <w:pPr>
              <w:spacing w:after="40" w:line="240" w:lineRule="auto"/>
            </w:pPr>
            <w:r>
              <w:rPr>
                <w:rFonts w:ascii="Calibri" w:hAnsi="Calibri"/>
                <w:color w:val="000000"/>
                <w:sz w:val="18"/>
              </w:rPr>
              <w:t>Organization Executive Owner</w:t>
            </w:r>
          </w:p>
        </w:tc>
        <w:tc>
          <w:tcPr>
            <w:tcW w:type="dxa" w:w="4160"/>
            <w:tcMar>
              <w:top w:w="80" w:type="dxa"/>
              <w:start w:w="120" w:type="dxa"/>
              <w:bottom w:w="80" w:type="dxa"/>
              <w:end w:w="120" w:type="dxa"/>
            </w:tcMar>
            <w:vAlign w:val="center"/>
          </w:tcPr>
          <w:p>
            <w:pPr>
              <w:spacing w:after="40" w:line="240" w:lineRule="auto"/>
            </w:pPr>
            <w:r>
              <w:rPr>
                <w:rFonts w:ascii="Calibri" w:hAnsi="Calibri"/>
                <w:color w:val="000000"/>
                <w:sz w:val="18"/>
              </w:rPr>
              <w:t>Production-Verified Pilot Package: Actual v1 Data Flow, Providers, Regions, Security Evidence, Conditions, and Final Go / No-Go.</w:t>
            </w:r>
          </w:p>
        </w:tc>
      </w:tr>
    </w:tbl>
    <w:p>
      <w:pPr>
        <w:spacing w:after="0"/>
      </w:pPr>
    </w:p>
    <w:p>
      <w:pPr>
        <w:pStyle w:val="Heading2"/>
        <w:pageBreakBefore/>
      </w:pPr>
      <w:r>
        <w:t>Attached Review and Decision History</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Attachment Rule: </w:t>
            </w:r>
            <w:r>
              <w:rPr>
                <w:rFonts w:ascii="Calibri" w:hAnsi="Calibri"/>
                <w:color w:val="000000"/>
              </w:rPr>
              <w:t>This Log Points to Each Reviewer’s Official Record; It Does Not Replace That Record. Attach the Board Minutes, Resolution, Ticket, Memo, Agreement, Email, Insurer Response, Governing-Authority Decision, or Other Authoritative Record and Record Its Controlled Location Here.</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3150"/>
        <w:gridCol w:w="1700"/>
        <w:gridCol w:w="1500"/>
        <w:gridCol w:w="3010"/>
      </w:tblGrid>
      <w:tr>
        <w:trPr>
          <w:cantSplit/>
          <w:tblHeader w:val="true"/>
        </w:trPr>
        <w:tc>
          <w:tcPr>
            <w:tcW w:type="dxa" w:w="3150"/>
            <w:tcMar>
              <w:top w:w="80" w:type="dxa"/>
              <w:start w:w="120" w:type="dxa"/>
              <w:bottom w:w="80" w:type="dxa"/>
              <w:end w:w="120" w:type="dxa"/>
            </w:tcMar>
            <w:vAlign w:val="center"/>
            <w:shd w:fill="E8EEF5"/>
          </w:tcPr>
          <w:p>
            <w:pPr>
              <w:jc w:val="center"/>
            </w:pPr>
            <w:r>
              <w:rPr>
                <w:rFonts w:ascii="Calibri" w:hAnsi="Calibri"/>
                <w:b/>
                <w:color w:val="1F4D78"/>
                <w:sz w:val="17"/>
              </w:rPr>
              <w:t>Reviewer</w:t>
            </w:r>
          </w:p>
        </w:tc>
        <w:tc>
          <w:tcPr>
            <w:tcW w:type="dxa" w:w="1700"/>
            <w:tcMar>
              <w:top w:w="80" w:type="dxa"/>
              <w:start w:w="120" w:type="dxa"/>
              <w:bottom w:w="80" w:type="dxa"/>
              <w:end w:w="120" w:type="dxa"/>
            </w:tcMar>
            <w:vAlign w:val="center"/>
            <w:shd w:fill="E8EEF5"/>
          </w:tcPr>
          <w:p>
            <w:pPr>
              <w:jc w:val="center"/>
            </w:pPr>
            <w:r>
              <w:rPr>
                <w:rFonts w:ascii="Calibri" w:hAnsi="Calibri"/>
                <w:b/>
                <w:color w:val="1F4D78"/>
                <w:sz w:val="17"/>
              </w:rPr>
              <w:t>Official Response</w:t>
            </w:r>
          </w:p>
        </w:tc>
        <w:tc>
          <w:tcPr>
            <w:tcW w:type="dxa" w:w="1500"/>
            <w:tcMar>
              <w:top w:w="80" w:type="dxa"/>
              <w:start w:w="120" w:type="dxa"/>
              <w:bottom w:w="80" w:type="dxa"/>
              <w:end w:w="120" w:type="dxa"/>
            </w:tcMar>
            <w:vAlign w:val="center"/>
            <w:shd w:fill="E8EEF5"/>
          </w:tcPr>
          <w:p>
            <w:pPr>
              <w:jc w:val="center"/>
            </w:pPr>
            <w:r>
              <w:rPr>
                <w:rFonts w:ascii="Calibri" w:hAnsi="Calibri"/>
                <w:b/>
                <w:color w:val="1F4D78"/>
                <w:sz w:val="17"/>
              </w:rPr>
              <w:t>Date</w:t>
            </w:r>
          </w:p>
        </w:tc>
        <w:tc>
          <w:tcPr>
            <w:tcW w:type="dxa" w:w="3010"/>
            <w:tcMar>
              <w:top w:w="80" w:type="dxa"/>
              <w:start w:w="120" w:type="dxa"/>
              <w:bottom w:w="80" w:type="dxa"/>
              <w:end w:w="120" w:type="dxa"/>
            </w:tcMar>
            <w:vAlign w:val="center"/>
            <w:shd w:fill="E8EEF5"/>
          </w:tcPr>
          <w:p>
            <w:pPr>
              <w:jc w:val="center"/>
            </w:pPr>
            <w:r>
              <w:rPr>
                <w:rFonts w:ascii="Calibri" w:hAnsi="Calibri"/>
                <w:b/>
                <w:color w:val="1F4D78"/>
                <w:sz w:val="17"/>
              </w:rPr>
              <w:t>Attachment / Conditions Reference</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Participating Organization / Initial Sponsor</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Organization Governing Body</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Program Owner / Sponsor</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Host-Site Administrator, if Applicable</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Technology / Data Privacy Reviewer</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Risk / Transportation / Insurer Reviewer</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r>
        <w:trPr>
          <w:cantSplit/>
        </w:trPr>
        <w:tc>
          <w:tcPr>
            <w:tcW w:type="dxa" w:w="3150"/>
            <w:tcMar>
              <w:top w:w="80" w:type="dxa"/>
              <w:start w:w="120" w:type="dxa"/>
              <w:bottom w:w="80" w:type="dxa"/>
              <w:end w:w="120" w:type="dxa"/>
            </w:tcMar>
            <w:vAlign w:val="center"/>
          </w:tcPr>
          <w:p>
            <w:pPr>
              <w:spacing w:after="40" w:line="240" w:lineRule="auto"/>
            </w:pPr>
            <w:r>
              <w:rPr>
                <w:rFonts w:ascii="Calibri" w:hAnsi="Calibri"/>
                <w:color w:val="000000"/>
                <w:sz w:val="17"/>
              </w:rPr>
              <w:t>Pilot Go / No-Go Owner</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7"/>
              </w:rPr>
              <w:t>TBD</w:t>
            </w:r>
          </w:p>
        </w:tc>
        <w:tc>
          <w:tcPr>
            <w:tcW w:type="dxa" w:w="3010"/>
            <w:tcMar>
              <w:top w:w="80" w:type="dxa"/>
              <w:start w:w="120" w:type="dxa"/>
              <w:bottom w:w="80" w:type="dxa"/>
              <w:end w:w="120" w:type="dxa"/>
            </w:tcMar>
            <w:vAlign w:val="center"/>
          </w:tcPr>
          <w:p>
            <w:pPr>
              <w:spacing w:after="40" w:line="240" w:lineRule="auto"/>
            </w:pPr>
            <w:r>
              <w:rPr>
                <w:rFonts w:ascii="Calibri" w:hAnsi="Calibri"/>
                <w:color w:val="000000"/>
                <w:sz w:val="17"/>
              </w:rPr>
              <w:t>TBD</w:t>
            </w:r>
          </w:p>
        </w:tc>
      </w:tr>
    </w:tbl>
    <w:p>
      <w:pPr>
        <w:pageBreakBefore/>
        <w:spacing w:after="80"/>
      </w:pPr>
      <w:r>
        <w:rPr>
          <w:rFonts w:ascii="Calibri" w:hAnsi="Calibri"/>
          <w:b/>
          <w:color w:val="5C6B7A"/>
          <w:sz w:val="18"/>
        </w:rPr>
        <w:t>APPENDIX C</w:t>
      </w:r>
    </w:p>
    <w:p>
      <w:pPr>
        <w:pStyle w:val="Heading1"/>
      </w:pPr>
      <w:r>
        <w:t>Common Questions and Answers</w:t>
      </w:r>
    </w:p>
    <w:p>
      <w:pPr>
        <w:spacing w:after="240"/>
      </w:pPr>
      <w:r>
        <w:rPr>
          <w:rFonts w:ascii="Calibri" w:hAnsi="Calibri"/>
          <w:i/>
          <w:color w:val="5C6B7A"/>
          <w:sz w:val="22"/>
        </w:rPr>
        <w:t>A practical release-ready Q&amp;A organized by who is asking and who must answer.</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Release Rule: </w:t>
            </w:r>
            <w:r>
              <w:rPr>
                <w:rFonts w:ascii="Calibri" w:hAnsi="Calibri"/>
                <w:color w:val="000000"/>
              </w:rPr>
              <w:t>These Are Baseline Answers for the Proposed Pilot. If an Answer Depends on an Unresolved Affiliated Institution, Insurer, Organization, or Production Decision, the Organization Should Publish the Feature as Not Enabled or the Answer as Pending Approval. No Administrator Should Improvise a Broader Promise Than the Approved Package Supports.</w:t>
            </w:r>
          </w:p>
        </w:tc>
      </w:tr>
    </w:tbl>
    <w:p>
      <w:pPr>
        <w:spacing w:after="0"/>
      </w:pPr>
    </w:p>
    <w:p>
      <w:pPr>
        <w:pStyle w:val="Heading2"/>
        <w:pageBreakBefore w:val="0"/>
      </w:pPr>
      <w:r>
        <w:t>Organization to Platform</w:t>
      </w:r>
    </w:p>
    <w:p>
      <w:pPr>
        <w:keepNext/>
      </w:pPr>
      <w:r>
        <w:rPr>
          <w:rFonts w:ascii="Calibri" w:hAnsi="Calibri"/>
          <w:i/>
          <w:color w:val="5C6B7A"/>
        </w:rPr>
        <w:t>Questions the organization, host site, privacy, technology, finance, insurer, or pilot owner should ask the BandWagon platform operator.</w:t>
      </w:r>
    </w:p>
    <w:p>
      <w:pPr>
        <w:pStyle w:val="Heading3"/>
        <w:keepNext/>
      </w:pPr>
      <w:r>
        <w:t>Is the Core Platform Free to the Organization and Participating Families?</w:t>
      </w:r>
    </w:p>
    <w:p>
      <w:pPr>
        <w:keepLines/>
        <w:spacing w:after="160"/>
      </w:pPr>
      <w:r>
        <w:rPr>
          <w:rFonts w:ascii="Calibri" w:hAnsi="Calibri"/>
          <w:b/>
          <w:color w:val="1F4D78"/>
        </w:rPr>
        <w:t xml:space="preserve">Answer: </w:t>
      </w:r>
      <w:r>
        <w:rPr>
          <w:rFonts w:ascii="Calibri" w:hAnsi="Calibri"/>
          <w:color w:val="000000"/>
        </w:rPr>
        <w:t>Yes. The approved core platform is provided without a participation fee to the organization or families. Operating costs may be supported by optional adult-user contributions, organization support, grants, in-kind services, or approved outside funding sponsors, but support never changes access, matching priority, safety decisions, or core features.</w:t>
      </w:r>
    </w:p>
    <w:p>
      <w:pPr>
        <w:pStyle w:val="Heading3"/>
        <w:keepNext/>
      </w:pPr>
      <w:r>
        <w:t>What Can an Organization Enable or Disable?</w:t>
      </w:r>
    </w:p>
    <w:p>
      <w:pPr>
        <w:keepLines/>
        <w:spacing w:after="160"/>
      </w:pPr>
      <w:r>
        <w:rPr>
          <w:rFonts w:ascii="Calibri" w:hAnsi="Calibri"/>
          <w:b/>
          <w:color w:val="1F4D78"/>
        </w:rPr>
        <w:t xml:space="preserve">Answer: </w:t>
      </w:r>
      <w:r>
        <w:rPr>
          <w:rFonts w:ascii="Calibri" w:hAnsi="Calibri"/>
          <w:color w:val="000000"/>
        </w:rPr>
        <w:t>Each organization controls its own optional modules, including student access, open-request discovery, route-corridor matching, SMS / RCS, calendars, mapping, AI assistance, contribution prompts, sponsor recognition, optional profile fields, and administrative exports. One organization's choice does not change another organization's configuration.</w:t>
      </w:r>
    </w:p>
    <w:p>
      <w:pPr>
        <w:pStyle w:val="Heading3"/>
        <w:keepNext/>
      </w:pPr>
      <w:r>
        <w:t>What Controls Cannot an Organization Disable?</w:t>
      </w:r>
    </w:p>
    <w:p>
      <w:pPr>
        <w:keepLines/>
        <w:spacing w:after="160"/>
      </w:pPr>
      <w:r>
        <w:rPr>
          <w:rFonts w:ascii="Calibri" w:hAnsi="Calibri"/>
          <w:b/>
          <w:color w:val="1F4D78"/>
        </w:rPr>
        <w:t xml:space="preserve">Answer: </w:t>
      </w:r>
      <w:r>
        <w:rPr>
          <w:rFonts w:ascii="Calibri" w:hAnsi="Calibri"/>
          <w:color w:val="000000"/>
        </w:rPr>
        <w:t>Guardian authority, tenant isolation, role-based access, least privilege, encryption, approved U.S. data posture, exact-location disclosure gates, no live GPS tracking, no data sale, STOP / HELP controls, audit logging, incident handling, privacy requests, and approved retention and deletion boundaries remain mandatory.</w:t>
      </w:r>
    </w:p>
    <w:p>
      <w:pPr>
        <w:pStyle w:val="Heading3"/>
        <w:keepNext/>
      </w:pPr>
      <w:r>
        <w:t>What Does the Automated Platform Process?</w:t>
      </w:r>
    </w:p>
    <w:p>
      <w:pPr>
        <w:keepLines/>
        <w:spacing w:after="160"/>
      </w:pPr>
      <w:r>
        <w:rPr>
          <w:rFonts w:ascii="Calibri" w:hAnsi="Calibri"/>
          <w:b/>
          <w:color w:val="1F4D78"/>
        </w:rPr>
        <w:t xml:space="preserve">Answer: </w:t>
      </w:r>
      <w:r>
        <w:rPr>
          <w:rFonts w:ascii="Calibri" w:hAnsi="Calibri"/>
          <w:color w:val="000000"/>
        </w:rPr>
        <w:t>The application processes enough information to authenticate users, apply organization and guardian rules, compare eligible ride requests and driver preferences, deliver messages, protect accounts, record approvals, and complete accepted rides. The exact categories, purposes, recipients, and minimization rules are documented in the Deep Privacy Review.</w:t>
      </w:r>
    </w:p>
    <w:p>
      <w:pPr>
        <w:pStyle w:val="Heading3"/>
        <w:keepNext/>
      </w:pPr>
      <w:r>
        <w:t>Can Platform Personnel Routinely Browse Member, Ride, Message, or Location Data?</w:t>
      </w:r>
    </w:p>
    <w:p>
      <w:pPr>
        <w:keepLines/>
        <w:spacing w:after="160"/>
      </w:pPr>
      <w:r>
        <w:rPr>
          <w:rFonts w:ascii="Calibri" w:hAnsi="Calibri"/>
          <w:b/>
          <w:color w:val="1F4D78"/>
        </w:rPr>
        <w:t xml:space="preserve">Answer: </w:t>
      </w:r>
      <w:r>
        <w:rPr>
          <w:rFonts w:ascii="Calibri" w:hAnsi="Calibri"/>
          <w:color w:val="000000"/>
        </w:rPr>
        <w:t>No. Human platform access is not routine. Any support, security, privacy, financial-reconciliation, legal-hold, or incident access must be assigned to a named role, limited to the records needed, time-limited where practical, logged, and reviewed. Standing browse access is not part of the approved model.</w:t>
      </w:r>
    </w:p>
    <w:p>
      <w:pPr>
        <w:pStyle w:val="Heading3"/>
        <w:keepNext/>
      </w:pPr>
      <w:r>
        <w:t>Where Is Production Data Stored and How Is It Protected?</w:t>
      </w:r>
    </w:p>
    <w:p>
      <w:pPr>
        <w:keepLines/>
        <w:spacing w:after="160"/>
      </w:pPr>
      <w:r>
        <w:rPr>
          <w:rFonts w:ascii="Calibri" w:hAnsi="Calibri"/>
          <w:b/>
          <w:color w:val="1F4D78"/>
        </w:rPr>
        <w:t xml:space="preserve">Answer: </w:t>
      </w:r>
      <w:r>
        <w:rPr>
          <w:rFonts w:ascii="Calibri" w:hAnsi="Calibri"/>
          <w:color w:val="000000"/>
        </w:rPr>
        <w:t>The proposed production application, database, cache, logs, and private backups must remain in documented U.S. regions and use encryption in transit and at rest. External processors for messaging, email, mapping, calendars, payments, or AI require separate provider, region, retention, contract, and subprocessor review before they are enabled.</w:t>
      </w:r>
    </w:p>
    <w:p>
      <w:pPr>
        <w:pStyle w:val="Heading3"/>
        <w:keepNext/>
      </w:pPr>
      <w:r>
        <w:t>Which ThirdParty Services Can Receive Participant Data?</w:t>
      </w:r>
    </w:p>
    <w:p>
      <w:pPr>
        <w:keepLines/>
        <w:spacing w:after="160"/>
      </w:pPr>
      <w:r>
        <w:rPr>
          <w:rFonts w:ascii="Calibri" w:hAnsi="Calibri"/>
          <w:b/>
          <w:color w:val="1F4D78"/>
        </w:rPr>
        <w:t xml:space="preserve">Answer: </w:t>
      </w:r>
      <w:r>
        <w:rPr>
          <w:rFonts w:ascii="Calibri" w:hAnsi="Calibri"/>
          <w:color w:val="000000"/>
        </w:rPr>
        <w:t>Core hosting, edge-security, and email providers process only the data needed to operate and protect the service. Twilio, Google Maps, Google Calendar, Microsoft Graph, Web Push, payment, and AI providers receive feature-specific data only when the related organization control and any required user authorization are enabled. The ThirdParty Services section identifies why each service is used, what it can process, and the required limits.</w:t>
      </w:r>
    </w:p>
    <w:p>
      <w:pPr>
        <w:pStyle w:val="Heading3"/>
        <w:keepNext/>
      </w:pPr>
      <w:r>
        <w:t>Does BandWagon Require Institution-Provided Participant Records, Institutional Accounts, or Single Sign-on?</w:t>
      </w:r>
    </w:p>
    <w:p>
      <w:pPr>
        <w:keepLines/>
        <w:spacing w:after="160"/>
      </w:pPr>
      <w:r>
        <w:rPr>
          <w:rFonts w:ascii="Calibri" w:hAnsi="Calibri"/>
          <w:b/>
          <w:color w:val="1F4D78"/>
        </w:rPr>
        <w:t xml:space="preserve">Answer: </w:t>
      </w:r>
      <w:r>
        <w:rPr>
          <w:rFonts w:ascii="Calibri" w:hAnsi="Calibri"/>
          <w:color w:val="000000"/>
        </w:rPr>
        <w:t>No for the baseline pilot. Parents create their own households, and no institution provides rosters, participant IDs, grades, attendance, discipline, accommodation records, institutional passwords, or official transportation records. Any future institution integration would require a separate written review and approval.</w:t>
      </w:r>
    </w:p>
    <w:p>
      <w:pPr>
        <w:pStyle w:val="Heading3"/>
        <w:keepNext/>
      </w:pPr>
      <w:r>
        <w:t>Is Artificial Intelligence Required for Matching or Operation?</w:t>
      </w:r>
    </w:p>
    <w:p>
      <w:pPr>
        <w:keepLines/>
        <w:spacing w:after="160"/>
      </w:pPr>
      <w:r>
        <w:rPr>
          <w:rFonts w:ascii="Calibri" w:hAnsi="Calibri"/>
          <w:b/>
          <w:color w:val="1F4D78"/>
        </w:rPr>
        <w:t xml:space="preserve">Answer: </w:t>
      </w:r>
      <w:r>
        <w:rPr>
          <w:rFonts w:ascii="Calibri" w:hAnsi="Calibri"/>
          <w:color w:val="000000"/>
        </w:rPr>
        <w:t>No. Core eligibility, matching, authorization, and safety boundaries are deterministic rules. AI is disabled by default and may be enabled only for a specifically documented language-assistance use after organization approval, user notice, provider and U.S. residency review, privacy testing, and a written AI impact record.</w:t>
      </w:r>
    </w:p>
    <w:p>
      <w:pPr>
        <w:pStyle w:val="Heading3"/>
        <w:keepNext/>
      </w:pPr>
      <w:r>
        <w:t>Does the Platform Verify, Certify, or Endorse Drivers?</w:t>
      </w:r>
    </w:p>
    <w:p>
      <w:pPr>
        <w:keepLines/>
        <w:spacing w:after="160"/>
      </w:pPr>
      <w:r>
        <w:rPr>
          <w:rFonts w:ascii="Calibri" w:hAnsi="Calibri"/>
          <w:b/>
          <w:color w:val="1F4D78"/>
        </w:rPr>
        <w:t xml:space="preserve">Answer: </w:t>
      </w:r>
      <w:r>
        <w:rPr>
          <w:rFonts w:ascii="Calibri" w:hAnsi="Calibri"/>
          <w:color w:val="000000"/>
        </w:rPr>
        <w:t>No. The organization, affiliated institution, approved volunteer-screening provider, insurer, or another approved authority defines and performs any required driver-license, volunteer, background, or insurance review. BandWagon should store only approved status metadata unless the underlying document receives separate written approval for collection and protection.</w:t>
      </w:r>
    </w:p>
    <w:p>
      <w:pPr>
        <w:pStyle w:val="Heading3"/>
        <w:keepNext/>
      </w:pPr>
      <w:r>
        <w:t>What Happens Technically When an Optional Feature Is Disabled?</w:t>
      </w:r>
    </w:p>
    <w:p>
      <w:pPr>
        <w:keepLines/>
        <w:spacing w:after="160"/>
      </w:pPr>
      <w:r>
        <w:rPr>
          <w:rFonts w:ascii="Calibri" w:hAnsi="Calibri"/>
          <w:b/>
          <w:color w:val="1F4D78"/>
        </w:rPr>
        <w:t xml:space="preserve">Answer: </w:t>
      </w:r>
      <w:r>
        <w:rPr>
          <w:rFonts w:ascii="Calibri" w:hAnsi="Calibri"/>
          <w:color w:val="000000"/>
        </w:rPr>
        <w:t>Its member interface, provider calls, and new feature-specific data collection must stop. Existing feature data is deleted, minimized, or retained only under the approved retention schedule, an active incident hold, or a legal requirement. New or unlisted features default to disabled until reviewed.</w:t>
      </w:r>
    </w:p>
    <w:p>
      <w:pPr>
        <w:pStyle w:val="Heading3"/>
        <w:keepNext/>
      </w:pPr>
      <w:r>
        <w:t>How Do Contributions, Sponsors, and Payment Processing Remain Separate from Participant Data?</w:t>
      </w:r>
    </w:p>
    <w:p>
      <w:pPr>
        <w:keepLines/>
        <w:spacing w:after="160"/>
      </w:pPr>
      <w:r>
        <w:rPr>
          <w:rFonts w:ascii="Calibri" w:hAnsi="Calibri"/>
          <w:b/>
          <w:color w:val="1F4D78"/>
        </w:rPr>
        <w:t xml:space="preserve">Answer: </w:t>
      </w:r>
      <w:r>
        <w:rPr>
          <w:rFonts w:ascii="Calibri" w:hAnsi="Calibri"/>
          <w:color w:val="000000"/>
        </w:rPr>
        <w:t>Contribution prompts and sponsor recognition are adult-facing and independently configurable. Sponsors receive no participant data, ride visibility, direct-contact rights, or influence over matching, safety, or organization decisions. If payments are enabled, an approved processor stores full card data; BandWagon retains only limited transaction and receipt records.</w:t>
      </w:r>
    </w:p>
    <w:p>
      <w:pPr>
        <w:pStyle w:val="Heading3"/>
        <w:keepNext/>
      </w:pPr>
      <w:r>
        <w:t>How Are Security, Privacy, Safety, and Service Incidents Handled?</w:t>
      </w:r>
    </w:p>
    <w:p>
      <w:pPr>
        <w:keepLines/>
        <w:spacing w:after="160"/>
      </w:pPr>
      <w:r>
        <w:rPr>
          <w:rFonts w:ascii="Calibri" w:hAnsi="Calibri"/>
          <w:b/>
          <w:color w:val="1F4D78"/>
        </w:rPr>
        <w:t xml:space="preserve">Answer: </w:t>
      </w:r>
      <w:r>
        <w:rPr>
          <w:rFonts w:ascii="Calibri" w:hAnsi="Calibri"/>
          <w:color w:val="000000"/>
        </w:rPr>
        <w:t>The organization and platform must name primary and backup contacts, preserve only relevant evidence, contain affected access or features, assess whether affiliated institution or another provider is involved, notify the required owners, correct the issue, and document closure. Emergency response always begins with 911 or the appropriate emergency service, not the application.</w:t>
      </w:r>
    </w:p>
    <w:p>
      <w:pPr>
        <w:pStyle w:val="Heading3"/>
        <w:keepNext/>
      </w:pPr>
      <w:r>
        <w:t>Can the Organization or a Member Export, Correct, or Delete Data?</w:t>
      </w:r>
    </w:p>
    <w:p>
      <w:pPr>
        <w:keepLines/>
        <w:spacing w:after="160"/>
      </w:pPr>
      <w:r>
        <w:rPr>
          <w:rFonts w:ascii="Calibri" w:hAnsi="Calibri"/>
          <w:b/>
          <w:color w:val="1F4D78"/>
        </w:rPr>
        <w:t xml:space="preserve">Answer: </w:t>
      </w:r>
      <w:r>
        <w:rPr>
          <w:rFonts w:ascii="Calibri" w:hAnsi="Calibri"/>
          <w:color w:val="000000"/>
        </w:rPr>
        <w:t>Verified members may request access, correction, export, or deletion of their information. Organization exports are limited to named roles and approved data types. Production records are deleted or anonymized under the approved process; backup copies expire on the declared cycle, subject to documented incident or legal holds.</w:t>
      </w:r>
    </w:p>
    <w:p>
      <w:pPr>
        <w:pStyle w:val="Heading3"/>
        <w:keepNext/>
      </w:pPr>
      <w:r>
        <w:t>What Evidence Must the Platform Provide Before Launch?</w:t>
      </w:r>
    </w:p>
    <w:p>
      <w:pPr>
        <w:keepLines/>
        <w:spacing w:after="160"/>
      </w:pPr>
      <w:r>
        <w:rPr>
          <w:rFonts w:ascii="Calibri" w:hAnsi="Calibri"/>
          <w:b/>
          <w:color w:val="1F4D78"/>
        </w:rPr>
        <w:t xml:space="preserve">Answer: </w:t>
      </w:r>
      <w:r>
        <w:rPr>
          <w:rFonts w:ascii="Calibri" w:hAnsi="Calibri"/>
          <w:color w:val="000000"/>
        </w:rPr>
        <w:t>At minimum: the final field and feature registries, organization defaults, role and tenant tests, U.S. region evidence, encryption settings, backup and restore results, provider and subprocessor terms, retention and deletion jobs, incident contacts, payment boundaries if used, and proof that disabled modules make no provider calls or new data collection.</w:t>
      </w:r>
    </w:p>
    <w:p>
      <w:pPr>
        <w:pStyle w:val="Heading2"/>
        <w:pageBreakBefore w:val="0"/>
      </w:pPr>
      <w:r>
        <w:t>Organization to Members</w:t>
      </w:r>
    </w:p>
    <w:p>
      <w:pPr>
        <w:keepNext/>
      </w:pPr>
      <w:r>
        <w:rPr>
          <w:rFonts w:ascii="Calibri" w:hAnsi="Calibri"/>
          <w:i/>
          <w:color w:val="5C6B7A"/>
        </w:rPr>
        <w:t>Questions the organization should be ready to answer consistently for parents, guardians, students, and other participating household members.</w:t>
      </w:r>
    </w:p>
    <w:p>
      <w:pPr>
        <w:pStyle w:val="Heading3"/>
        <w:keepNext/>
      </w:pPr>
      <w:r>
        <w:t>Is Participation Required?</w:t>
      </w:r>
    </w:p>
    <w:p>
      <w:pPr>
        <w:keepLines/>
        <w:spacing w:after="160"/>
      </w:pPr>
      <w:r>
        <w:rPr>
          <w:rFonts w:ascii="Calibri" w:hAnsi="Calibri"/>
          <w:b/>
          <w:color w:val="1F4D78"/>
        </w:rPr>
        <w:t xml:space="preserve">Answer: </w:t>
      </w:r>
      <w:r>
        <w:rPr>
          <w:rFonts w:ascii="Calibri" w:hAnsi="Calibri"/>
          <w:color w:val="000000"/>
        </w:rPr>
        <w:t>No. Participation is voluntary and parent initiated. A family receives no penalty, loss of program standing, or reduced access to the participating program for declining or leaving the service.</w:t>
      </w:r>
    </w:p>
    <w:p>
      <w:pPr>
        <w:pStyle w:val="Heading3"/>
        <w:keepNext/>
      </w:pPr>
      <w:r>
        <w:t>Is BandWagon an Organization or Affiliated-Institution Transportation Service?</w:t>
      </w:r>
    </w:p>
    <w:p>
      <w:pPr>
        <w:keepLines/>
        <w:spacing w:after="160"/>
      </w:pPr>
      <w:r>
        <w:rPr>
          <w:rFonts w:ascii="Calibri" w:hAnsi="Calibri"/>
          <w:b/>
          <w:color w:val="1F4D78"/>
        </w:rPr>
        <w:t xml:space="preserve">Answer: </w:t>
      </w:r>
      <w:r>
        <w:rPr>
          <w:rFonts w:ascii="Calibri" w:hAnsi="Calibri"/>
          <w:color w:val="000000"/>
        </w:rPr>
        <w:t>No. BandWagon helps consenting families communicate about possible rides. It does not provide a vehicle, employ or dispatch drivers, replace official transportation, guarantee a ride, or create institutional endorsement unless the applicable institution expressly states otherwise in writing.</w:t>
      </w:r>
    </w:p>
    <w:p>
      <w:pPr>
        <w:pStyle w:val="Heading3"/>
        <w:keepNext/>
      </w:pPr>
      <w:r>
        <w:t>Does It Cost Anything to Participate?</w:t>
      </w:r>
    </w:p>
    <w:p>
      <w:pPr>
        <w:keepLines/>
        <w:spacing w:after="160"/>
      </w:pPr>
      <w:r>
        <w:rPr>
          <w:rFonts w:ascii="Calibri" w:hAnsi="Calibri"/>
          <w:b/>
          <w:color w:val="1F4D78"/>
        </w:rPr>
        <w:t xml:space="preserve">Answer: </w:t>
      </w:r>
      <w:r>
        <w:rPr>
          <w:rFonts w:ascii="Calibri" w:hAnsi="Calibri"/>
          <w:color w:val="000000"/>
        </w:rPr>
        <w:t>The approved core platform is free to participating families and organizations. Any adult contribution is optional and does not unlock features, improve matching, change support, or affect safety decisions. A direct platform-support payment should not be described as tax deductible unless a qualified nonprofit separately receives and documents it.</w:t>
      </w:r>
    </w:p>
    <w:p>
      <w:pPr>
        <w:pStyle w:val="Heading3"/>
        <w:keepNext/>
      </w:pPr>
      <w:r>
        <w:t>Who Creates and Controls a Household?</w:t>
      </w:r>
    </w:p>
    <w:p>
      <w:pPr>
        <w:keepLines/>
        <w:spacing w:after="160"/>
      </w:pPr>
      <w:r>
        <w:rPr>
          <w:rFonts w:ascii="Calibri" w:hAnsi="Calibri"/>
          <w:b/>
          <w:color w:val="1F4D78"/>
        </w:rPr>
        <w:t xml:space="preserve">Answer: </w:t>
      </w:r>
      <w:r>
        <w:rPr>
          <w:rFonts w:ascii="Calibri" w:hAnsi="Calibri"/>
          <w:color w:val="000000"/>
        </w:rPr>
        <w:t>A parent, legal guardian, or other verified authorized adult creates and manages the household, links students, controls permissions, receives material notices, and approves rides. Organization administrators cannot override a parent's authority for a minor.</w:t>
      </w:r>
    </w:p>
    <w:p>
      <w:pPr>
        <w:pStyle w:val="Heading3"/>
        <w:keepNext/>
      </w:pPr>
      <w:r>
        <w:t>Can a Student Create an Independent Account or Approve a Ride?</w:t>
      </w:r>
    </w:p>
    <w:p>
      <w:pPr>
        <w:keepLines/>
        <w:spacing w:after="160"/>
      </w:pPr>
      <w:r>
        <w:rPr>
          <w:rFonts w:ascii="Calibri" w:hAnsi="Calibri"/>
          <w:b/>
          <w:color w:val="1F4D78"/>
        </w:rPr>
        <w:t xml:space="preserve">Answer: </w:t>
      </w:r>
      <w:r>
        <w:rPr>
          <w:rFonts w:ascii="Calibri" w:hAnsi="Calibri"/>
          <w:color w:val="000000"/>
        </w:rPr>
        <w:t>No independent account is allowed for a child under 13, and the proposed pilot keeps student participation subordinate to parent control. Any student login or student-initiated request requires organization approval, age and action limits, and parent authorization. A student cannot approve a driver or bypass a guardian decision.</w:t>
      </w:r>
    </w:p>
    <w:p>
      <w:pPr>
        <w:pStyle w:val="Heading3"/>
        <w:keepNext/>
      </w:pPr>
      <w:r>
        <w:t>What Can Other Members See Before a Ride Is Accepted?</w:t>
      </w:r>
    </w:p>
    <w:p>
      <w:pPr>
        <w:keepLines/>
        <w:spacing w:after="160"/>
      </w:pPr>
      <w:r>
        <w:rPr>
          <w:rFonts w:ascii="Calibri" w:hAnsi="Calibri"/>
          <w:b/>
          <w:color w:val="1F4D78"/>
        </w:rPr>
        <w:t xml:space="preserve">Answer: </w:t>
      </w:r>
      <w:r>
        <w:rPr>
          <w:rFonts w:ascii="Calibri" w:hAnsi="Calibri"/>
          <w:color w:val="000000"/>
        </w:rPr>
        <w:t>Only eligible organization participants may see the minimum approved preview, such as event, time, direction, seat need, and an approximate area. Exact pickup or drop-off locations, direct contact details, private routes, and unrelated household information remain hidden.</w:t>
      </w:r>
    </w:p>
    <w:p>
      <w:pPr>
        <w:pStyle w:val="Heading3"/>
        <w:keepNext/>
      </w:pPr>
      <w:r>
        <w:t>When Are Exact Addresses and Direct Contact Details Shared?</w:t>
      </w:r>
    </w:p>
    <w:p>
      <w:pPr>
        <w:keepLines/>
        <w:spacing w:after="160"/>
      </w:pPr>
      <w:r>
        <w:rPr>
          <w:rFonts w:ascii="Calibri" w:hAnsi="Calibri"/>
          <w:b/>
          <w:color w:val="1F4D78"/>
        </w:rPr>
        <w:t xml:space="preserve">Answer: </w:t>
      </w:r>
      <w:r>
        <w:rPr>
          <w:rFonts w:ascii="Calibri" w:hAnsi="Calibri"/>
          <w:color w:val="000000"/>
        </w:rPr>
        <w:t>Only after the requesting parent approves the match and the information is needed to complete the ride. Disclosure is limited to the confirmed households and approved providers. The organization may require relay or masking instead of direct phone or email sharing.</w:t>
      </w:r>
    </w:p>
    <w:p>
      <w:pPr>
        <w:pStyle w:val="Heading3"/>
        <w:keepNext/>
      </w:pPr>
      <w:r>
        <w:t>Does the Application Continuously Track a Vehicle or Member Location?</w:t>
      </w:r>
    </w:p>
    <w:p>
      <w:pPr>
        <w:keepLines/>
        <w:spacing w:after="160"/>
      </w:pPr>
      <w:r>
        <w:rPr>
          <w:rFonts w:ascii="Calibri" w:hAnsi="Calibri"/>
          <w:b/>
          <w:color w:val="1F4D78"/>
        </w:rPr>
        <w:t xml:space="preserve">Answer: </w:t>
      </w:r>
      <w:r>
        <w:rPr>
          <w:rFonts w:ascii="Calibri" w:hAnsi="Calibri"/>
          <w:color w:val="000000"/>
        </w:rPr>
        <w:t>No. The approved model does not use live GPS or continuous trip history. Mapping may validate an address, approximate an area, geocode an approved location, or estimate a route for an enabled function, but it does not create a live vehicle-tracking service.</w:t>
      </w:r>
    </w:p>
    <w:p>
      <w:pPr>
        <w:pStyle w:val="Heading3"/>
        <w:keepNext/>
      </w:pPr>
      <w:r>
        <w:t>Can Organization Administrators Read Messages or Browse Exact Addresses?</w:t>
      </w:r>
    </w:p>
    <w:p>
      <w:pPr>
        <w:keepLines/>
        <w:spacing w:after="160"/>
      </w:pPr>
      <w:r>
        <w:rPr>
          <w:rFonts w:ascii="Calibri" w:hAnsi="Calibri"/>
          <w:b/>
          <w:color w:val="1F4D78"/>
        </w:rPr>
        <w:t xml:space="preserve">Answer: </w:t>
      </w:r>
      <w:r>
        <w:rPr>
          <w:rFonts w:ascii="Calibri" w:hAnsi="Calibri"/>
          <w:color w:val="000000"/>
        </w:rPr>
        <w:t>Not as a routine function. Administrators receive only the minimum information needed for an assigned membership, safety, privacy, finance, or support duty. Exact addresses, direct contact details, message content, and incident evidence require a documented need and the appropriate least-privileged role.</w:t>
      </w:r>
    </w:p>
    <w:p>
      <w:pPr>
        <w:pStyle w:val="Heading3"/>
        <w:keepNext/>
      </w:pPr>
      <w:r>
        <w:t>How Will the Service Contact Me?</w:t>
      </w:r>
    </w:p>
    <w:p>
      <w:pPr>
        <w:keepLines/>
        <w:spacing w:after="160"/>
      </w:pPr>
      <w:r>
        <w:rPr>
          <w:rFonts w:ascii="Calibri" w:hAnsi="Calibri"/>
          <w:b/>
          <w:color w:val="1F4D78"/>
        </w:rPr>
        <w:t xml:space="preserve">Answer: </w:t>
      </w:r>
      <w:r>
        <w:rPr>
          <w:rFonts w:ascii="Calibri" w:hAnsi="Calibri"/>
          <w:color w:val="000000"/>
        </w:rPr>
        <w:t>Email remains available. SMS / RCS is enabled only after organization readiness and a separate user opt-in. Text messages are transactional, STOP and HELP are honored, and opting out of texts does not end participation when an approved email or browser alternative remains available.</w:t>
      </w:r>
    </w:p>
    <w:p>
      <w:pPr>
        <w:pStyle w:val="Heading3"/>
        <w:keepNext/>
      </w:pPr>
      <w:r>
        <w:t>Is a Requested Ride Guaranteed to Receive a Driver?</w:t>
      </w:r>
    </w:p>
    <w:p>
      <w:pPr>
        <w:keepLines/>
        <w:spacing w:after="160"/>
      </w:pPr>
      <w:r>
        <w:rPr>
          <w:rFonts w:ascii="Calibri" w:hAnsi="Calibri"/>
          <w:b/>
          <w:color w:val="1F4D78"/>
        </w:rPr>
        <w:t xml:space="preserve">Answer: </w:t>
      </w:r>
      <w:r>
        <w:rPr>
          <w:rFonts w:ascii="Calibri" w:hAnsi="Calibri"/>
          <w:color w:val="000000"/>
        </w:rPr>
        <w:t>No. A request, recommendation, or offer is not a dispatch or guarantee. Parents remain responsible for confirming the driver, passenger, pickup, drop-off, timing, accessibility needs, and a fallback plan before the ride.</w:t>
      </w:r>
    </w:p>
    <w:p>
      <w:pPr>
        <w:pStyle w:val="Heading3"/>
        <w:keepNext/>
      </w:pPr>
      <w:r>
        <w:t>How Do I Block a Person or Report a Safety or Privacy Concern?</w:t>
      </w:r>
    </w:p>
    <w:p>
      <w:pPr>
        <w:keepLines/>
        <w:spacing w:after="160"/>
      </w:pPr>
      <w:r>
        <w:rPr>
          <w:rFonts w:ascii="Calibri" w:hAnsi="Calibri"/>
          <w:b/>
          <w:color w:val="1F4D78"/>
        </w:rPr>
        <w:t xml:space="preserve">Answer: </w:t>
      </w:r>
      <w:r>
        <w:rPr>
          <w:rFonts w:ascii="Calibri" w:hAnsi="Calibri"/>
          <w:color w:val="000000"/>
        </w:rPr>
        <w:t>Use the approved block or report process and contact the named organization safety or privacy owner. Evidence is restricted to the people handling the case. For a crash, missing student, medical event, immediate threat, or other emergency, call 911 first and then notify the parent or guardian and organization.</w:t>
      </w:r>
    </w:p>
    <w:p>
      <w:pPr>
        <w:pStyle w:val="Heading3"/>
        <w:keepNext/>
      </w:pPr>
      <w:r>
        <w:t>Can I Correct My Information or Delete My Account?</w:t>
      </w:r>
    </w:p>
    <w:p>
      <w:pPr>
        <w:keepLines/>
        <w:spacing w:after="160"/>
      </w:pPr>
      <w:r>
        <w:rPr>
          <w:rFonts w:ascii="Calibri" w:hAnsi="Calibri"/>
          <w:b/>
          <w:color w:val="1F4D78"/>
        </w:rPr>
        <w:t xml:space="preserve">Answer: </w:t>
      </w:r>
      <w:r>
        <w:rPr>
          <w:rFonts w:ascii="Calibri" w:hAnsi="Calibri"/>
          <w:color w:val="000000"/>
        </w:rPr>
        <w:t>Yes. A verified member may update optional information, change communication choices, request correction or export, and request account deletion. Active rides, safety cases, legal holds, and backup expiration may temporarily limit immediate removal of specific records, and the request status must be documented.</w:t>
      </w:r>
    </w:p>
    <w:p>
      <w:pPr>
        <w:pStyle w:val="Heading3"/>
        <w:keepNext/>
      </w:pPr>
      <w:r>
        <w:t>Do Sponsors, Contributors, or Donors Receive Member Information?</w:t>
      </w:r>
    </w:p>
    <w:p>
      <w:pPr>
        <w:keepLines/>
        <w:spacing w:after="160"/>
      </w:pPr>
      <w:r>
        <w:rPr>
          <w:rFonts w:ascii="Calibri" w:hAnsi="Calibri"/>
          <w:b/>
          <w:color w:val="1F4D78"/>
        </w:rPr>
        <w:t xml:space="preserve">Answer: </w:t>
      </w:r>
      <w:r>
        <w:rPr>
          <w:rFonts w:ascii="Calibri" w:hAnsi="Calibri"/>
          <w:color w:val="000000"/>
        </w:rPr>
        <w:t>No. Sponsor acknowledgement is limited to an organization-approved name, logo, wording, duration, and placement. Sponsors and contributors receive no participant list, audience targeting, contact rights, ride data, matching influence, or access to student-facing decision screens.</w:t>
      </w:r>
    </w:p>
    <w:p>
      <w:pPr>
        <w:pStyle w:val="Heading3"/>
        <w:keepNext/>
      </w:pPr>
      <w:r>
        <w:t>Does Artificial Intelligence Choose Drivers, Approve Rides, or Decide Safety?</w:t>
      </w:r>
    </w:p>
    <w:p>
      <w:pPr>
        <w:keepLines/>
        <w:spacing w:after="160"/>
      </w:pPr>
      <w:r>
        <w:rPr>
          <w:rFonts w:ascii="Calibri" w:hAnsi="Calibri"/>
          <w:b/>
          <w:color w:val="1F4D78"/>
        </w:rPr>
        <w:t xml:space="preserve">Answer: </w:t>
      </w:r>
      <w:r>
        <w:rPr>
          <w:rFonts w:ascii="Calibri" w:hAnsi="Calibri"/>
          <w:color w:val="000000"/>
        </w:rPr>
        <w:t>No. AI cannot rank drivers, reveal protected data, approve a child's ride, change ride state, certify eligibility, or decide safety. If separately approved, it may offer a redacted explanation or draft interpretation, but the normal rules and explicit human confirmation remain controlling.</w:t>
      </w:r>
    </w:p>
    <w:p>
      <w:pPr>
        <w:pStyle w:val="Heading3"/>
        <w:keepNext/>
      </w:pPr>
      <w:r>
        <w:t>Do I Need a Smartphone or an App-Store Installation?</w:t>
      </w:r>
    </w:p>
    <w:p>
      <w:pPr>
        <w:keepLines/>
        <w:spacing w:after="160"/>
      </w:pPr>
      <w:r>
        <w:rPr>
          <w:rFonts w:ascii="Calibri" w:hAnsi="Calibri"/>
          <w:b/>
          <w:color w:val="1F4D78"/>
        </w:rPr>
        <w:t xml:space="preserve">Answer: </w:t>
      </w:r>
      <w:r>
        <w:rPr>
          <w:rFonts w:ascii="Calibri" w:hAnsi="Calibri"/>
          <w:color w:val="000000"/>
        </w:rPr>
        <w:t>No. BandWagon is a progressive web application that works in a supported browser and can be used from a desktop or installed to a device home screen. The approved pilot should maintain an email and browser path for members who do not use SMS or a smartphone.</w:t>
      </w:r>
    </w:p>
    <w:p>
      <w:pPr>
        <w:pStyle w:val="Heading2"/>
        <w:pageBreakBefore w:val="0"/>
      </w:pPr>
      <w:r>
        <w:t>Drivers to Organization</w:t>
      </w:r>
    </w:p>
    <w:p>
      <w:pPr>
        <w:keepNext/>
      </w:pPr>
      <w:r>
        <w:rPr>
          <w:rFonts w:ascii="Calibri" w:hAnsi="Calibri"/>
          <w:i/>
          <w:color w:val="5C6B7A"/>
        </w:rPr>
        <w:t>Questions adult volunteer drivers should ask the organization, safety owner, pilot owner, or insurer before offering a ride.</w:t>
      </w:r>
    </w:p>
    <w:p>
      <w:pPr>
        <w:pStyle w:val="Heading3"/>
        <w:keepNext/>
      </w:pPr>
      <w:r>
        <w:t>Who Is Eligible to Drive During the Pilot?</w:t>
      </w:r>
    </w:p>
    <w:p>
      <w:pPr>
        <w:keepLines/>
        <w:spacing w:after="160"/>
      </w:pPr>
      <w:r>
        <w:rPr>
          <w:rFonts w:ascii="Calibri" w:hAnsi="Calibri"/>
          <w:b/>
          <w:color w:val="1F4D78"/>
        </w:rPr>
        <w:t xml:space="preserve">Answer: </w:t>
      </w:r>
      <w:r>
        <w:rPr>
          <w:rFonts w:ascii="Calibri" w:hAnsi="Calibri"/>
          <w:color w:val="000000"/>
        </w:rPr>
        <w:t>The proposed pilot is limited to approved adult parent or guardian drivers. The final minimum age, membership, volunteer, driver-license, background, insurance, and recheck requirements must be confirmed in writing by the organization, affiliated institution, insurer, or another named authority before offers are enabled.</w:t>
      </w:r>
    </w:p>
    <w:p>
      <w:pPr>
        <w:pStyle w:val="Heading3"/>
        <w:keepNext/>
      </w:pPr>
      <w:r>
        <w:t>What License, Insurance, Registration, or Background Evidence Must I Provide?</w:t>
      </w:r>
    </w:p>
    <w:p>
      <w:pPr>
        <w:keepLines/>
        <w:spacing w:after="160"/>
      </w:pPr>
      <w:r>
        <w:rPr>
          <w:rFonts w:ascii="Calibri" w:hAnsi="Calibri"/>
          <w:b/>
          <w:color w:val="1F4D78"/>
        </w:rPr>
        <w:t xml:space="preserve">Answer: </w:t>
      </w:r>
      <w:r>
        <w:rPr>
          <w:rFonts w:ascii="Calibri" w:hAnsi="Calibri"/>
          <w:color w:val="000000"/>
        </w:rPr>
        <w:t>Follow the written organization, affiliated institution, approved volunteer-screening provider, and insurer requirements. This proposal does not invent a coverage amount or screening standard. The organization must identify who verifies each item, the accepted status, expiration date, and what happens when verification expires or changes.</w:t>
      </w:r>
    </w:p>
    <w:p>
      <w:pPr>
        <w:pStyle w:val="Heading3"/>
        <w:keepNext/>
      </w:pPr>
      <w:r>
        <w:t>Do I Upload My License, Insurance Card, Registration, or Background Report to BandWagon?</w:t>
      </w:r>
    </w:p>
    <w:p>
      <w:pPr>
        <w:keepLines/>
        <w:spacing w:after="160"/>
      </w:pPr>
      <w:r>
        <w:rPr>
          <w:rFonts w:ascii="Calibri" w:hAnsi="Calibri"/>
          <w:b/>
          <w:color w:val="1F4D78"/>
        </w:rPr>
        <w:t xml:space="preserve">Answer: </w:t>
      </w:r>
      <w:r>
        <w:rPr>
          <w:rFonts w:ascii="Calibri" w:hAnsi="Calibri"/>
          <w:color w:val="000000"/>
        </w:rPr>
        <w:t>Not under the proposed pilot. BandWagon should store only status, verifying authority, check date, expiration date, and an approved external reference when needed. Collecting an underlying document, government identifier, policy number, or report requires separate written approval and stronger protection.</w:t>
      </w:r>
    </w:p>
    <w:p>
      <w:pPr>
        <w:pStyle w:val="Heading3"/>
        <w:keepNext/>
      </w:pPr>
      <w:r>
        <w:t>Does BandWagon or the Organization Certify, Endorse, or Guarantee Me as a Safe Driver?</w:t>
      </w:r>
    </w:p>
    <w:p>
      <w:pPr>
        <w:keepLines/>
        <w:spacing w:after="160"/>
      </w:pPr>
      <w:r>
        <w:rPr>
          <w:rFonts w:ascii="Calibri" w:hAnsi="Calibri"/>
          <w:b/>
          <w:color w:val="1F4D78"/>
        </w:rPr>
        <w:t xml:space="preserve">Answer: </w:t>
      </w:r>
      <w:r>
        <w:rPr>
          <w:rFonts w:ascii="Calibri" w:hAnsi="Calibri"/>
          <w:color w:val="000000"/>
        </w:rPr>
        <w:t>No. The platform records approved workflow results and helps families communicate. It does not certify driving skill, vehicle safety, insurance sufficiency, route safety, or suitability, and it does not replace the parent's decision or the organization's and insurer's screening obligations.</w:t>
      </w:r>
    </w:p>
    <w:p>
      <w:pPr>
        <w:pStyle w:val="Heading3"/>
        <w:keepNext/>
      </w:pPr>
      <w:r>
        <w:t>Can I Control My Availability, Service Area, Route Preferences, Detour Tolerance, and Seat Count?</w:t>
      </w:r>
    </w:p>
    <w:p>
      <w:pPr>
        <w:keepLines/>
        <w:spacing w:after="160"/>
      </w:pPr>
      <w:r>
        <w:rPr>
          <w:rFonts w:ascii="Calibri" w:hAnsi="Calibri"/>
          <w:b/>
          <w:color w:val="1F4D78"/>
        </w:rPr>
        <w:t xml:space="preserve">Answer: </w:t>
      </w:r>
      <w:r>
        <w:rPr>
          <w:rFonts w:ascii="Calibri" w:hAnsi="Calibri"/>
          <w:color w:val="000000"/>
        </w:rPr>
        <w:t>Yes, within the organization's approved limits. A driver may set availability, direction, service area, route corridor, arrival window, seat count, and a percentage or minute-based detour tolerance, and may pause or remove those preferences. These settings create recommendations, not a route or arrival guarantee.</w:t>
      </w:r>
    </w:p>
    <w:p>
      <w:pPr>
        <w:pStyle w:val="Heading3"/>
        <w:keepNext/>
      </w:pPr>
      <w:r>
        <w:t>What Ride Information Can I See Before Making an Offer?</w:t>
      </w:r>
    </w:p>
    <w:p>
      <w:pPr>
        <w:keepLines/>
        <w:spacing w:after="160"/>
      </w:pPr>
      <w:r>
        <w:rPr>
          <w:rFonts w:ascii="Calibri" w:hAnsi="Calibri"/>
          <w:b/>
          <w:color w:val="1F4D78"/>
        </w:rPr>
        <w:t xml:space="preserve">Answer: </w:t>
      </w:r>
      <w:r>
        <w:rPr>
          <w:rFonts w:ascii="Calibri" w:hAnsi="Calibri"/>
          <w:color w:val="000000"/>
        </w:rPr>
        <w:t>Only the approved minimum needed to decide whether the request may fit, such as event, time, direction, seat need, approximate area, and approved accessibility note. Exact address, direct contact information, private household data, and the requester's precise route remain hidden before an accepted match.</w:t>
      </w:r>
    </w:p>
    <w:p>
      <w:pPr>
        <w:pStyle w:val="Heading3"/>
        <w:keepNext/>
      </w:pPr>
      <w:r>
        <w:t>When Will I Receive Exact Pickup, Drop-Off, Passenger, and Contact Information?</w:t>
      </w:r>
    </w:p>
    <w:p>
      <w:pPr>
        <w:keepLines/>
        <w:spacing w:after="160"/>
      </w:pPr>
      <w:r>
        <w:rPr>
          <w:rFonts w:ascii="Calibri" w:hAnsi="Calibri"/>
          <w:b/>
          <w:color w:val="1F4D78"/>
        </w:rPr>
        <w:t xml:space="preserve">Answer: </w:t>
      </w:r>
      <w:r>
        <w:rPr>
          <w:rFonts w:ascii="Calibri" w:hAnsi="Calibri"/>
          <w:color w:val="000000"/>
        </w:rPr>
        <w:t>Only after the requesting parent or guardian approves the match and the details are required to complete the ride. Access is limited to the confirmed households, may use relay or masking, and should end or be minimized when the ride context and approved retention period end.</w:t>
      </w:r>
    </w:p>
    <w:p>
      <w:pPr>
        <w:pStyle w:val="Heading3"/>
        <w:keepNext/>
      </w:pPr>
      <w:r>
        <w:t>Can I Decline, Withdraw, Cancel, or Pause Offers?</w:t>
      </w:r>
    </w:p>
    <w:p>
      <w:pPr>
        <w:keepLines/>
        <w:spacing w:after="160"/>
      </w:pPr>
      <w:r>
        <w:rPr>
          <w:rFonts w:ascii="Calibri" w:hAnsi="Calibri"/>
          <w:b/>
          <w:color w:val="1F4D78"/>
        </w:rPr>
        <w:t xml:space="preserve">Answer: </w:t>
      </w:r>
      <w:r>
        <w:rPr>
          <w:rFonts w:ascii="Calibri" w:hAnsi="Calibri"/>
          <w:color w:val="000000"/>
        </w:rPr>
        <w:t>Yes. A driver chooses whether to offer and may withdraw or pause future availability. Once a ride is accepted, promptly update the ride and directly notify the parent or guardian of a material change so the family has time to make another plan. The application is not emergency dispatch.</w:t>
      </w:r>
    </w:p>
    <w:p>
      <w:pPr>
        <w:pStyle w:val="Heading3"/>
        <w:keepNext/>
      </w:pPr>
      <w:r>
        <w:t>Can I Search for or Select Any Student or Household?</w:t>
      </w:r>
    </w:p>
    <w:p>
      <w:pPr>
        <w:keepLines/>
        <w:spacing w:after="160"/>
      </w:pPr>
      <w:r>
        <w:rPr>
          <w:rFonts w:ascii="Calibri" w:hAnsi="Calibri"/>
          <w:b/>
          <w:color w:val="1F4D78"/>
        </w:rPr>
        <w:t xml:space="preserve">Answer: </w:t>
      </w:r>
      <w:r>
        <w:rPr>
          <w:rFonts w:ascii="Calibri" w:hAnsi="Calibri"/>
          <w:color w:val="000000"/>
        </w:rPr>
        <w:t>No. Discovery is limited to eligible requests within the organization and approved preview rules. There is no public directory, student search, broad ride map, or general social-discovery function. Block relationships, parent permissions, organization eligibility, and ride state remain controlling.</w:t>
      </w:r>
    </w:p>
    <w:p>
      <w:pPr>
        <w:pStyle w:val="Heading3"/>
        <w:keepNext/>
      </w:pPr>
      <w:r>
        <w:t>Who May Ride in My Vehicle?</w:t>
      </w:r>
    </w:p>
    <w:p>
      <w:pPr>
        <w:keepLines/>
        <w:spacing w:after="160"/>
      </w:pPr>
      <w:r>
        <w:rPr>
          <w:rFonts w:ascii="Calibri" w:hAnsi="Calibri"/>
          <w:b/>
          <w:color w:val="1F4D78"/>
        </w:rPr>
        <w:t xml:space="preserve">Answer: </w:t>
      </w:r>
      <w:r>
        <w:rPr>
          <w:rFonts w:ascii="Calibri" w:hAnsi="Calibri"/>
          <w:color w:val="000000"/>
        </w:rPr>
        <w:t>Only the confirmed participants approved for that ride and permitted by the organization. Do not add an unapproved passenger, exceed the entered belted-seat capacity, or materially change pickup or drop-off arrangements without the requesting parent or guardian acknowledging the change.</w:t>
      </w:r>
    </w:p>
    <w:p>
      <w:pPr>
        <w:pStyle w:val="Heading3"/>
        <w:keepNext/>
      </w:pPr>
      <w:r>
        <w:t>What Should I Do if the Schedule Changes or Someone Does Not Appear?</w:t>
      </w:r>
    </w:p>
    <w:p>
      <w:pPr>
        <w:keepLines/>
        <w:spacing w:after="160"/>
      </w:pPr>
      <w:r>
        <w:rPr>
          <w:rFonts w:ascii="Calibri" w:hAnsi="Calibri"/>
          <w:b/>
          <w:color w:val="1F4D78"/>
        </w:rPr>
        <w:t xml:space="preserve">Answer: </w:t>
      </w:r>
      <w:r>
        <w:rPr>
          <w:rFonts w:ascii="Calibri" w:hAnsi="Calibri"/>
          <w:color w:val="000000"/>
        </w:rPr>
        <w:t>Use the approved status and communication process, contact the parent or guardian, and follow the organization's waiting, no-show, and escalation rules. Do not leave a minor at an unapproved location or create a new transportation plan without the required parent acknowledgement.</w:t>
      </w:r>
    </w:p>
    <w:p>
      <w:pPr>
        <w:pStyle w:val="Heading3"/>
        <w:keepNext/>
      </w:pPr>
      <w:r>
        <w:t>What Should I Do After a Crash, Medical Issue, Missing Student, Threat, or Other Safety Incident?</w:t>
      </w:r>
    </w:p>
    <w:p>
      <w:pPr>
        <w:keepLines/>
        <w:spacing w:after="160"/>
      </w:pPr>
      <w:r>
        <w:rPr>
          <w:rFonts w:ascii="Calibri" w:hAnsi="Calibri"/>
          <w:b/>
          <w:color w:val="1F4D78"/>
        </w:rPr>
        <w:t xml:space="preserve">Answer: </w:t>
      </w:r>
      <w:r>
        <w:rPr>
          <w:rFonts w:ascii="Calibri" w:hAnsi="Calibri"/>
          <w:color w:val="000000"/>
        </w:rPr>
        <w:t>Call 911 or the appropriate emergency service first, protect people, and contact the parent or guardian. Then notify the named organization safety owner and submit the minimum incident record. Preserve relevant facts and messages, but do not broadly post allegations, addresses, student information, or screenshots.</w:t>
      </w:r>
    </w:p>
    <w:p>
      <w:pPr>
        <w:pStyle w:val="Heading3"/>
        <w:keepNext/>
      </w:pPr>
      <w:r>
        <w:t>May I Share Ride Details, Screenshots, Phone Numbers, or Addresses Outside the Matched Households?</w:t>
      </w:r>
    </w:p>
    <w:p>
      <w:pPr>
        <w:keepLines/>
        <w:spacing w:after="160"/>
      </w:pPr>
      <w:r>
        <w:rPr>
          <w:rFonts w:ascii="Calibri" w:hAnsi="Calibri"/>
          <w:b/>
          <w:color w:val="1F4D78"/>
        </w:rPr>
        <w:t xml:space="preserve">Answer: </w:t>
      </w:r>
      <w:r>
        <w:rPr>
          <w:rFonts w:ascii="Calibri" w:hAnsi="Calibri"/>
          <w:color w:val="000000"/>
        </w:rPr>
        <w:t>No, except when necessary for emergency services, an approved safety or privacy report, insurer or legal direction, or another documented need. Keep ride details inside the confirmed participants and approved response roles, and do not post them to social media, group chats, or public directories.</w:t>
      </w:r>
    </w:p>
    <w:p>
      <w:pPr>
        <w:pStyle w:val="Heading3"/>
        <w:keepNext/>
      </w:pPr>
      <w:r>
        <w:t>Am I Paid, Reimbursed, or Covered for Fuel or Mileage?</w:t>
      </w:r>
    </w:p>
    <w:p>
      <w:pPr>
        <w:keepLines/>
        <w:spacing w:after="160"/>
      </w:pPr>
      <w:r>
        <w:rPr>
          <w:rFonts w:ascii="Calibri" w:hAnsi="Calibri"/>
          <w:b/>
          <w:color w:val="1F4D78"/>
        </w:rPr>
        <w:t xml:space="preserve">Answer: </w:t>
      </w:r>
      <w:r>
        <w:rPr>
          <w:rFonts w:ascii="Calibri" w:hAnsi="Calibri"/>
          <w:color w:val="000000"/>
        </w:rPr>
        <w:t>The proposed pilot authorizes voluntary ride coordination and does not authorize driver compensation, mileage reimbursement, or a commercial transportation arrangement. Any payment or reimbursement program requires a separate written organization, tax, insurance, and legal decision before it is offered.</w:t>
      </w:r>
    </w:p>
    <w:p>
      <w:pPr>
        <w:pStyle w:val="Heading3"/>
        <w:keepNext/>
      </w:pPr>
      <w:r>
        <w:t>Who Is Responsible for Insurance, Vehicle Condition, and Legal Driving Requirements?</w:t>
      </w:r>
    </w:p>
    <w:p>
      <w:pPr>
        <w:keepLines/>
        <w:spacing w:after="160"/>
      </w:pPr>
      <w:r>
        <w:rPr>
          <w:rFonts w:ascii="Calibri" w:hAnsi="Calibri"/>
          <w:b/>
          <w:color w:val="1F4D78"/>
        </w:rPr>
        <w:t xml:space="preserve">Answer: </w:t>
      </w:r>
      <w:r>
        <w:rPr>
          <w:rFonts w:ascii="Calibri" w:hAnsi="Calibri"/>
          <w:color w:val="000000"/>
        </w:rPr>
        <w:t>The driver remains responsible for a valid license, legally required insurance, lawful registration and inspection, a safe operating vehicle, working seat belts, sobriety, and compliance with traffic law. The organization and insurer must state any additional pilot requirements; the platform does not provide coverage or cure a missing requirement.</w:t>
      </w:r>
    </w:p>
    <w:p>
      <w:pPr>
        <w:pStyle w:val="Heading3"/>
        <w:keepNext/>
      </w:pPr>
      <w:r>
        <w:t>Can Artificial Intelligence Assign Me a Ride or Make a Safety Decision?</w:t>
      </w:r>
    </w:p>
    <w:p>
      <w:pPr>
        <w:keepLines/>
        <w:spacing w:after="160"/>
      </w:pPr>
      <w:r>
        <w:rPr>
          <w:rFonts w:ascii="Calibri" w:hAnsi="Calibri"/>
          <w:b/>
          <w:color w:val="1F4D78"/>
        </w:rPr>
        <w:t xml:space="preserve">Answer: </w:t>
      </w:r>
      <w:r>
        <w:rPr>
          <w:rFonts w:ascii="Calibri" w:hAnsi="Calibri"/>
          <w:color w:val="000000"/>
        </w:rPr>
        <w:t>No. Deterministic eligibility and authorization rules run first. AI cannot dispatch a driver, rank safety, reveal exact locations, approve a child's ride, or change a match. A driver decides whether to offer, and the requesting parent or guardian decides whether to accept.</w:t>
      </w:r>
    </w:p>
    <w:p>
      <w:pPr>
        <w:pStyle w:val="Heading3"/>
        <w:keepNext/>
      </w:pPr>
      <w:r>
        <w:t>Do My Contributions or a Sponsor Relationship Affect Which Requests I See?</w:t>
      </w:r>
    </w:p>
    <w:p>
      <w:pPr>
        <w:keepLines/>
        <w:spacing w:after="160"/>
      </w:pPr>
      <w:r>
        <w:rPr>
          <w:rFonts w:ascii="Calibri" w:hAnsi="Calibri"/>
          <w:b/>
          <w:color w:val="1F4D78"/>
        </w:rPr>
        <w:t xml:space="preserve">Answer: </w:t>
      </w:r>
      <w:r>
        <w:rPr>
          <w:rFonts w:ascii="Calibri" w:hAnsi="Calibri"/>
          <w:color w:val="000000"/>
        </w:rPr>
        <w:t>No. Contributions, grants, sponsor recognition, and organization support have no effect on ride visibility, matching priority, feature access, support level, driver eligibility, or safety decisions. Participant and funding records must remain separated.</w:t>
      </w:r>
    </w:p>
    <w:p>
      <w:pPr>
        <w:pStyle w:val="Heading3"/>
        <w:keepNext/>
      </w:pPr>
      <w:r>
        <w:t>Can the Organization Suspend or Remove My Driving Access?</w:t>
      </w:r>
    </w:p>
    <w:p>
      <w:pPr>
        <w:keepLines/>
        <w:spacing w:after="160"/>
      </w:pPr>
      <w:r>
        <w:rPr>
          <w:rFonts w:ascii="Calibri" w:hAnsi="Calibri"/>
          <w:b/>
          <w:color w:val="1F4D78"/>
        </w:rPr>
        <w:t xml:space="preserve">Answer: </w:t>
      </w:r>
      <w:r>
        <w:rPr>
          <w:rFonts w:ascii="Calibri" w:hAnsi="Calibri"/>
          <w:color w:val="000000"/>
        </w:rPr>
        <w:t>Yes. A named safety or operational owner may suspend offers or participation when verification expires, required controls are not met, a material report requires review, or organization rules are violated. The organization should document the reason, evidence, decision owner, notices, and conditions for any return.</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5"/>
          </w:tcPr>
          <w:p>
            <w:pPr>
              <w:spacing w:after="40"/>
            </w:pPr>
            <w:r>
              <w:rPr>
                <w:rFonts w:ascii="Calibri" w:hAnsi="Calibri"/>
                <w:b/>
                <w:color w:val="1F4D78"/>
              </w:rPr>
              <w:t xml:space="preserve">Before Publishing This Q&amp;A: </w:t>
            </w:r>
            <w:r>
              <w:rPr>
                <w:rFonts w:ascii="Calibri" w:hAnsi="Calibri"/>
                <w:color w:val="000000"/>
              </w:rPr>
              <w:t>The Organization Must Replace General Language with Its Approved Answers for Permitted Events, Adult-Driver Eligibility, Approved Volunteer-Screening Provider or Background Checks, Driver-License Review, Insurance Evidence, Host Site Pickup and Drop-Off Rules, Waiting and No-Show Rules, Incident Contacts, Student Access, Messaging, Calendars, AI, Contributions, Sponsor Recognition, and the Final Privacy-Contact Process.</w:t>
            </w:r>
          </w:p>
        </w:tc>
      </w:tr>
    </w:tbl>
    <w:p>
      <w:pPr>
        <w:spacing w:after="0"/>
      </w:pPr>
    </w:p>
    <w:p>
      <w:pPr>
        <w:pStyle w:val="Heading2"/>
        <w:pageBreakBefore/>
      </w:pPr>
      <w:r>
        <w:t>Review and Attachment Working Tools</w:t>
      </w:r>
    </w:p>
    <w:p>
      <w:r>
        <w:t>Use these reusable tools during sponsor, organization, host site, district, insurer, and platform reviews. Copy the working tables for each organization or review cycle, name the accountable owner, attach the evidence, and record the official decision issued through that organization’s own process. This proposal and its working notes are not a launch authorization.</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CE"/>
          </w:tcPr>
          <w:p>
            <w:pPr>
              <w:spacing w:after="40"/>
            </w:pPr>
            <w:r>
              <w:rPr>
                <w:rFonts w:ascii="Calibri" w:hAnsi="Calibri"/>
                <w:b/>
                <w:color w:val="1F4D78"/>
              </w:rPr>
              <w:t xml:space="preserve">Working Record Rule: </w:t>
            </w:r>
            <w:r>
              <w:rPr>
                <w:rFonts w:ascii="Calibri" w:hAnsi="Calibri"/>
                <w:color w:val="000000"/>
              </w:rPr>
              <w:t>Do Not Treat an Unchecked Box, Meeting Note, Email Fragment, or Agreement to Continue Reviewing as Approval to Enable a Feature or Launch the Pilot. Attach the Authoritative Decision from the Reviewing Body and Record Its Scope, Conditions, Owner, Evidence Location, and Date.</w:t>
            </w:r>
          </w:p>
        </w:tc>
      </w:tr>
    </w:tbl>
    <w:p>
      <w:pPr>
        <w:spacing w:after="0"/>
      </w:pPr>
    </w:p>
    <w:p>
      <w:pPr>
        <w:spacing w:before="80" w:after="40"/>
        <w:jc w:val="center"/>
      </w:pPr>
      <w:r>
        <w:drawing>
          <wp:inline xmlns:a="http://schemas.openxmlformats.org/drawingml/2006/main" xmlns:pic="http://schemas.openxmlformats.org/drawingml/2006/picture">
            <wp:extent cx="5806440" cy="3575897"/>
            <wp:docPr id="7" name="Picture 7" descr="Three horizontal review lanes show organization-to-platform questions, organization-to-member questions, and driver-to-organization questions moving through required answers to named decision outputs and a final go or no-go owner." title="Approval Conversation Map"/>
            <wp:cNvGraphicFramePr>
              <a:graphicFrameLocks noChangeAspect="1"/>
            </wp:cNvGraphicFramePr>
            <a:graphic>
              <a:graphicData uri="http://schemas.openxmlformats.org/drawingml/2006/picture">
                <pic:pic>
                  <pic:nvPicPr>
                    <pic:cNvPr id="0" name="approval_conversation_map.png"/>
                    <pic:cNvPicPr/>
                  </pic:nvPicPr>
                  <pic:blipFill>
                    <a:blip r:embed="rId41"/>
                    <a:stretch>
                      <a:fillRect/>
                    </a:stretch>
                  </pic:blipFill>
                  <pic:spPr>
                    <a:xfrm>
                      <a:off x="0" y="0"/>
                      <a:ext cx="5806440" cy="3575897"/>
                    </a:xfrm>
                    <a:prstGeom prst="rect"/>
                  </pic:spPr>
                </pic:pic>
              </a:graphicData>
            </a:graphic>
          </wp:inline>
        </w:drawing>
      </w:r>
    </w:p>
    <w:p>
      <w:pPr>
        <w:pStyle w:val="SmallNote"/>
        <w:keepNext w:val="0"/>
        <w:jc w:val="center"/>
      </w:pPr>
      <w:r>
        <w:rPr>
          <w:rFonts w:ascii="Calibri" w:hAnsi="Calibri"/>
          <w:i/>
          <w:color w:val="5C6B7A"/>
          <w:sz w:val="17"/>
        </w:rPr>
        <w:t>Figure 6. Three-Way Review Conversation Map - route each question to the owner who can provide evidence and issue the corresponding response.</w:t>
      </w:r>
    </w:p>
    <w:p>
      <w:pPr>
        <w:pStyle w:val="Heading3"/>
      </w:pPr>
      <w:r>
        <w:t>How to Use These Tools</w:t>
      </w:r>
    </w:p>
    <w:p>
      <w:pPr>
        <w:spacing w:after="40" w:line="240" w:lineRule="auto"/>
        <w:ind w:left="720" w:hanging="360"/>
        <w:numPr>
          <w:ilvl w:val="0"/>
          <w:numId w:val="12"/>
        </w:numPr>
      </w:pPr>
      <w:r>
        <w:t>Define the Pilot Scope, Participating Organization, Intended Users, and Requested Optional Features.</w:t>
      </w:r>
    </w:p>
    <w:p>
      <w:pPr>
        <w:spacing w:after="40" w:line="240" w:lineRule="auto"/>
        <w:ind w:left="720" w:hanging="360"/>
        <w:numPr>
          <w:ilvl w:val="0"/>
          <w:numId w:val="12"/>
        </w:numPr>
      </w:pPr>
      <w:r>
        <w:t>Complete the Readiness Scorecard and Name One Accountable Owner for Every Workstream.</w:t>
      </w:r>
    </w:p>
    <w:p>
      <w:pPr>
        <w:spacing w:after="40" w:line="240" w:lineRule="auto"/>
        <w:ind w:left="720" w:hanging="360"/>
        <w:numPr>
          <w:ilvl w:val="0"/>
          <w:numId w:val="12"/>
        </w:numPr>
      </w:pPr>
      <w:r>
        <w:t>Complete the Optional Feature Worksheet Only for Features the Organization Is Requesting Now.</w:t>
      </w:r>
    </w:p>
    <w:p>
      <w:pPr>
        <w:spacing w:after="40" w:line="240" w:lineRule="auto"/>
        <w:ind w:left="720" w:hanging="360"/>
        <w:numPr>
          <w:ilvl w:val="0"/>
          <w:numId w:val="12"/>
        </w:numPr>
      </w:pPr>
      <w:r>
        <w:t>Record Driver Evidence Requirements and Route the Member Communication Release Materials Through the Required Review Process.</w:t>
      </w:r>
    </w:p>
    <w:p>
      <w:pPr>
        <w:spacing w:after="40" w:line="240" w:lineRule="auto"/>
        <w:ind w:left="720" w:hanging="360"/>
        <w:numPr>
          <w:ilvl w:val="0"/>
          <w:numId w:val="12"/>
        </w:numPr>
      </w:pPr>
      <w:r>
        <w:t>Attach Evidence and Official Responses, Close Every Blocking Condition, and Obtain the Named Go / No-Go Owner’s Decision.</w:t>
      </w:r>
    </w:p>
    <w:p>
      <w:pPr>
        <w:spacing w:before="80" w:after="40"/>
        <w:jc w:val="center"/>
      </w:pPr>
      <w:r>
        <w:drawing>
          <wp:inline xmlns:a="http://schemas.openxmlformats.org/drawingml/2006/main" xmlns:pic="http://schemas.openxmlformats.org/drawingml/2006/picture">
            <wp:extent cx="5806440" cy="3496007"/>
            <wp:docPr id="8" name="Picture 8" descr="Six-stage feature review flow covering need, data and provider, review owners, conditions, configuration and testing, and communication before enablement. Unknown or unreviewed features remain disabled." title="Optional Feature Approval Gate"/>
            <wp:cNvGraphicFramePr>
              <a:graphicFrameLocks noChangeAspect="1"/>
            </wp:cNvGraphicFramePr>
            <a:graphic>
              <a:graphicData uri="http://schemas.openxmlformats.org/drawingml/2006/picture">
                <pic:pic>
                  <pic:nvPicPr>
                    <pic:cNvPr id="0" name="optional_feature_approval_gate.png"/>
                    <pic:cNvPicPr/>
                  </pic:nvPicPr>
                  <pic:blipFill>
                    <a:blip r:embed="rId42"/>
                    <a:stretch>
                      <a:fillRect/>
                    </a:stretch>
                  </pic:blipFill>
                  <pic:spPr>
                    <a:xfrm>
                      <a:off x="0" y="0"/>
                      <a:ext cx="5806440" cy="3496007"/>
                    </a:xfrm>
                    <a:prstGeom prst="rect"/>
                  </pic:spPr>
                </pic:pic>
              </a:graphicData>
            </a:graphic>
          </wp:inline>
        </w:drawing>
      </w:r>
    </w:p>
    <w:p>
      <w:pPr>
        <w:pStyle w:val="SmallNote"/>
        <w:keepNext w:val="0"/>
        <w:jc w:val="center"/>
      </w:pPr>
      <w:r>
        <w:rPr>
          <w:rFonts w:ascii="Calibri" w:hAnsi="Calibri"/>
          <w:i/>
          <w:color w:val="5C6B7A"/>
          <w:sz w:val="17"/>
        </w:rPr>
        <w:t>Figure 7. Optional Feature Review Gate - an unreviewed feature stays disabled until its purpose, data, provider, owner, conditions, tests, and notice are complete.</w:t>
      </w:r>
    </w:p>
    <w:p>
      <w:pPr>
        <w:pStyle w:val="Heading3"/>
      </w:pPr>
      <w:r>
        <w:t>Review Status Chart and Legend</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cantSplit/>
          <w:tblHeader w:val="true"/>
        </w:trPr>
        <w:tc>
          <w:tcPr>
            <w:tcW w:type="dxa" w:w="1872"/>
            <w:tcMar>
              <w:top w:w="80" w:type="dxa"/>
              <w:start w:w="120" w:type="dxa"/>
              <w:bottom w:w="80" w:type="dxa"/>
              <w:end w:w="120" w:type="dxa"/>
            </w:tcMar>
            <w:vAlign w:val="center"/>
            <w:shd w:fill="F2F4F7"/>
          </w:tcPr>
          <w:p>
            <w:pPr>
              <w:jc w:val="center"/>
            </w:pPr>
            <w:r>
              <w:rPr>
                <w:rFonts w:ascii="Calibri" w:hAnsi="Calibri"/>
                <w:b/>
                <w:color w:val="1F4D78"/>
                <w:sz w:val="16"/>
              </w:rPr>
              <w:t>Open</w:t>
            </w:r>
          </w:p>
        </w:tc>
        <w:tc>
          <w:tcPr>
            <w:tcW w:type="dxa" w:w="1872"/>
            <w:tcMar>
              <w:top w:w="80" w:type="dxa"/>
              <w:start w:w="120" w:type="dxa"/>
              <w:bottom w:w="80" w:type="dxa"/>
              <w:end w:w="120" w:type="dxa"/>
            </w:tcMar>
            <w:vAlign w:val="center"/>
            <w:shd w:fill="E8EEF5"/>
          </w:tcPr>
          <w:p>
            <w:pPr>
              <w:jc w:val="center"/>
            </w:pPr>
            <w:r>
              <w:rPr>
                <w:rFonts w:ascii="Calibri" w:hAnsi="Calibri"/>
                <w:b/>
                <w:color w:val="1F4D78"/>
                <w:sz w:val="16"/>
              </w:rPr>
              <w:t>In Review</w:t>
            </w:r>
          </w:p>
        </w:tc>
        <w:tc>
          <w:tcPr>
            <w:tcW w:type="dxa" w:w="1872"/>
            <w:tcMar>
              <w:top w:w="80" w:type="dxa"/>
              <w:start w:w="120" w:type="dxa"/>
              <w:bottom w:w="80" w:type="dxa"/>
              <w:end w:w="120" w:type="dxa"/>
            </w:tcMar>
            <w:vAlign w:val="center"/>
            <w:shd w:fill="FFF4CE"/>
          </w:tcPr>
          <w:p>
            <w:pPr>
              <w:jc w:val="center"/>
            </w:pPr>
            <w:r>
              <w:rPr>
                <w:rFonts w:ascii="Calibri" w:hAnsi="Calibri"/>
                <w:b/>
                <w:color w:val="1F4D78"/>
                <w:sz w:val="16"/>
              </w:rPr>
              <w:t>Conditioned</w:t>
            </w:r>
          </w:p>
        </w:tc>
        <w:tc>
          <w:tcPr>
            <w:tcW w:type="dxa" w:w="1872"/>
            <w:tcMar>
              <w:top w:w="80" w:type="dxa"/>
              <w:start w:w="120" w:type="dxa"/>
              <w:bottom w:w="80" w:type="dxa"/>
              <w:end w:w="120" w:type="dxa"/>
            </w:tcMar>
            <w:vAlign w:val="center"/>
            <w:shd w:fill="EAF4EA"/>
          </w:tcPr>
          <w:p>
            <w:pPr>
              <w:jc w:val="center"/>
            </w:pPr>
            <w:r>
              <w:rPr>
                <w:rFonts w:ascii="Calibri" w:hAnsi="Calibri"/>
                <w:b/>
                <w:color w:val="1F4D78"/>
                <w:sz w:val="16"/>
              </w:rPr>
              <w:t>Approved</w:t>
            </w:r>
          </w:p>
        </w:tc>
        <w:tc>
          <w:tcPr>
            <w:tcW w:type="dxa" w:w="1872"/>
            <w:tcMar>
              <w:top w:w="80" w:type="dxa"/>
              <w:start w:w="120" w:type="dxa"/>
              <w:bottom w:w="80" w:type="dxa"/>
              <w:end w:w="120" w:type="dxa"/>
            </w:tcMar>
            <w:vAlign w:val="center"/>
            <w:shd w:fill="FDECEC"/>
          </w:tcPr>
          <w:p>
            <w:pPr>
              <w:jc w:val="center"/>
            </w:pPr>
            <w:r>
              <w:rPr>
                <w:rFonts w:ascii="Calibri" w:hAnsi="Calibri"/>
                <w:b/>
                <w:color w:val="1F4D78"/>
                <w:sz w:val="16"/>
              </w:rPr>
              <w:t>Blocked</w:t>
            </w:r>
          </w:p>
        </w:tc>
      </w:tr>
      <w:tr>
        <w:trPr>
          <w:cantSplit/>
        </w:trPr>
        <w:tc>
          <w:tcPr>
            <w:tcW w:type="dxa" w:w="1872"/>
            <w:tcMar>
              <w:top w:w="80" w:type="dxa"/>
              <w:start w:w="120" w:type="dxa"/>
              <w:bottom w:w="80" w:type="dxa"/>
              <w:end w:w="120" w:type="dxa"/>
            </w:tcMar>
            <w:vAlign w:val="center"/>
            <w:shd w:fill="F2F4F7"/>
          </w:tcPr>
          <w:p>
            <w:pPr>
              <w:spacing w:after="40" w:line="240" w:lineRule="auto"/>
              <w:jc w:val="center"/>
            </w:pPr>
            <w:r>
              <w:rPr>
                <w:rFonts w:ascii="Calibri" w:hAnsi="Calibri"/>
                <w:color w:val="000000"/>
                <w:sz w:val="16"/>
              </w:rPr>
              <w:t>Owner or Evidence Needed</w:t>
            </w:r>
          </w:p>
        </w:tc>
        <w:tc>
          <w:tcPr>
            <w:tcW w:type="dxa" w:w="1872"/>
            <w:tcMar>
              <w:top w:w="80" w:type="dxa"/>
              <w:start w:w="120" w:type="dxa"/>
              <w:bottom w:w="80" w:type="dxa"/>
              <w:end w:w="120" w:type="dxa"/>
            </w:tcMar>
            <w:vAlign w:val="center"/>
            <w:shd w:fill="E8EEF5"/>
          </w:tcPr>
          <w:p>
            <w:pPr>
              <w:spacing w:after="40" w:line="240" w:lineRule="auto"/>
              <w:jc w:val="center"/>
            </w:pPr>
            <w:r>
              <w:rPr>
                <w:rFonts w:ascii="Calibri" w:hAnsi="Calibri"/>
                <w:color w:val="000000"/>
                <w:sz w:val="16"/>
              </w:rPr>
              <w:t>Evidence Being Gathered</w:t>
            </w:r>
          </w:p>
        </w:tc>
        <w:tc>
          <w:tcPr>
            <w:tcW w:type="dxa" w:w="1872"/>
            <w:tcMar>
              <w:top w:w="80" w:type="dxa"/>
              <w:start w:w="120" w:type="dxa"/>
              <w:bottom w:w="80" w:type="dxa"/>
              <w:end w:w="120" w:type="dxa"/>
            </w:tcMar>
            <w:vAlign w:val="center"/>
            <w:shd w:fill="FFF4CE"/>
          </w:tcPr>
          <w:p>
            <w:pPr>
              <w:spacing w:after="40" w:line="240" w:lineRule="auto"/>
              <w:jc w:val="center"/>
            </w:pPr>
            <w:r>
              <w:rPr>
                <w:rFonts w:ascii="Calibri" w:hAnsi="Calibri"/>
                <w:color w:val="000000"/>
                <w:sz w:val="16"/>
              </w:rPr>
              <w:t>Named Actions Required</w:t>
            </w:r>
          </w:p>
        </w:tc>
        <w:tc>
          <w:tcPr>
            <w:tcW w:type="dxa" w:w="1872"/>
            <w:tcMar>
              <w:top w:w="80" w:type="dxa"/>
              <w:start w:w="120" w:type="dxa"/>
              <w:bottom w:w="80" w:type="dxa"/>
              <w:end w:w="120" w:type="dxa"/>
            </w:tcMar>
            <w:vAlign w:val="center"/>
            <w:shd w:fill="EAF4EA"/>
          </w:tcPr>
          <w:p>
            <w:pPr>
              <w:spacing w:after="40" w:line="240" w:lineRule="auto"/>
              <w:jc w:val="center"/>
            </w:pPr>
            <w:r>
              <w:rPr>
                <w:rFonts w:ascii="Calibri" w:hAnsi="Calibri"/>
                <w:color w:val="000000"/>
                <w:sz w:val="16"/>
              </w:rPr>
              <w:t>Evidence Accepted</w:t>
            </w:r>
          </w:p>
        </w:tc>
        <w:tc>
          <w:tcPr>
            <w:tcW w:type="dxa" w:w="1872"/>
            <w:tcMar>
              <w:top w:w="80" w:type="dxa"/>
              <w:start w:w="120" w:type="dxa"/>
              <w:bottom w:w="80" w:type="dxa"/>
              <w:end w:w="120" w:type="dxa"/>
            </w:tcMar>
            <w:vAlign w:val="center"/>
            <w:shd w:fill="FDECEC"/>
          </w:tcPr>
          <w:p>
            <w:pPr>
              <w:spacing w:after="40" w:line="240" w:lineRule="auto"/>
              <w:jc w:val="center"/>
            </w:pPr>
            <w:r>
              <w:rPr>
                <w:rFonts w:ascii="Calibri" w:hAnsi="Calibri"/>
                <w:color w:val="000000"/>
                <w:sz w:val="16"/>
              </w:rPr>
              <w:t>Do Not Enable or Launch</w:t>
            </w:r>
          </w:p>
        </w:tc>
      </w:tr>
    </w:tbl>
    <w:p>
      <w:pPr>
        <w:spacing w:after="0"/>
      </w:pPr>
    </w:p>
    <w:p>
      <w:pPr>
        <w:pStyle w:val="Heading3"/>
      </w:pPr>
      <w:r>
        <w:t>Proposal Readiness Scorecard</w:t>
      </w:r>
    </w:p>
    <w:tbl>
      <w:tblPr>
        <w:tblStyle w:val="TableGrid"/>
        <w:tblW w:type="dxa" w:w="9360"/>
        <w:tblLayout w:type="fixed"/>
        <w:tblLook w:firstColumn="1" w:firstRow="1" w:lastColumn="0" w:lastRow="0" w:noHBand="0" w:noVBand="1" w:val="04A0"/>
        <w:jc w:val="left"/>
        <w:tblInd w:w="120" w:type="dxa"/>
      </w:tblPr>
      <w:tblGrid>
        <w:gridCol w:w="1300"/>
        <w:gridCol w:w="3100"/>
        <w:gridCol w:w="1600"/>
        <w:gridCol w:w="2260"/>
        <w:gridCol w:w="1100"/>
      </w:tblGrid>
      <w:tr>
        <w:trPr>
          <w:cantSplit/>
          <w:tblHeader w:val="true"/>
        </w:trPr>
        <w:tc>
          <w:tcPr>
            <w:tcW w:type="dxa" w:w="1300"/>
            <w:tcMar>
              <w:top w:w="80" w:type="dxa"/>
              <w:start w:w="120" w:type="dxa"/>
              <w:bottom w:w="80" w:type="dxa"/>
              <w:end w:w="120" w:type="dxa"/>
            </w:tcMar>
            <w:vAlign w:val="center"/>
            <w:shd w:fill="E8EEF5"/>
          </w:tcPr>
          <w:p>
            <w:pPr>
              <w:jc w:val="center"/>
            </w:pPr>
            <w:r>
              <w:rPr>
                <w:rFonts w:ascii="Calibri" w:hAnsi="Calibri"/>
                <w:b/>
                <w:color w:val="1F4D78"/>
                <w:sz w:val="15"/>
              </w:rPr>
              <w:t>Workstream</w:t>
            </w:r>
          </w:p>
        </w:tc>
        <w:tc>
          <w:tcPr>
            <w:tcW w:type="dxa" w:w="3100"/>
            <w:tcMar>
              <w:top w:w="80" w:type="dxa"/>
              <w:start w:w="120" w:type="dxa"/>
              <w:bottom w:w="80" w:type="dxa"/>
              <w:end w:w="120" w:type="dxa"/>
            </w:tcMar>
            <w:vAlign w:val="center"/>
            <w:shd w:fill="E8EEF5"/>
          </w:tcPr>
          <w:p>
            <w:pPr>
              <w:jc w:val="center"/>
            </w:pPr>
            <w:r>
              <w:rPr>
                <w:rFonts w:ascii="Calibri" w:hAnsi="Calibri"/>
                <w:b/>
                <w:color w:val="1F4D78"/>
                <w:sz w:val="15"/>
              </w:rPr>
              <w:t>Review Question</w:t>
            </w:r>
          </w:p>
        </w:tc>
        <w:tc>
          <w:tcPr>
            <w:tcW w:type="dxa" w:w="1600"/>
            <w:tcMar>
              <w:top w:w="80" w:type="dxa"/>
              <w:start w:w="120" w:type="dxa"/>
              <w:bottom w:w="80" w:type="dxa"/>
              <w:end w:w="120" w:type="dxa"/>
            </w:tcMar>
            <w:vAlign w:val="center"/>
            <w:shd w:fill="E8EEF5"/>
          </w:tcPr>
          <w:p>
            <w:pPr>
              <w:jc w:val="center"/>
            </w:pPr>
            <w:r>
              <w:rPr>
                <w:rFonts w:ascii="Calibri" w:hAnsi="Calibri"/>
                <w:b/>
                <w:color w:val="1F4D78"/>
                <w:sz w:val="15"/>
              </w:rPr>
              <w:t>Accountable Owner</w:t>
            </w:r>
          </w:p>
        </w:tc>
        <w:tc>
          <w:tcPr>
            <w:tcW w:type="dxa" w:w="2260"/>
            <w:tcMar>
              <w:top w:w="80" w:type="dxa"/>
              <w:start w:w="120" w:type="dxa"/>
              <w:bottom w:w="80" w:type="dxa"/>
              <w:end w:w="120" w:type="dxa"/>
            </w:tcMar>
            <w:vAlign w:val="center"/>
            <w:shd w:fill="E8EEF5"/>
          </w:tcPr>
          <w:p>
            <w:pPr>
              <w:jc w:val="center"/>
            </w:pPr>
            <w:r>
              <w:rPr>
                <w:rFonts w:ascii="Calibri" w:hAnsi="Calibri"/>
                <w:b/>
                <w:color w:val="1F4D78"/>
                <w:sz w:val="15"/>
              </w:rPr>
              <w:t>Evidence / Conditions</w:t>
            </w:r>
          </w:p>
        </w:tc>
        <w:tc>
          <w:tcPr>
            <w:tcW w:type="dxa" w:w="1100"/>
            <w:tcMar>
              <w:top w:w="80" w:type="dxa"/>
              <w:start w:w="120" w:type="dxa"/>
              <w:bottom w:w="80" w:type="dxa"/>
              <w:end w:w="120" w:type="dxa"/>
            </w:tcMar>
            <w:vAlign w:val="center"/>
            <w:shd w:fill="E8EEF5"/>
          </w:tcPr>
          <w:p>
            <w:pPr>
              <w:jc w:val="center"/>
            </w:pPr>
            <w:r>
              <w:rPr>
                <w:rFonts w:ascii="Calibri" w:hAnsi="Calibri"/>
                <w:b/>
                <w:color w:val="1F4D78"/>
                <w:sz w:val="15"/>
              </w:rPr>
              <w:t>Status</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Governance</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Is the Sponsor, Decision Path, Scope, and Conflict Process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Resolution / Minutes / Scope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Program</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Permitted Events, Participants, and Staff Boundaries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Program Rules / Event List</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Host Site</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Host Site Access, Pickup, Drop-Off, and Communication Rules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Host-Site Conditions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Privacy</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Fields, Purposes, Visibility, Consent, Retention, and Deletion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Privacy Review / Notice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Technology</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Access, Devices, Domains, Providers, and Configurations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Technical Review / Tests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Security</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Roles, Tenant Isolation, Encryption, Logs, Backups, and Response Tested?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Security Evidence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Transportation / Risk</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Driver, Vehicle, Pickup, Incident, and Suspension Rules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Risk Conditions / Procedure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Legal / Insurance</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Disclaimers, Coverage, Volunteer Status, and Liability Boundaries Accepted?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Counsel / Insurer Response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Communications</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Member, Student, Driver, SMS, Support, and Change Notices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Approved Release Set</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Funding / Finance</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Contribution, Sponsor, Processor, Receipt, and Separation Controls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Treasurer Decision / Terms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AI</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Is AI Disabled, or Has the Separate Impact and Provider Review Been Approved?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AI Decision Record</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Go / No-Go</w:t>
            </w:r>
          </w:p>
        </w:tc>
        <w:tc>
          <w:tcPr>
            <w:tcW w:type="dxa" w:w="3100"/>
            <w:tcMar>
              <w:top w:w="80" w:type="dxa"/>
              <w:start w:w="120" w:type="dxa"/>
              <w:bottom w:w="80" w:type="dxa"/>
              <w:end w:w="120" w:type="dxa"/>
            </w:tcMar>
            <w:vAlign w:val="center"/>
          </w:tcPr>
          <w:p>
            <w:pPr>
              <w:spacing w:after="40" w:line="240" w:lineRule="auto"/>
            </w:pPr>
            <w:r>
              <w:rPr>
                <w:rFonts w:ascii="Calibri" w:hAnsi="Calibri"/>
                <w:color w:val="000000"/>
                <w:sz w:val="15"/>
              </w:rPr>
              <w:t>Are All Blocking Conditions Closed and Production Settings Verified?</w:t>
            </w:r>
          </w:p>
        </w:tc>
        <w:tc>
          <w:tcPr>
            <w:tcW w:type="dxa" w:w="16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2260"/>
            <w:tcMar>
              <w:top w:w="80" w:type="dxa"/>
              <w:start w:w="120" w:type="dxa"/>
              <w:bottom w:w="80" w:type="dxa"/>
              <w:end w:w="120" w:type="dxa"/>
            </w:tcMar>
            <w:vAlign w:val="center"/>
          </w:tcPr>
          <w:p>
            <w:pPr>
              <w:spacing w:after="40" w:line="240" w:lineRule="auto"/>
            </w:pPr>
            <w:r>
              <w:rPr>
                <w:rFonts w:ascii="Calibri" w:hAnsi="Calibri"/>
                <w:color w:val="000000"/>
                <w:sz w:val="15"/>
              </w:rPr>
              <w:t>Signed Launch Record</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5"/>
              </w:rPr>
              <w:t>☐ Open ☐ Ready ☐ Hold</w:t>
            </w:r>
          </w:p>
        </w:tc>
      </w:tr>
    </w:tbl>
    <w:p>
      <w:pPr>
        <w:spacing w:after="0"/>
      </w:pPr>
    </w:p>
    <w:p>
      <w:pPr>
        <w:pStyle w:val="Heading3"/>
      </w:pPr>
      <w:r>
        <w:t>Optional Feature Decision Worksheet</w:t>
      </w:r>
    </w:p>
    <w:tbl>
      <w:tblPr>
        <w:tblStyle w:val="TableGrid"/>
        <w:tblW w:type="dxa" w:w="9360"/>
        <w:tblLayout w:type="fixed"/>
        <w:tblLook w:firstColumn="1" w:firstRow="1" w:lastColumn="0" w:lastRow="0" w:noHBand="0" w:noVBand="1" w:val="04A0"/>
        <w:jc w:val="left"/>
        <w:tblInd w:w="120" w:type="dxa"/>
      </w:tblPr>
      <w:tblGrid>
        <w:gridCol w:w="1450"/>
        <w:gridCol w:w="1150"/>
        <w:gridCol w:w="1350"/>
        <w:gridCol w:w="2300"/>
        <w:gridCol w:w="1500"/>
        <w:gridCol w:w="1610"/>
      </w:tblGrid>
      <w:tr>
        <w:trPr>
          <w:cantSplit/>
          <w:tblHeader w:val="true"/>
        </w:trPr>
        <w:tc>
          <w:tcPr>
            <w:tcW w:type="dxa" w:w="1450"/>
            <w:tcMar>
              <w:top w:w="80" w:type="dxa"/>
              <w:start w:w="120" w:type="dxa"/>
              <w:bottom w:w="80" w:type="dxa"/>
              <w:end w:w="120" w:type="dxa"/>
            </w:tcMar>
            <w:vAlign w:val="center"/>
            <w:shd w:fill="E8EEF5"/>
          </w:tcPr>
          <w:p>
            <w:pPr>
              <w:jc w:val="center"/>
            </w:pPr>
            <w:r>
              <w:rPr>
                <w:rFonts w:ascii="Calibri" w:hAnsi="Calibri"/>
                <w:b/>
                <w:color w:val="1F4D78"/>
                <w:sz w:val="14"/>
              </w:rPr>
              <w:t>Feature</w:t>
            </w:r>
          </w:p>
        </w:tc>
        <w:tc>
          <w:tcPr>
            <w:tcW w:type="dxa" w:w="1150"/>
            <w:tcMar>
              <w:top w:w="80" w:type="dxa"/>
              <w:start w:w="120" w:type="dxa"/>
              <w:bottom w:w="80" w:type="dxa"/>
              <w:end w:w="120" w:type="dxa"/>
            </w:tcMar>
            <w:vAlign w:val="center"/>
            <w:shd w:fill="E8EEF5"/>
          </w:tcPr>
          <w:p>
            <w:pPr>
              <w:jc w:val="center"/>
            </w:pPr>
            <w:r>
              <w:rPr>
                <w:rFonts w:ascii="Calibri" w:hAnsi="Calibri"/>
                <w:b/>
                <w:color w:val="1F4D78"/>
                <w:sz w:val="14"/>
              </w:rPr>
              <w:t>Baseline Default</w:t>
            </w:r>
          </w:p>
        </w:tc>
        <w:tc>
          <w:tcPr>
            <w:tcW w:type="dxa" w:w="1350"/>
            <w:tcMar>
              <w:top w:w="80" w:type="dxa"/>
              <w:start w:w="120" w:type="dxa"/>
              <w:bottom w:w="80" w:type="dxa"/>
              <w:end w:w="120" w:type="dxa"/>
            </w:tcMar>
            <w:vAlign w:val="center"/>
            <w:shd w:fill="E8EEF5"/>
          </w:tcPr>
          <w:p>
            <w:pPr>
              <w:jc w:val="center"/>
            </w:pPr>
            <w:r>
              <w:rPr>
                <w:rFonts w:ascii="Calibri" w:hAnsi="Calibri"/>
                <w:b/>
                <w:color w:val="1F4D78"/>
                <w:sz w:val="14"/>
              </w:rPr>
              <w:t>Requested State</w:t>
            </w:r>
          </w:p>
        </w:tc>
        <w:tc>
          <w:tcPr>
            <w:tcW w:type="dxa" w:w="2300"/>
            <w:tcMar>
              <w:top w:w="80" w:type="dxa"/>
              <w:start w:w="120" w:type="dxa"/>
              <w:bottom w:w="80" w:type="dxa"/>
              <w:end w:w="120" w:type="dxa"/>
            </w:tcMar>
            <w:vAlign w:val="center"/>
            <w:shd w:fill="E8EEF5"/>
          </w:tcPr>
          <w:p>
            <w:pPr>
              <w:jc w:val="center"/>
            </w:pPr>
            <w:r>
              <w:rPr>
                <w:rFonts w:ascii="Calibri" w:hAnsi="Calibri"/>
                <w:b/>
                <w:color w:val="1F4D78"/>
                <w:sz w:val="14"/>
              </w:rPr>
              <w:t>Data / Provider Change</w:t>
            </w:r>
          </w:p>
        </w:tc>
        <w:tc>
          <w:tcPr>
            <w:tcW w:type="dxa" w:w="1500"/>
            <w:tcMar>
              <w:top w:w="80" w:type="dxa"/>
              <w:start w:w="120" w:type="dxa"/>
              <w:bottom w:w="80" w:type="dxa"/>
              <w:end w:w="120" w:type="dxa"/>
            </w:tcMar>
            <w:vAlign w:val="center"/>
            <w:shd w:fill="E8EEF5"/>
          </w:tcPr>
          <w:p>
            <w:pPr>
              <w:jc w:val="center"/>
            </w:pPr>
            <w:r>
              <w:rPr>
                <w:rFonts w:ascii="Calibri" w:hAnsi="Calibri"/>
                <w:b/>
                <w:color w:val="1F4D78"/>
                <w:sz w:val="14"/>
              </w:rPr>
              <w:t>Required Reviewer</w:t>
            </w:r>
          </w:p>
        </w:tc>
        <w:tc>
          <w:tcPr>
            <w:tcW w:type="dxa" w:w="1610"/>
            <w:tcMar>
              <w:top w:w="80" w:type="dxa"/>
              <w:start w:w="120" w:type="dxa"/>
              <w:bottom w:w="80" w:type="dxa"/>
              <w:end w:w="120" w:type="dxa"/>
            </w:tcMar>
            <w:vAlign w:val="center"/>
            <w:shd w:fill="E8EEF5"/>
          </w:tcPr>
          <w:p>
            <w:pPr>
              <w:jc w:val="center"/>
            </w:pPr>
            <w:r>
              <w:rPr>
                <w:rFonts w:ascii="Calibri" w:hAnsi="Calibri"/>
                <w:b/>
                <w:color w:val="1F4D78"/>
                <w:sz w:val="14"/>
              </w:rPr>
              <w:t>Decision / Evidence</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Student Access</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Age, Identity, Consent, Actions</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Program / Privacy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SMS / RCS</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Phone, Message, Carrier / Twilio</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Technology / Privacy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Google / Microsoft Calendar</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Event, Account, Calendar Provider</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Program / Technology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Mapping / Geocoding</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Limited</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Address, Coordinates, Map Provider</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Privacy / Technology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Open-Request Discovery</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Approximate Area, Event, Time</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Program / Privacy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Route-Corridor Matching</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Route Preference, Detour, Time</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Risk / Privacy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AI Explanation</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Redacted Prompt, AI Provider</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Privacy / Technology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Message Assistance</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Message Text, Intent, AI Provider</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Privacy / Technology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Adult Contributions</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Adult Choice, Amount, Receipt</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Board / Finance</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Sponsor Recognition</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Sponsor Name, Logo, Placement</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Board / Program</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Payment Processing</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Processor Token, Amount, Status</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Finance / Privacy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Administrative Exports</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Restricted</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Approved Fields, Recipient, Purpose</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Privacy / Owner</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450"/>
            <w:tcMar>
              <w:top w:w="80" w:type="dxa"/>
              <w:start w:w="120" w:type="dxa"/>
              <w:bottom w:w="80" w:type="dxa"/>
              <w:end w:w="120" w:type="dxa"/>
            </w:tcMar>
            <w:vAlign w:val="center"/>
          </w:tcPr>
          <w:p>
            <w:pPr>
              <w:spacing w:after="40" w:line="240" w:lineRule="auto"/>
            </w:pPr>
            <w:r>
              <w:rPr>
                <w:rFonts w:ascii="Calibri" w:hAnsi="Calibri"/>
                <w:color w:val="000000"/>
                <w:sz w:val="14"/>
              </w:rPr>
              <w:t>NFC / Device-Tap</w:t>
            </w:r>
          </w:p>
        </w:tc>
        <w:tc>
          <w:tcPr>
            <w:tcW w:type="dxa" w:w="1150"/>
            <w:tcMar>
              <w:top w:w="80" w:type="dxa"/>
              <w:start w:w="120" w:type="dxa"/>
              <w:bottom w:w="80" w:type="dxa"/>
              <w:end w:w="120" w:type="dxa"/>
            </w:tcMar>
            <w:vAlign w:val="center"/>
          </w:tcPr>
          <w:p>
            <w:pPr>
              <w:spacing w:after="40" w:line="240" w:lineRule="auto"/>
              <w:jc w:val="center"/>
            </w:pPr>
            <w:r>
              <w:rPr>
                <w:rFonts w:ascii="Calibri" w:hAnsi="Calibri"/>
                <w:color w:val="000000"/>
                <w:sz w:val="14"/>
              </w:rPr>
              <w:t>Off</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4"/>
              </w:rPr>
              <w:t>☐ Off ☐ Pilot ☐ Later</w:t>
            </w:r>
          </w:p>
        </w:tc>
        <w:tc>
          <w:tcPr>
            <w:tcW w:type="dxa" w:w="2300"/>
            <w:tcMar>
              <w:top w:w="80" w:type="dxa"/>
              <w:start w:w="120" w:type="dxa"/>
              <w:bottom w:w="80" w:type="dxa"/>
              <w:end w:w="120" w:type="dxa"/>
            </w:tcMar>
            <w:vAlign w:val="center"/>
          </w:tcPr>
          <w:p>
            <w:pPr>
              <w:spacing w:after="40" w:line="240" w:lineRule="auto"/>
            </w:pPr>
            <w:r>
              <w:rPr>
                <w:rFonts w:ascii="Calibri" w:hAnsi="Calibri"/>
                <w:color w:val="000000"/>
                <w:sz w:val="14"/>
              </w:rPr>
              <w:t>Device Identifier, Action, Audit</w:t>
            </w:r>
          </w:p>
        </w:tc>
        <w:tc>
          <w:tcPr>
            <w:tcW w:type="dxa" w:w="1500"/>
            <w:tcMar>
              <w:top w:w="80" w:type="dxa"/>
              <w:start w:w="120" w:type="dxa"/>
              <w:bottom w:w="80" w:type="dxa"/>
              <w:end w:w="120" w:type="dxa"/>
            </w:tcMar>
            <w:vAlign w:val="center"/>
          </w:tcPr>
          <w:p>
            <w:pPr>
              <w:spacing w:after="40" w:line="240" w:lineRule="auto"/>
            </w:pPr>
            <w:r>
              <w:rPr>
                <w:rFonts w:ascii="Calibri" w:hAnsi="Calibri"/>
                <w:color w:val="000000"/>
                <w:sz w:val="14"/>
              </w:rPr>
              <w:t>Technology / Security</w:t>
            </w:r>
          </w:p>
        </w:tc>
        <w:tc>
          <w:tcPr>
            <w:tcW w:type="dxa" w:w="161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bl>
    <w:p>
      <w:pPr>
        <w:spacing w:after="0"/>
      </w:pPr>
    </w:p>
    <w:p>
      <w:pPr>
        <w:pStyle w:val="Heading3"/>
      </w:pPr>
      <w:r>
        <w:t>Driver Eligibility and Evidence Matrix</w:t>
      </w:r>
    </w:p>
    <w:tbl>
      <w:tblPr>
        <w:tblStyle w:val="TableGrid"/>
        <w:tblW w:type="dxa" w:w="9360"/>
        <w:tblLayout w:type="fixed"/>
        <w:tblLook w:firstColumn="1" w:firstRow="1" w:lastColumn="0" w:lastRow="0" w:noHBand="0" w:noVBand="1" w:val="04A0"/>
        <w:jc w:val="left"/>
        <w:tblInd w:w="120" w:type="dxa"/>
      </w:tblPr>
      <w:tblGrid>
        <w:gridCol w:w="1700"/>
        <w:gridCol w:w="1350"/>
        <w:gridCol w:w="1800"/>
        <w:gridCol w:w="1900"/>
        <w:gridCol w:w="1250"/>
        <w:gridCol w:w="1360"/>
      </w:tblGrid>
      <w:tr>
        <w:trPr>
          <w:cantSplit/>
          <w:tblHeader w:val="true"/>
        </w:trPr>
        <w:tc>
          <w:tcPr>
            <w:tcW w:type="dxa" w:w="1700"/>
            <w:tcMar>
              <w:top w:w="80" w:type="dxa"/>
              <w:start w:w="120" w:type="dxa"/>
              <w:bottom w:w="80" w:type="dxa"/>
              <w:end w:w="120" w:type="dxa"/>
            </w:tcMar>
            <w:vAlign w:val="center"/>
            <w:shd w:fill="E8EEF5"/>
          </w:tcPr>
          <w:p>
            <w:pPr>
              <w:jc w:val="center"/>
            </w:pPr>
            <w:r>
              <w:rPr>
                <w:rFonts w:ascii="Calibri" w:hAnsi="Calibri"/>
                <w:b/>
                <w:color w:val="1F4D78"/>
                <w:sz w:val="15"/>
              </w:rPr>
              <w:t>Requirement</w:t>
            </w:r>
          </w:p>
        </w:tc>
        <w:tc>
          <w:tcPr>
            <w:tcW w:type="dxa" w:w="1350"/>
            <w:tcMar>
              <w:top w:w="80" w:type="dxa"/>
              <w:start w:w="120" w:type="dxa"/>
              <w:bottom w:w="80" w:type="dxa"/>
              <w:end w:w="120" w:type="dxa"/>
            </w:tcMar>
            <w:vAlign w:val="center"/>
            <w:shd w:fill="E8EEF5"/>
          </w:tcPr>
          <w:p>
            <w:pPr>
              <w:jc w:val="center"/>
            </w:pPr>
            <w:r>
              <w:rPr>
                <w:rFonts w:ascii="Calibri" w:hAnsi="Calibri"/>
                <w:b/>
                <w:color w:val="1F4D78"/>
                <w:sz w:val="15"/>
              </w:rPr>
              <w:t>Required for Pilot?</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5"/>
              </w:rPr>
              <w:t>Verifying Authority</w:t>
            </w:r>
          </w:p>
        </w:tc>
        <w:tc>
          <w:tcPr>
            <w:tcW w:type="dxa" w:w="1900"/>
            <w:tcMar>
              <w:top w:w="80" w:type="dxa"/>
              <w:start w:w="120" w:type="dxa"/>
              <w:bottom w:w="80" w:type="dxa"/>
              <w:end w:w="120" w:type="dxa"/>
            </w:tcMar>
            <w:vAlign w:val="center"/>
            <w:shd w:fill="E8EEF5"/>
          </w:tcPr>
          <w:p>
            <w:pPr>
              <w:jc w:val="center"/>
            </w:pPr>
            <w:r>
              <w:rPr>
                <w:rFonts w:ascii="Calibri" w:hAnsi="Calibri"/>
                <w:b/>
                <w:color w:val="1F4D78"/>
                <w:sz w:val="15"/>
              </w:rPr>
              <w:t>Stored in BandWagon</w:t>
            </w:r>
          </w:p>
        </w:tc>
        <w:tc>
          <w:tcPr>
            <w:tcW w:type="dxa" w:w="1250"/>
            <w:tcMar>
              <w:top w:w="80" w:type="dxa"/>
              <w:start w:w="120" w:type="dxa"/>
              <w:bottom w:w="80" w:type="dxa"/>
              <w:end w:w="120" w:type="dxa"/>
            </w:tcMar>
            <w:vAlign w:val="center"/>
            <w:shd w:fill="E8EEF5"/>
          </w:tcPr>
          <w:p>
            <w:pPr>
              <w:jc w:val="center"/>
            </w:pPr>
            <w:r>
              <w:rPr>
                <w:rFonts w:ascii="Calibri" w:hAnsi="Calibri"/>
                <w:b/>
                <w:color w:val="1F4D78"/>
                <w:sz w:val="15"/>
              </w:rPr>
              <w:t>Expiration / Recheck</w:t>
            </w:r>
          </w:p>
        </w:tc>
        <w:tc>
          <w:tcPr>
            <w:tcW w:type="dxa" w:w="1360"/>
            <w:tcMar>
              <w:top w:w="80" w:type="dxa"/>
              <w:start w:w="120" w:type="dxa"/>
              <w:bottom w:w="80" w:type="dxa"/>
              <w:end w:w="120" w:type="dxa"/>
            </w:tcMar>
            <w:vAlign w:val="center"/>
            <w:shd w:fill="E8EEF5"/>
          </w:tcPr>
          <w:p>
            <w:pPr>
              <w:jc w:val="center"/>
            </w:pPr>
            <w:r>
              <w:rPr>
                <w:rFonts w:ascii="Calibri" w:hAnsi="Calibri"/>
                <w:b/>
                <w:color w:val="1F4D78"/>
                <w:sz w:val="15"/>
              </w:rPr>
              <w:t>Owner / Status</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Minimum Age / Adult Parent</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Organization / Insurer</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Only</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Before Pilot / on Change</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Organization Membership</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Organization</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 Date</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At Enrollment</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Approved Volunteer-Screening Provider / Background</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Affiliated Institution / Approved Authority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 Expiration Only</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Per Authority</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Driver License</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Affiliated Institution / Organization / Insurer</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 Expiration Only</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Before Expiration</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Auto Insurance</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Organization / Insurer</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 Expiration Only</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Before Expiration</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Registration / Inspection</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Organization / Insurer</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Only if Approved</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Before Expiration</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Seat Belts / Capacity</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Driver Attestation / Organization</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Seat Count + Attestation</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At Setup / on Change</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Driver Attestation</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Organization</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Attestation + Timestamp</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At Setup / Periodic</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r>
        <w:trPr>
          <w:cantSplit/>
        </w:trPr>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Suspension / Recheck</w:t>
            </w:r>
          </w:p>
        </w:tc>
        <w:tc>
          <w:tcPr>
            <w:tcW w:type="dxa" w:w="1350"/>
            <w:tcMar>
              <w:top w:w="80" w:type="dxa"/>
              <w:start w:w="120" w:type="dxa"/>
              <w:bottom w:w="80" w:type="dxa"/>
              <w:end w:w="120" w:type="dxa"/>
            </w:tcMar>
            <w:vAlign w:val="center"/>
          </w:tcPr>
          <w:p>
            <w:pPr>
              <w:spacing w:after="40" w:line="240" w:lineRule="auto"/>
              <w:jc w:val="center"/>
            </w:pPr>
            <w:r>
              <w:rPr>
                <w:rFonts w:ascii="Calibri" w:hAnsi="Calibri"/>
                <w:color w:val="000000"/>
                <w:sz w:val="15"/>
              </w:rPr>
              <w:t>☐ Yes ☐ No</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5"/>
              </w:rPr>
              <w:t>Safety Owner / Authority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5"/>
              </w:rPr>
              <w:t>Status + Decision Record</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At Incident / Expiration</w:t>
            </w:r>
          </w:p>
        </w:tc>
        <w:tc>
          <w:tcPr>
            <w:tcW w:type="dxa" w:w="136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r>
    </w:tbl>
    <w:p>
      <w:pPr>
        <w:spacing w:after="0"/>
      </w:pPr>
    </w:p>
    <w:p>
      <w:pPr>
        <w:pStyle w:val="Heading3"/>
      </w:pPr>
      <w:r>
        <w:t>Member Communication Release Chart</w:t>
      </w:r>
    </w:p>
    <w:tbl>
      <w:tblPr>
        <w:tblStyle w:val="TableGrid"/>
        <w:tblW w:type="dxa" w:w="9360"/>
        <w:tblLayout w:type="fixed"/>
        <w:tblLook w:firstColumn="1" w:firstRow="1" w:lastColumn="0" w:lastRow="0" w:noHBand="0" w:noVBand="1" w:val="04A0"/>
        <w:jc w:val="left"/>
        <w:tblInd w:w="120" w:type="dxa"/>
      </w:tblPr>
      <w:tblGrid>
        <w:gridCol w:w="1200"/>
        <w:gridCol w:w="1700"/>
        <w:gridCol w:w="3000"/>
        <w:gridCol w:w="1450"/>
        <w:gridCol w:w="1100"/>
        <w:gridCol w:w="910"/>
      </w:tblGrid>
      <w:tr>
        <w:trPr>
          <w:cantSplit/>
          <w:tblHeader w:val="true"/>
        </w:trPr>
        <w:tc>
          <w:tcPr>
            <w:tcW w:type="dxa" w:w="1200"/>
            <w:tcMar>
              <w:top w:w="80" w:type="dxa"/>
              <w:start w:w="120" w:type="dxa"/>
              <w:bottom w:w="80" w:type="dxa"/>
              <w:end w:w="120" w:type="dxa"/>
            </w:tcMar>
            <w:vAlign w:val="center"/>
            <w:shd w:fill="E8EEF5"/>
          </w:tcPr>
          <w:p>
            <w:pPr>
              <w:jc w:val="center"/>
            </w:pPr>
            <w:r>
              <w:rPr>
                <w:rFonts w:ascii="Calibri" w:hAnsi="Calibri"/>
                <w:b/>
                <w:color w:val="1F4D78"/>
                <w:sz w:val="15"/>
              </w:rPr>
              <w:t>Audience</w:t>
            </w:r>
          </w:p>
        </w:tc>
        <w:tc>
          <w:tcPr>
            <w:tcW w:type="dxa" w:w="1700"/>
            <w:tcMar>
              <w:top w:w="80" w:type="dxa"/>
              <w:start w:w="120" w:type="dxa"/>
              <w:bottom w:w="80" w:type="dxa"/>
              <w:end w:w="120" w:type="dxa"/>
            </w:tcMar>
            <w:vAlign w:val="center"/>
            <w:shd w:fill="E8EEF5"/>
          </w:tcPr>
          <w:p>
            <w:pPr>
              <w:jc w:val="center"/>
            </w:pPr>
            <w:r>
              <w:rPr>
                <w:rFonts w:ascii="Calibri" w:hAnsi="Calibri"/>
                <w:b/>
                <w:color w:val="1F4D78"/>
                <w:sz w:val="15"/>
              </w:rPr>
              <w:t>Communication</w:t>
            </w:r>
          </w:p>
        </w:tc>
        <w:tc>
          <w:tcPr>
            <w:tcW w:type="dxa" w:w="3000"/>
            <w:tcMar>
              <w:top w:w="80" w:type="dxa"/>
              <w:start w:w="120" w:type="dxa"/>
              <w:bottom w:w="80" w:type="dxa"/>
              <w:end w:w="120" w:type="dxa"/>
            </w:tcMar>
            <w:vAlign w:val="center"/>
            <w:shd w:fill="E8EEF5"/>
          </w:tcPr>
          <w:p>
            <w:pPr>
              <w:jc w:val="center"/>
            </w:pPr>
            <w:r>
              <w:rPr>
                <w:rFonts w:ascii="Calibri" w:hAnsi="Calibri"/>
                <w:b/>
                <w:color w:val="1F4D78"/>
                <w:sz w:val="15"/>
              </w:rPr>
              <w:t>Minimum Required Content</w:t>
            </w:r>
          </w:p>
        </w:tc>
        <w:tc>
          <w:tcPr>
            <w:tcW w:type="dxa" w:w="1450"/>
            <w:tcMar>
              <w:top w:w="80" w:type="dxa"/>
              <w:start w:w="120" w:type="dxa"/>
              <w:bottom w:w="80" w:type="dxa"/>
              <w:end w:w="120" w:type="dxa"/>
            </w:tcMar>
            <w:vAlign w:val="center"/>
            <w:shd w:fill="E8EEF5"/>
          </w:tcPr>
          <w:p>
            <w:pPr>
              <w:jc w:val="center"/>
            </w:pPr>
            <w:r>
              <w:rPr>
                <w:rFonts w:ascii="Calibri" w:hAnsi="Calibri"/>
                <w:b/>
                <w:color w:val="1F4D78"/>
                <w:sz w:val="15"/>
              </w:rPr>
              <w:t>Channel / Timing</w:t>
            </w:r>
          </w:p>
        </w:tc>
        <w:tc>
          <w:tcPr>
            <w:tcW w:type="dxa" w:w="1100"/>
            <w:tcMar>
              <w:top w:w="80" w:type="dxa"/>
              <w:start w:w="120" w:type="dxa"/>
              <w:bottom w:w="80" w:type="dxa"/>
              <w:end w:w="120" w:type="dxa"/>
            </w:tcMar>
            <w:vAlign w:val="center"/>
            <w:shd w:fill="E8EEF5"/>
          </w:tcPr>
          <w:p>
            <w:pPr>
              <w:jc w:val="center"/>
            </w:pPr>
            <w:r>
              <w:rPr>
                <w:rFonts w:ascii="Calibri" w:hAnsi="Calibri"/>
                <w:b/>
                <w:color w:val="1F4D78"/>
                <w:sz w:val="15"/>
              </w:rPr>
              <w:t>Owner</w:t>
            </w:r>
          </w:p>
        </w:tc>
        <w:tc>
          <w:tcPr>
            <w:tcW w:type="dxa" w:w="910"/>
            <w:tcMar>
              <w:top w:w="80" w:type="dxa"/>
              <w:start w:w="120" w:type="dxa"/>
              <w:bottom w:w="80" w:type="dxa"/>
              <w:end w:w="120" w:type="dxa"/>
            </w:tcMar>
            <w:vAlign w:val="center"/>
            <w:shd w:fill="E8EEF5"/>
          </w:tcPr>
          <w:p>
            <w:pPr>
              <w:jc w:val="center"/>
            </w:pPr>
            <w:r>
              <w:rPr>
                <w:rFonts w:ascii="Calibri" w:hAnsi="Calibri"/>
                <w:b/>
                <w:color w:val="1F4D78"/>
                <w:sz w:val="15"/>
              </w:rPr>
              <w:t>Approved</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Invited Adults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Parent Invitation</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Voluntary Use, Scope, Not Affiliated Institution Transportation, Support Contact</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Enrollment</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Parents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Privacy Notice and Consent</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Fields, Purposes, Visibility, Choices, Retention, Rights</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Collection</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Students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Student Notice</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Parent Control, Limited Actions, Safety, No Independent Approval</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Access</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Drivers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Driver Attestation and Rules</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Eligibility, Evidence, Vehicle Duties, Incident and Suspension Rules</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Offers</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SMS Users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SMS Disclosure</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Opt-in, Transactional Purpose, STOP / HELP, Alternatives</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First Text</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Contributors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Voluntary Support Notice</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Optional, No Benefit Change, Recipient, Receipt, Refund Terms</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Payment</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All Participants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Support and Incident Contacts</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Emergency First Step, Safety, Privacy, Technical Contacts</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At Launch / in App</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r>
        <w:trPr>
          <w:cantSplit/>
        </w:trPr>
        <w:tc>
          <w:tcPr>
            <w:tcW w:type="dxa" w:w="1200"/>
            <w:tcMar>
              <w:top w:w="80" w:type="dxa"/>
              <w:start w:w="120" w:type="dxa"/>
              <w:bottom w:w="80" w:type="dxa"/>
              <w:end w:w="120" w:type="dxa"/>
            </w:tcMar>
            <w:vAlign w:val="center"/>
          </w:tcPr>
          <w:p>
            <w:pPr>
              <w:spacing w:after="40" w:line="240" w:lineRule="auto"/>
            </w:pPr>
            <w:r>
              <w:rPr>
                <w:rFonts w:ascii="Calibri" w:hAnsi="Calibri"/>
                <w:color w:val="000000"/>
                <w:sz w:val="15"/>
              </w:rPr>
              <w:t>Affected Users</w:t>
            </w:r>
          </w:p>
        </w:tc>
        <w:tc>
          <w:tcPr>
            <w:tcW w:type="dxa" w:w="1700"/>
            <w:tcMar>
              <w:top w:w="80" w:type="dxa"/>
              <w:start w:w="120" w:type="dxa"/>
              <w:bottom w:w="80" w:type="dxa"/>
              <w:end w:w="120" w:type="dxa"/>
            </w:tcMar>
            <w:vAlign w:val="center"/>
          </w:tcPr>
          <w:p>
            <w:pPr>
              <w:spacing w:after="40" w:line="240" w:lineRule="auto"/>
            </w:pPr>
            <w:r>
              <w:rPr>
                <w:rFonts w:ascii="Calibri" w:hAnsi="Calibri"/>
                <w:color w:val="000000"/>
                <w:sz w:val="15"/>
              </w:rPr>
              <w:t>Material Change Notice</w:t>
            </w:r>
          </w:p>
        </w:tc>
        <w:tc>
          <w:tcPr>
            <w:tcW w:type="dxa" w:w="3000"/>
            <w:tcMar>
              <w:top w:w="80" w:type="dxa"/>
              <w:start w:w="120" w:type="dxa"/>
              <w:bottom w:w="80" w:type="dxa"/>
              <w:end w:w="120" w:type="dxa"/>
            </w:tcMar>
            <w:vAlign w:val="center"/>
          </w:tcPr>
          <w:p>
            <w:pPr>
              <w:spacing w:after="40" w:line="240" w:lineRule="auto"/>
            </w:pPr>
            <w:r>
              <w:rPr>
                <w:rFonts w:ascii="Calibri" w:hAnsi="Calibri"/>
                <w:color w:val="000000"/>
                <w:sz w:val="15"/>
              </w:rPr>
              <w:t>What Changed, Effective Date, New Data / Provider / Choice</w:t>
            </w:r>
          </w:p>
        </w:tc>
        <w:tc>
          <w:tcPr>
            <w:tcW w:type="dxa" w:w="1450"/>
            <w:tcMar>
              <w:top w:w="80" w:type="dxa"/>
              <w:start w:w="120" w:type="dxa"/>
              <w:bottom w:w="80" w:type="dxa"/>
              <w:end w:w="120" w:type="dxa"/>
            </w:tcMar>
            <w:vAlign w:val="center"/>
          </w:tcPr>
          <w:p>
            <w:pPr>
              <w:spacing w:after="40" w:line="240" w:lineRule="auto"/>
            </w:pPr>
            <w:r>
              <w:rPr>
                <w:rFonts w:ascii="Calibri" w:hAnsi="Calibri"/>
                <w:color w:val="000000"/>
                <w:sz w:val="15"/>
              </w:rPr>
              <w:t>Before Change</w:t>
            </w:r>
          </w:p>
        </w:tc>
        <w:tc>
          <w:tcPr>
            <w:tcW w:type="dxa" w:w="1100"/>
            <w:tcMar>
              <w:top w:w="80" w:type="dxa"/>
              <w:start w:w="120" w:type="dxa"/>
              <w:bottom w:w="80" w:type="dxa"/>
              <w:end w:w="120" w:type="dxa"/>
            </w:tcMar>
            <w:vAlign w:val="center"/>
          </w:tcPr>
          <w:p>
            <w:pPr>
              <w:spacing w:after="40" w:line="240" w:lineRule="auto"/>
            </w:pPr>
            <w:r>
              <w:rPr>
                <w:rFonts w:ascii="Calibri" w:hAnsi="Calibri"/>
                <w:color w:val="000000"/>
                <w:sz w:val="15"/>
              </w:rPr>
              <w:t>TBD</w:t>
            </w:r>
          </w:p>
        </w:tc>
        <w:tc>
          <w:tcPr>
            <w:tcW w:type="dxa" w:w="910"/>
            <w:tcMar>
              <w:top w:w="80" w:type="dxa"/>
              <w:start w:w="120" w:type="dxa"/>
              <w:bottom w:w="80" w:type="dxa"/>
              <w:end w:w="120" w:type="dxa"/>
            </w:tcMar>
            <w:vAlign w:val="center"/>
          </w:tcPr>
          <w:p>
            <w:pPr>
              <w:spacing w:after="40" w:line="240" w:lineRule="auto"/>
              <w:jc w:val="center"/>
            </w:pPr>
            <w:r>
              <w:rPr>
                <w:rFonts w:ascii="Calibri" w:hAnsi="Calibri"/>
                <w:color w:val="000000"/>
                <w:sz w:val="15"/>
              </w:rPr>
              <w:t>☐</w:t>
            </w:r>
          </w:p>
        </w:tc>
      </w:tr>
    </w:tbl>
    <w:p>
      <w:pPr>
        <w:spacing w:after="0"/>
      </w:pPr>
    </w:p>
    <w:p>
      <w:pPr>
        <w:pStyle w:val="Heading3"/>
      </w:pPr>
      <w:r>
        <w:t>Data Visibility Review Matrix</w:t>
      </w:r>
    </w:p>
    <w:tbl>
      <w:tblPr>
        <w:tblStyle w:val="TableGrid"/>
        <w:tblW w:type="dxa" w:w="9360"/>
        <w:tblLayout w:type="fixed"/>
        <w:tblLook w:firstColumn="1" w:firstRow="1" w:lastColumn="0" w:lastRow="0" w:noHBand="0" w:noVBand="1" w:val="04A0"/>
        <w:jc w:val="left"/>
        <w:tblInd w:w="120" w:type="dxa"/>
      </w:tblPr>
      <w:tblGrid>
        <w:gridCol w:w="1300"/>
        <w:gridCol w:w="1800"/>
        <w:gridCol w:w="1800"/>
        <w:gridCol w:w="1900"/>
        <w:gridCol w:w="1100"/>
        <w:gridCol w:w="1460"/>
      </w:tblGrid>
      <w:tr>
        <w:trPr>
          <w:cantSplit/>
          <w:tblHeader w:val="true"/>
        </w:trPr>
        <w:tc>
          <w:tcPr>
            <w:tcW w:type="dxa" w:w="1300"/>
            <w:tcMar>
              <w:top w:w="80" w:type="dxa"/>
              <w:start w:w="120" w:type="dxa"/>
              <w:bottom w:w="80" w:type="dxa"/>
              <w:end w:w="120" w:type="dxa"/>
            </w:tcMar>
            <w:vAlign w:val="center"/>
            <w:shd w:fill="E8EEF5"/>
          </w:tcPr>
          <w:p>
            <w:pPr>
              <w:jc w:val="center"/>
            </w:pPr>
            <w:r>
              <w:rPr>
                <w:rFonts w:ascii="Calibri" w:hAnsi="Calibri"/>
                <w:b/>
                <w:color w:val="1F4D78"/>
                <w:sz w:val="14"/>
              </w:rPr>
              <w:t>Role</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Approximate / Pre-Match</w:t>
            </w:r>
          </w:p>
        </w:tc>
        <w:tc>
          <w:tcPr>
            <w:tcW w:type="dxa" w:w="1800"/>
            <w:tcMar>
              <w:top w:w="80" w:type="dxa"/>
              <w:start w:w="120" w:type="dxa"/>
              <w:bottom w:w="80" w:type="dxa"/>
              <w:end w:w="120" w:type="dxa"/>
            </w:tcMar>
            <w:vAlign w:val="center"/>
            <w:shd w:fill="E8EEF5"/>
          </w:tcPr>
          <w:p>
            <w:pPr>
              <w:jc w:val="center"/>
            </w:pPr>
            <w:r>
              <w:rPr>
                <w:rFonts w:ascii="Calibri" w:hAnsi="Calibri"/>
                <w:b/>
                <w:color w:val="1F4D78"/>
                <w:sz w:val="14"/>
              </w:rPr>
              <w:t>Exact / Confirmed Ride</w:t>
            </w:r>
          </w:p>
        </w:tc>
        <w:tc>
          <w:tcPr>
            <w:tcW w:type="dxa" w:w="1900"/>
            <w:tcMar>
              <w:top w:w="80" w:type="dxa"/>
              <w:start w:w="120" w:type="dxa"/>
              <w:bottom w:w="80" w:type="dxa"/>
              <w:end w:w="120" w:type="dxa"/>
            </w:tcMar>
            <w:vAlign w:val="center"/>
            <w:shd w:fill="E8EEF5"/>
          </w:tcPr>
          <w:p>
            <w:pPr>
              <w:jc w:val="center"/>
            </w:pPr>
            <w:r>
              <w:rPr>
                <w:rFonts w:ascii="Calibri" w:hAnsi="Calibri"/>
                <w:b/>
                <w:color w:val="1F4D78"/>
                <w:sz w:val="14"/>
              </w:rPr>
              <w:t>Administrative / Incident</w:t>
            </w:r>
          </w:p>
        </w:tc>
        <w:tc>
          <w:tcPr>
            <w:tcW w:type="dxa" w:w="1100"/>
            <w:tcMar>
              <w:top w:w="80" w:type="dxa"/>
              <w:start w:w="120" w:type="dxa"/>
              <w:bottom w:w="80" w:type="dxa"/>
              <w:end w:w="120" w:type="dxa"/>
            </w:tcMar>
            <w:vAlign w:val="center"/>
            <w:shd w:fill="E8EEF5"/>
          </w:tcPr>
          <w:p>
            <w:pPr>
              <w:jc w:val="center"/>
            </w:pPr>
            <w:r>
              <w:rPr>
                <w:rFonts w:ascii="Calibri" w:hAnsi="Calibri"/>
                <w:b/>
                <w:color w:val="1F4D78"/>
                <w:sz w:val="14"/>
              </w:rPr>
              <w:t>Financial</w:t>
            </w:r>
          </w:p>
        </w:tc>
        <w:tc>
          <w:tcPr>
            <w:tcW w:type="dxa" w:w="1460"/>
            <w:tcMar>
              <w:top w:w="80" w:type="dxa"/>
              <w:start w:w="120" w:type="dxa"/>
              <w:bottom w:w="80" w:type="dxa"/>
              <w:end w:w="120" w:type="dxa"/>
            </w:tcMar>
            <w:vAlign w:val="center"/>
            <w:shd w:fill="E8EEF5"/>
          </w:tcPr>
          <w:p>
            <w:pPr>
              <w:jc w:val="center"/>
            </w:pPr>
            <w:r>
              <w:rPr>
                <w:rFonts w:ascii="Calibri" w:hAnsi="Calibri"/>
                <w:b/>
                <w:color w:val="1F4D78"/>
                <w:sz w:val="14"/>
              </w:rPr>
              <w:t>Approval Notes</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Parent / Household Manager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Own Household + Approved Request Preview</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Own Confirmed Ride Details</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Own Reports and Requests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Own Contribution Records</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Student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Approved Limited View Only</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Parent-Approved Ride Details Only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No Administrative Access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None</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Adult Driver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Eligible Request Preview</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Accepted Ride Logistics Only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Own Offers / Reports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Own Contribution Records</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Organization Operational Admin</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Membership and Operational Status</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Minimum Needed for Assigned Support</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Approved Operational Records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None</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Organization Safety Owner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Eligibility / Block Status</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Incident-Specific Details as Needed</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Restricted Safety Case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None</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Organization Privacy Contact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Field and Consent Status</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Specific Record for Verified Request</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Privacy Request / Incident</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Limited if Request Requires</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Platform Support</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Tenant and Account Metadata</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Time-Limited Support Access Only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Ticket-Specific Logs</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Processor Status Only</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Platform Security</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Security Metadata</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Incident-Required Access Only</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Security Logs / Evidence</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No Routine Access</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Funding / Finance</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None</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None</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Funding Administration Only</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Limited Transaction / Receipt</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r>
        <w:trPr>
          <w:cantSplit/>
        </w:trPr>
        <w:tc>
          <w:tcPr>
            <w:tcW w:type="dxa" w:w="1300"/>
            <w:tcMar>
              <w:top w:w="80" w:type="dxa"/>
              <w:start w:w="120" w:type="dxa"/>
              <w:bottom w:w="80" w:type="dxa"/>
              <w:end w:w="120" w:type="dxa"/>
            </w:tcMar>
            <w:vAlign w:val="center"/>
          </w:tcPr>
          <w:p>
            <w:pPr>
              <w:spacing w:after="40" w:line="240" w:lineRule="auto"/>
            </w:pPr>
            <w:r>
              <w:rPr>
                <w:rFonts w:ascii="Calibri" w:hAnsi="Calibri"/>
                <w:color w:val="000000"/>
                <w:sz w:val="14"/>
              </w:rPr>
              <w:t>Outside Sponsor</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None</w:t>
            </w:r>
          </w:p>
        </w:tc>
        <w:tc>
          <w:tcPr>
            <w:tcW w:type="dxa" w:w="1800"/>
            <w:tcMar>
              <w:top w:w="80" w:type="dxa"/>
              <w:start w:w="120" w:type="dxa"/>
              <w:bottom w:w="80" w:type="dxa"/>
              <w:end w:w="120" w:type="dxa"/>
            </w:tcMar>
            <w:vAlign w:val="center"/>
          </w:tcPr>
          <w:p>
            <w:pPr>
              <w:spacing w:after="40" w:line="240" w:lineRule="auto"/>
            </w:pPr>
            <w:r>
              <w:rPr>
                <w:rFonts w:ascii="Calibri" w:hAnsi="Calibri"/>
                <w:color w:val="000000"/>
                <w:sz w:val="14"/>
              </w:rPr>
              <w:t>None</w:t>
            </w:r>
          </w:p>
        </w:tc>
        <w:tc>
          <w:tcPr>
            <w:tcW w:type="dxa" w:w="1900"/>
            <w:tcMar>
              <w:top w:w="80" w:type="dxa"/>
              <w:start w:w="120" w:type="dxa"/>
              <w:bottom w:w="80" w:type="dxa"/>
              <w:end w:w="120" w:type="dxa"/>
            </w:tcMar>
            <w:vAlign w:val="center"/>
          </w:tcPr>
          <w:p>
            <w:pPr>
              <w:spacing w:after="40" w:line="240" w:lineRule="auto"/>
            </w:pPr>
            <w:r>
              <w:rPr>
                <w:rFonts w:ascii="Calibri" w:hAnsi="Calibri"/>
                <w:color w:val="000000"/>
                <w:sz w:val="14"/>
              </w:rPr>
              <w:t>No Participant or Ride Data</w:t>
            </w:r>
          </w:p>
        </w:tc>
        <w:tc>
          <w:tcPr>
            <w:tcW w:type="dxa" w:w="1100"/>
            <w:tcMar>
              <w:top w:w="80" w:type="dxa"/>
              <w:start w:w="120" w:type="dxa"/>
              <w:bottom w:w="80" w:type="dxa"/>
              <w:end w:w="120" w:type="dxa"/>
            </w:tcMar>
            <w:vAlign w:val="center"/>
          </w:tcPr>
          <w:p>
            <w:pPr>
              <w:spacing w:after="40" w:line="240" w:lineRule="auto"/>
              <w:jc w:val="center"/>
            </w:pPr>
            <w:r>
              <w:rPr>
                <w:rFonts w:ascii="Calibri" w:hAnsi="Calibri"/>
                <w:color w:val="000000"/>
                <w:sz w:val="14"/>
              </w:rPr>
              <w:t>Aggregate Recognition Record Only</w:t>
            </w:r>
          </w:p>
        </w:tc>
        <w:tc>
          <w:tcPr>
            <w:tcW w:type="dxa" w:w="1460"/>
            <w:tcMar>
              <w:top w:w="80" w:type="dxa"/>
              <w:start w:w="120" w:type="dxa"/>
              <w:bottom w:w="80" w:type="dxa"/>
              <w:end w:w="120" w:type="dxa"/>
            </w:tcMar>
            <w:vAlign w:val="center"/>
          </w:tcPr>
          <w:p>
            <w:pPr>
              <w:spacing w:after="40" w:line="240" w:lineRule="auto"/>
            </w:pPr>
            <w:r>
              <w:rPr>
                <w:rFonts w:ascii="Calibri" w:hAnsi="Calibri"/>
                <w:color w:val="000000"/>
                <w:sz w:val="14"/>
              </w:rPr>
              <w:t>________________</w:t>
            </w:r>
          </w:p>
        </w:tc>
      </w:tr>
    </w:tbl>
    <w:p>
      <w:pPr>
        <w:spacing w:after="0"/>
      </w:pPr>
    </w:p>
    <w:p>
      <w:pPr>
        <w:pStyle w:val="Heading3"/>
        <w:pageBreakBefore/>
      </w:pPr>
      <w:r>
        <w:t>Condition and Evidence Register</w:t>
      </w:r>
    </w:p>
    <w:tbl>
      <w:tblPr>
        <w:tblStyle w:val="TableGrid"/>
        <w:tblW w:type="dxa" w:w="9360"/>
        <w:tblLayout w:type="fixed"/>
        <w:tblLook w:firstColumn="1" w:firstRow="1" w:lastColumn="0" w:lastRow="0" w:noHBand="0" w:noVBand="1" w:val="04A0"/>
        <w:jc w:val="left"/>
        <w:tblInd w:w="120" w:type="dxa"/>
      </w:tblPr>
      <w:tblGrid>
        <w:gridCol w:w="650"/>
        <w:gridCol w:w="2900"/>
        <w:gridCol w:w="1300"/>
        <w:gridCol w:w="850"/>
        <w:gridCol w:w="1550"/>
        <w:gridCol w:w="1250"/>
        <w:gridCol w:w="860"/>
      </w:tblGrid>
      <w:tr>
        <w:trPr>
          <w:cantSplit/>
          <w:tblHeader w:val="true"/>
        </w:trPr>
        <w:tc>
          <w:tcPr>
            <w:tcW w:type="dxa" w:w="650"/>
            <w:tcMar>
              <w:top w:w="80" w:type="dxa"/>
              <w:start w:w="120" w:type="dxa"/>
              <w:bottom w:w="80" w:type="dxa"/>
              <w:end w:w="120" w:type="dxa"/>
            </w:tcMar>
            <w:vAlign w:val="center"/>
            <w:shd w:fill="E8EEF5"/>
          </w:tcPr>
          <w:p>
            <w:pPr>
              <w:jc w:val="center"/>
            </w:pPr>
            <w:r>
              <w:rPr>
                <w:rFonts w:ascii="Calibri" w:hAnsi="Calibri"/>
                <w:b/>
                <w:color w:val="1F4D78"/>
                <w:sz w:val="15"/>
              </w:rPr>
              <w:t>ID</w:t>
            </w:r>
          </w:p>
        </w:tc>
        <w:tc>
          <w:tcPr>
            <w:tcW w:type="dxa" w:w="2900"/>
            <w:tcMar>
              <w:top w:w="80" w:type="dxa"/>
              <w:start w:w="120" w:type="dxa"/>
              <w:bottom w:w="80" w:type="dxa"/>
              <w:end w:w="120" w:type="dxa"/>
            </w:tcMar>
            <w:vAlign w:val="center"/>
            <w:shd w:fill="E8EEF5"/>
          </w:tcPr>
          <w:p>
            <w:pPr>
              <w:jc w:val="center"/>
            </w:pPr>
            <w:r>
              <w:rPr>
                <w:rFonts w:ascii="Calibri" w:hAnsi="Calibri"/>
                <w:b/>
                <w:color w:val="1F4D78"/>
                <w:sz w:val="15"/>
              </w:rPr>
              <w:t>Condition / Required Change</w:t>
            </w:r>
          </w:p>
        </w:tc>
        <w:tc>
          <w:tcPr>
            <w:tcW w:type="dxa" w:w="1300"/>
            <w:tcMar>
              <w:top w:w="80" w:type="dxa"/>
              <w:start w:w="120" w:type="dxa"/>
              <w:bottom w:w="80" w:type="dxa"/>
              <w:end w:w="120" w:type="dxa"/>
            </w:tcMar>
            <w:vAlign w:val="center"/>
            <w:shd w:fill="E8EEF5"/>
          </w:tcPr>
          <w:p>
            <w:pPr>
              <w:jc w:val="center"/>
            </w:pPr>
            <w:r>
              <w:rPr>
                <w:rFonts w:ascii="Calibri" w:hAnsi="Calibri"/>
                <w:b/>
                <w:color w:val="1F4D78"/>
                <w:sz w:val="15"/>
              </w:rPr>
              <w:t>Owner</w:t>
            </w:r>
          </w:p>
        </w:tc>
        <w:tc>
          <w:tcPr>
            <w:tcW w:type="dxa" w:w="850"/>
            <w:tcMar>
              <w:top w:w="80" w:type="dxa"/>
              <w:start w:w="120" w:type="dxa"/>
              <w:bottom w:w="80" w:type="dxa"/>
              <w:end w:w="120" w:type="dxa"/>
            </w:tcMar>
            <w:vAlign w:val="center"/>
            <w:shd w:fill="E8EEF5"/>
          </w:tcPr>
          <w:p>
            <w:pPr>
              <w:jc w:val="center"/>
            </w:pPr>
            <w:r>
              <w:rPr>
                <w:rFonts w:ascii="Calibri" w:hAnsi="Calibri"/>
                <w:b/>
                <w:color w:val="1F4D78"/>
                <w:sz w:val="15"/>
              </w:rPr>
              <w:t>Due</w:t>
            </w:r>
          </w:p>
        </w:tc>
        <w:tc>
          <w:tcPr>
            <w:tcW w:type="dxa" w:w="1550"/>
            <w:tcMar>
              <w:top w:w="80" w:type="dxa"/>
              <w:start w:w="120" w:type="dxa"/>
              <w:bottom w:w="80" w:type="dxa"/>
              <w:end w:w="120" w:type="dxa"/>
            </w:tcMar>
            <w:vAlign w:val="center"/>
            <w:shd w:fill="E8EEF5"/>
          </w:tcPr>
          <w:p>
            <w:pPr>
              <w:jc w:val="center"/>
            </w:pPr>
            <w:r>
              <w:rPr>
                <w:rFonts w:ascii="Calibri" w:hAnsi="Calibri"/>
                <w:b/>
                <w:color w:val="1F4D78"/>
                <w:sz w:val="15"/>
              </w:rPr>
              <w:t>Evidence Reference</w:t>
            </w:r>
          </w:p>
        </w:tc>
        <w:tc>
          <w:tcPr>
            <w:tcW w:type="dxa" w:w="1250"/>
            <w:tcMar>
              <w:top w:w="80" w:type="dxa"/>
              <w:start w:w="120" w:type="dxa"/>
              <w:bottom w:w="80" w:type="dxa"/>
              <w:end w:w="120" w:type="dxa"/>
            </w:tcMar>
            <w:vAlign w:val="center"/>
            <w:shd w:fill="E8EEF5"/>
          </w:tcPr>
          <w:p>
            <w:pPr>
              <w:jc w:val="center"/>
            </w:pPr>
            <w:r>
              <w:rPr>
                <w:rFonts w:ascii="Calibri" w:hAnsi="Calibri"/>
                <w:b/>
                <w:color w:val="1F4D78"/>
                <w:sz w:val="15"/>
              </w:rPr>
              <w:t>Reviewer</w:t>
            </w:r>
          </w:p>
        </w:tc>
        <w:tc>
          <w:tcPr>
            <w:tcW w:type="dxa" w:w="860"/>
            <w:tcMar>
              <w:top w:w="80" w:type="dxa"/>
              <w:start w:w="120" w:type="dxa"/>
              <w:bottom w:w="80" w:type="dxa"/>
              <w:end w:w="120" w:type="dxa"/>
            </w:tcMar>
            <w:vAlign w:val="center"/>
            <w:shd w:fill="E8EEF5"/>
          </w:tcPr>
          <w:p>
            <w:pPr>
              <w:jc w:val="center"/>
            </w:pPr>
            <w:r>
              <w:rPr>
                <w:rFonts w:ascii="Calibri" w:hAnsi="Calibri"/>
                <w:b/>
                <w:color w:val="1F4D78"/>
                <w:sz w:val="15"/>
              </w:rPr>
              <w:t>Status</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C-01</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C-02</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C-03</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C-04</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C-05</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C-06</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C-07</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r>
        <w:trPr>
          <w:cantSplit/>
        </w:trPr>
        <w:tc>
          <w:tcPr>
            <w:tcW w:type="dxa" w:w="650"/>
            <w:tcMar>
              <w:top w:w="80" w:type="dxa"/>
              <w:start w:w="120" w:type="dxa"/>
              <w:bottom w:w="80" w:type="dxa"/>
              <w:end w:w="120" w:type="dxa"/>
            </w:tcMar>
            <w:vAlign w:val="center"/>
          </w:tcPr>
          <w:p>
            <w:pPr>
              <w:spacing w:after="40" w:line="240" w:lineRule="auto"/>
              <w:jc w:val="center"/>
            </w:pPr>
            <w:r>
              <w:rPr>
                <w:rFonts w:ascii="Calibri" w:hAnsi="Calibri"/>
                <w:color w:val="000000"/>
                <w:sz w:val="15"/>
              </w:rPr>
              <w:t>C-08</w:t>
            </w:r>
          </w:p>
        </w:tc>
        <w:tc>
          <w:tcPr>
            <w:tcW w:type="dxa" w:w="2900"/>
            <w:tcMar>
              <w:top w:w="80" w:type="dxa"/>
              <w:start w:w="120" w:type="dxa"/>
              <w:bottom w:w="80" w:type="dxa"/>
              <w:end w:w="120" w:type="dxa"/>
            </w:tcMar>
            <w:vAlign w:val="center"/>
          </w:tcPr>
          <w:p>
            <w:pPr>
              <w:spacing w:after="40" w:line="240" w:lineRule="auto"/>
            </w:pPr>
            <w:r>
              <w:rPr>
                <w:rFonts w:ascii="Calibri" w:hAnsi="Calibri"/>
                <w:color w:val="000000"/>
                <w:sz w:val="15"/>
              </w:rPr>
              <w:t>________________________________</w:t>
            </w:r>
          </w:p>
        </w:tc>
        <w:tc>
          <w:tcPr>
            <w:tcW w:type="dxa" w:w="130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50"/>
            <w:tcMar>
              <w:top w:w="80" w:type="dxa"/>
              <w:start w:w="120" w:type="dxa"/>
              <w:bottom w:w="80" w:type="dxa"/>
              <w:end w:w="120" w:type="dxa"/>
            </w:tcMar>
            <w:vAlign w:val="center"/>
          </w:tcPr>
          <w:p>
            <w:pPr>
              <w:spacing w:after="40" w:line="240" w:lineRule="auto"/>
              <w:jc w:val="center"/>
            </w:pPr>
            <w:r>
              <w:rPr>
                <w:rFonts w:ascii="Calibri" w:hAnsi="Calibri"/>
                <w:color w:val="000000"/>
                <w:sz w:val="15"/>
              </w:rPr>
              <w:t>________</w:t>
            </w:r>
          </w:p>
        </w:tc>
        <w:tc>
          <w:tcPr>
            <w:tcW w:type="dxa" w:w="15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1250"/>
            <w:tcMar>
              <w:top w:w="80" w:type="dxa"/>
              <w:start w:w="120" w:type="dxa"/>
              <w:bottom w:w="80" w:type="dxa"/>
              <w:end w:w="120" w:type="dxa"/>
            </w:tcMar>
            <w:vAlign w:val="center"/>
          </w:tcPr>
          <w:p>
            <w:pPr>
              <w:spacing w:after="40" w:line="240" w:lineRule="auto"/>
            </w:pPr>
            <w:r>
              <w:rPr>
                <w:rFonts w:ascii="Calibri" w:hAnsi="Calibri"/>
                <w:color w:val="000000"/>
                <w:sz w:val="15"/>
              </w:rPr>
              <w:t>________________</w:t>
            </w:r>
          </w:p>
        </w:tc>
        <w:tc>
          <w:tcPr>
            <w:tcW w:type="dxa" w:w="860"/>
            <w:tcMar>
              <w:top w:w="80" w:type="dxa"/>
              <w:start w:w="120" w:type="dxa"/>
              <w:bottom w:w="80" w:type="dxa"/>
              <w:end w:w="120" w:type="dxa"/>
            </w:tcMar>
            <w:vAlign w:val="center"/>
          </w:tcPr>
          <w:p>
            <w:pPr>
              <w:spacing w:after="40" w:line="240" w:lineRule="auto"/>
              <w:jc w:val="center"/>
            </w:pPr>
            <w:r>
              <w:rPr>
                <w:rFonts w:ascii="Calibri" w:hAnsi="Calibri"/>
                <w:color w:val="000000"/>
                <w:sz w:val="15"/>
              </w:rPr>
              <w:t>Open</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AF4EA"/>
          </w:tcPr>
          <w:p>
            <w:pPr>
              <w:spacing w:after="40"/>
            </w:pPr>
            <w:r>
              <w:rPr>
                <w:rFonts w:ascii="Calibri" w:hAnsi="Calibri"/>
                <w:b/>
                <w:color w:val="1F4D78"/>
              </w:rPr>
              <w:t xml:space="preserve">Launch Rule: </w:t>
            </w:r>
            <w:r>
              <w:rPr>
                <w:rFonts w:ascii="Calibri" w:hAnsi="Calibri"/>
                <w:color w:val="000000"/>
              </w:rPr>
              <w:t>This Proposal Is Not Approval to Launch. Attach Every Required Official Decision, Close Every Blocking Condition, Confirm That Production Matches the Reviewed Feature and Data Registries, and Obtain the Named Go / No-Go Owner’s Authorization Before Enabling the Pilot.</w:t>
            </w:r>
          </w:p>
        </w:tc>
      </w:tr>
    </w:tbl>
    <w:p>
      <w:pPr>
        <w:spacing w:after="0"/>
      </w:pPr>
    </w:p>
    <w:sectPr w:rsidR="00FC693F" w:rsidRPr="0006063C" w:rsidSect="00034616">
      <w:headerReference w:type="default" r:id="rId10"/>
      <w:footerReference w:type="default" r:id="rId11"/>
      <w:pgSz w:w="12240" w:h="15840"/>
      <w:pgMar w:top="1224"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C6B7A"/>
        <w:sz w:val="18"/>
      </w:rPr>
      <w:t xml:space="preserve">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C9D2DC"/>
      </w:pBdr>
    </w:pPr>
    <w:r/>
    <w:r>
      <w:rPr>
        <w:rFonts w:ascii="Calibri" w:hAnsi="Calibri"/>
        <w:b/>
        <w:color w:val="5C6B7A"/>
        <w:sz w:val="17"/>
      </w:rPr>
      <w:t>BANDWAGON | ORGANIZATION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pPr>
      <w:rPr>
        <w:rFonts w:ascii="Calibri" w:hAnsi="Calibri"/>
      </w:rPr>
    </w:lvl>
  </w:abstractNum>
  <w:num w:numId="11">
    <w:abstractNumId w:val="10"/>
  </w:num>
  <w:abstractNum w:abstractNumId="11">
    <w:multiLevelType w:val="singleLevel"/>
    <w:lvl w:ilvl="0">
      <w:start w:val="1"/>
      <w:numFmt w:val="decimal"/>
      <w:lvlText w:val="%1."/>
      <w:suff w:val="tab"/>
      <w:pPr>
        <w:tabs>
          <w:tab w:val="num" w:pos="720"/>
        </w:tabs>
        <w:ind w:left="720" w:hanging="360"/>
      </w:pPr>
      <w:rPr>
        <w:rFonts w:ascii="Calibri" w:hAnsi="Calibri"/>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6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C6B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80"/>
    </w:pPr>
    <w:rPr>
      <w:rFonts w:ascii="Calibri" w:hAnsi="Calibri"/>
      <w:color w:val="5C6B7A"/>
      <w:sz w:val="18"/>
    </w:rPr>
  </w:style>
  <w:style w:type="paragraph" w:customStyle="1" w:styleId="ApprovalLabel">
    <w:name w:val="Approval Label"/>
    <w:basedOn w:val="Normal"/>
    <w:pPr>
      <w:spacing w:after="40"/>
    </w:pPr>
    <w:rPr>
      <w:rFonts w:ascii="Calibri" w:hAnsi="Calibri"/>
      <w:b/>
      <w:color w:val="1F4D78"/>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yperlink" Target="https://studentprivacy.ed.gov/frequently-asked-questions" TargetMode="External"/><Relationship Id="rId20" Type="http://schemas.openxmlformats.org/officeDocument/2006/relationships/hyperlink" Target="https://studentprivacy.ed.gov/faq/when-does-school-official-exception-allow-school-or-lea-non-consensually-disclose-education" TargetMode="External"/><Relationship Id="rId21" Type="http://schemas.openxmlformats.org/officeDocument/2006/relationships/hyperlink" Target="https://studentprivacy.ed.gov/faq/are-there-any-limitations-what-education-records-may-be-disclosed-community-based-organization" TargetMode="External"/><Relationship Id="rId22" Type="http://schemas.openxmlformats.org/officeDocument/2006/relationships/hyperlink" Target="https://www.ftc.gov/business-guidance/resources/complying-coppa-frequently-asked-questions" TargetMode="External"/><Relationship Id="rId23" Type="http://schemas.openxmlformats.org/officeDocument/2006/relationships/hyperlink" Target="https://www.ftc.gov/legal-library/browse/rules/childrens-online-privacy-protection-rule-coppa" TargetMode="External"/><Relationship Id="rId24" Type="http://schemas.openxmlformats.org/officeDocument/2006/relationships/hyperlink" Target="https://www.ftc.gov/legal-library/browse/federal-register-notices/16-cfr-part-312-coppa-final-rule-amendments" TargetMode="External"/><Relationship Id="rId25" Type="http://schemas.openxmlformats.org/officeDocument/2006/relationships/hyperlink" Target="https://www.nist.gov/privacy-framework" TargetMode="External"/><Relationship Id="rId26" Type="http://schemas.openxmlformats.org/officeDocument/2006/relationships/hyperlink" Target="https://www.nist.gov/publications/artificial-intelligence-risk-management-framework-ai-rmf-10" TargetMode="External"/><Relationship Id="rId27" Type="http://schemas.openxmlformats.org/officeDocument/2006/relationships/hyperlink" Target="https://www.nist.gov/publications/artificial-intelligence-risk-management-framework-generative-artificial-intelligence" TargetMode="External"/><Relationship Id="rId28" Type="http://schemas.openxmlformats.org/officeDocument/2006/relationships/hyperlink" Target="https://www.cisa.gov/securebydesign" TargetMode="External"/><Relationship Id="rId29" Type="http://schemas.openxmlformats.org/officeDocument/2006/relationships/hyperlink" Target="https://github.com/harrisonwardtechnology/BandWagon" TargetMode="External"/><Relationship Id="rId30" Type="http://schemas.openxmlformats.org/officeDocument/2006/relationships/hyperlink" Target="https://cloud.ionos.com/storage/object-storage" TargetMode="External"/><Relationship Id="rId31" Type="http://schemas.openxmlformats.org/officeDocument/2006/relationships/hyperlink" Target="https://cloud.ionos.com/data-centers" TargetMode="External"/><Relationship Id="rId32" Type="http://schemas.openxmlformats.org/officeDocument/2006/relationships/hyperlink" Target="https://www.twilio.com/docs/global-infrastructure" TargetMode="External"/><Relationship Id="rId33" Type="http://schemas.openxmlformats.org/officeDocument/2006/relationships/hyperlink" Target="https://developers.google.com/workspace/calendar/api/auth" TargetMode="External"/><Relationship Id="rId34" Type="http://schemas.openxmlformats.org/officeDocument/2006/relationships/hyperlink" Target="https://developers.google.com/workspace/calendar/api/v3/reference/events" TargetMode="External"/><Relationship Id="rId35" Type="http://schemas.openxmlformats.org/officeDocument/2006/relationships/hyperlink" Target="https://developers.google.com/maps/documentation/routes" TargetMode="External"/><Relationship Id="rId36" Type="http://schemas.openxmlformats.org/officeDocument/2006/relationships/hyperlink" Target="https://www.twilio.com/docs/messaging/features/messaging-logs" TargetMode="External"/><Relationship Id="rId37" Type="http://schemas.openxmlformats.org/officeDocument/2006/relationships/hyperlink" Target="https://www.twilio.com/docs/messaging/guides/privacy-message-redaction" TargetMode="External"/><Relationship Id="rId38" Type="http://schemas.openxmlformats.org/officeDocument/2006/relationships/hyperlink" Target="https://developers.google.com/maps/documentation/routes/policies" TargetMode="External"/><Relationship Id="rId39" Type="http://schemas.openxmlformats.org/officeDocument/2006/relationships/hyperlink" Target="https://learn.microsoft.com/graph/permissions-reference" TargetMode="External"/><Relationship Id="rId40" Type="http://schemas.openxmlformats.org/officeDocument/2006/relationships/hyperlink" Target="https://developers.cloudflare.com/support/troubleshooting/restoring-visitor-ips/restoring-original-visitor-ips/" TargetMode="External"/><Relationship Id="rId41" Type="http://schemas.openxmlformats.org/officeDocument/2006/relationships/image" Target="media/image7.png"/><Relationship Id="rId4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BandWagon Organization Proposal and Review Package</dc:title>
  <dc:subject>Proposed limited pilot for voluntary parent-directed ride coordination</dc:subject>
  <dc:creator>Harrison Ward Technology</dc:creator>
  <cp:keywords>BandWagon, organization, youth program, privacy, transportation, proposal, review</cp:keywords>
  <dc:description>generated by python-docx</dc:description>
  <cp:lastModifiedBy/>
  <cp:revision>1</cp:revision>
  <dcterms:created xsi:type="dcterms:W3CDTF">2013-12-23T23:15:00Z</dcterms:created>
  <dcterms:modified xsi:type="dcterms:W3CDTF">2013-12-23T23:15:00Z</dcterms:modified>
  <cp:category/>
</cp:coreProperties>
</file>