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987D8" w14:textId="77777777" w:rsidR="00170039" w:rsidRPr="00264274" w:rsidRDefault="00000000">
      <w:pPr>
        <w:keepNext/>
        <w:spacing w:before="80" w:after="40"/>
        <w:rPr>
          <w:lang w:val="es-CO"/>
        </w:rPr>
      </w:pPr>
      <w:r w:rsidRPr="00264274">
        <w:rPr>
          <w:b/>
          <w:color w:val="172B4D"/>
          <w:sz w:val="37"/>
          <w:lang w:val="es-CO"/>
        </w:rPr>
        <w:t>Propuesta de despliegue e integración en AWS</w:t>
      </w:r>
    </w:p>
    <w:p w14:paraId="357D6554" w14:textId="77777777" w:rsidR="00170039" w:rsidRPr="00264274" w:rsidRDefault="00000000">
      <w:pPr>
        <w:keepNext/>
        <w:pBdr>
          <w:bottom w:val="single" w:sz="10" w:space="4" w:color="1D4ED8"/>
        </w:pBdr>
        <w:spacing w:after="100"/>
        <w:rPr>
          <w:lang w:val="es-CO"/>
        </w:rPr>
      </w:pPr>
      <w:r w:rsidRPr="00264274">
        <w:rPr>
          <w:color w:val="5B6472"/>
          <w:lang w:val="es-CO"/>
        </w:rPr>
        <w:t>Servicio de solicitudes institucionales - FastAPI, PostgreSQL, Redis y consumidor HTTP contenerizado</w:t>
      </w:r>
    </w:p>
    <w:p w14:paraId="26A504BC" w14:textId="77777777" w:rsidR="00170039" w:rsidRPr="00264274" w:rsidRDefault="00000000">
      <w:pPr>
        <w:pStyle w:val="Ttulo1"/>
        <w:rPr>
          <w:lang w:val="es-CO"/>
        </w:rPr>
      </w:pPr>
      <w:r w:rsidRPr="00264274">
        <w:rPr>
          <w:lang w:val="es-CO"/>
        </w:rPr>
        <w:t>1. Decisión arquitectónica</w:t>
      </w:r>
    </w:p>
    <w:p w14:paraId="23B36323" w14:textId="77777777" w:rsidR="00170039" w:rsidRPr="00264274" w:rsidRDefault="00000000">
      <w:pPr>
        <w:rPr>
          <w:lang w:val="es-CO"/>
        </w:rPr>
      </w:pPr>
      <w:r w:rsidRPr="00264274">
        <w:rPr>
          <w:lang w:val="es-CO"/>
        </w:rPr>
        <w:t xml:space="preserve">Se propone ejecutar los contenedores en </w:t>
      </w:r>
      <w:r w:rsidRPr="00264274">
        <w:rPr>
          <w:b/>
          <w:lang w:val="es-CO"/>
        </w:rPr>
        <w:t>Amazon ECS sobre AWS Fargate</w:t>
      </w:r>
      <w:r w:rsidRPr="00264274">
        <w:rPr>
          <w:lang w:val="es-CO"/>
        </w:rPr>
        <w:t xml:space="preserve"> y usar un </w:t>
      </w:r>
      <w:r w:rsidRPr="00264274">
        <w:rPr>
          <w:b/>
          <w:lang w:val="es-CO"/>
        </w:rPr>
        <w:t>Application Load Balancer (ALB)</w:t>
      </w:r>
      <w:r w:rsidRPr="00264274">
        <w:rPr>
          <w:lang w:val="es-CO"/>
        </w:rPr>
        <w:t xml:space="preserve"> como único punto de entrada público. El ALB es preferible a API Gateway en esta primera versión porque el ecosistema está compuesto por servicios HTTP contenerizados, requiere enrutamiento por rutas y health checks directos, y no necesita aún planes de consumo o API keys. API Gateway podrá incorporarse delante de un ALB interno si se publica una API para terceros.</w:t>
      </w:r>
    </w:p>
    <w:tbl>
      <w:tblPr>
        <w:tblStyle w:val="Tablaconcuadrcula"/>
        <w:tblW w:w="10262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1920"/>
        <w:gridCol w:w="5628"/>
        <w:gridCol w:w="2714"/>
      </w:tblGrid>
      <w:tr w:rsidR="00170039" w14:paraId="26FCD411" w14:textId="77777777">
        <w:trPr>
          <w:tblHeader/>
        </w:trPr>
        <w:tc>
          <w:tcPr>
            <w:tcW w:w="19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2B4D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3EEEA17" w14:textId="77777777" w:rsidR="00170039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Componente local</w:t>
            </w:r>
          </w:p>
        </w:tc>
        <w:tc>
          <w:tcPr>
            <w:tcW w:w="56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2B4D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F974CEB" w14:textId="77777777" w:rsidR="00170039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Servicio AWS y configuración</w:t>
            </w:r>
          </w:p>
        </w:tc>
        <w:tc>
          <w:tcPr>
            <w:tcW w:w="27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2B4D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A6EC809" w14:textId="77777777" w:rsidR="00170039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Problema que resuelve</w:t>
            </w:r>
          </w:p>
        </w:tc>
      </w:tr>
      <w:tr w:rsidR="00170039" w:rsidRPr="00264274" w14:paraId="535C5FDF" w14:textId="77777777">
        <w:tc>
          <w:tcPr>
            <w:tcW w:w="19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605F00" w14:textId="77777777" w:rsidR="00170039" w:rsidRDefault="00000000">
            <w:pPr>
              <w:spacing w:after="0" w:line="240" w:lineRule="auto"/>
            </w:pPr>
            <w:r>
              <w:rPr>
                <w:sz w:val="14"/>
              </w:rPr>
              <w:t>Backend FastAPI</w:t>
            </w:r>
          </w:p>
        </w:tc>
        <w:tc>
          <w:tcPr>
            <w:tcW w:w="56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296023" w14:textId="77777777" w:rsidR="00170039" w:rsidRPr="00264274" w:rsidRDefault="00000000">
            <w:pPr>
              <w:spacing w:after="0" w:line="240" w:lineRule="auto"/>
              <w:rPr>
                <w:lang w:val="es-CO"/>
              </w:rPr>
            </w:pPr>
            <w:r w:rsidRPr="00264274">
              <w:rPr>
                <w:sz w:val="14"/>
                <w:lang w:val="es-CO"/>
              </w:rPr>
              <w:t>ECS Service Fargate, mínimo 2 tareas en AZ distintas; imagen por SHA en ECR.</w:t>
            </w:r>
          </w:p>
        </w:tc>
        <w:tc>
          <w:tcPr>
            <w:tcW w:w="27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659F016" w14:textId="77777777" w:rsidR="00170039" w:rsidRPr="00264274" w:rsidRDefault="00000000">
            <w:pPr>
              <w:spacing w:after="0" w:line="240" w:lineRule="auto"/>
              <w:rPr>
                <w:lang w:val="es-CO"/>
              </w:rPr>
            </w:pPr>
            <w:r w:rsidRPr="00264274">
              <w:rPr>
                <w:sz w:val="14"/>
                <w:lang w:val="es-CO"/>
              </w:rPr>
              <w:t>Cómputo administrado, alta disponibilidad y escalado independiente.</w:t>
            </w:r>
          </w:p>
        </w:tc>
      </w:tr>
      <w:tr w:rsidR="00170039" w:rsidRPr="00264274" w14:paraId="6A8FD009" w14:textId="77777777">
        <w:tc>
          <w:tcPr>
            <w:tcW w:w="19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5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9D6CCB9" w14:textId="77777777" w:rsidR="00170039" w:rsidRDefault="00000000">
            <w:pPr>
              <w:spacing w:after="0" w:line="240" w:lineRule="auto"/>
            </w:pPr>
            <w:r>
              <w:rPr>
                <w:sz w:val="14"/>
              </w:rPr>
              <w:t>PostgreSQL 16</w:t>
            </w:r>
          </w:p>
        </w:tc>
        <w:tc>
          <w:tcPr>
            <w:tcW w:w="56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5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0789F76" w14:textId="77777777" w:rsidR="00170039" w:rsidRPr="00264274" w:rsidRDefault="00000000">
            <w:pPr>
              <w:spacing w:after="0" w:line="240" w:lineRule="auto"/>
              <w:rPr>
                <w:lang w:val="es-CO"/>
              </w:rPr>
            </w:pPr>
            <w:r w:rsidRPr="00264274">
              <w:rPr>
                <w:sz w:val="14"/>
                <w:lang w:val="es-CO"/>
              </w:rPr>
              <w:t>Amazon RDS for PostgreSQL Multi-AZ, cifrado KMS, backups y recuperación a un punto en el tiempo.</w:t>
            </w:r>
          </w:p>
        </w:tc>
        <w:tc>
          <w:tcPr>
            <w:tcW w:w="27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5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E8A4BEF" w14:textId="77777777" w:rsidR="00170039" w:rsidRPr="00264274" w:rsidRDefault="00000000">
            <w:pPr>
              <w:spacing w:after="0" w:line="240" w:lineRule="auto"/>
              <w:rPr>
                <w:lang w:val="es-CO"/>
              </w:rPr>
            </w:pPr>
            <w:r w:rsidRPr="00264274">
              <w:rPr>
                <w:sz w:val="14"/>
                <w:lang w:val="es-CO"/>
              </w:rPr>
              <w:t>Persistencia administrada sin exponer la base de datos.</w:t>
            </w:r>
          </w:p>
        </w:tc>
      </w:tr>
      <w:tr w:rsidR="00170039" w:rsidRPr="00264274" w14:paraId="2635C04B" w14:textId="77777777">
        <w:tc>
          <w:tcPr>
            <w:tcW w:w="19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A2CDCA9" w14:textId="77777777" w:rsidR="00170039" w:rsidRDefault="00000000">
            <w:pPr>
              <w:spacing w:after="0" w:line="240" w:lineRule="auto"/>
            </w:pPr>
            <w:r>
              <w:rPr>
                <w:sz w:val="14"/>
              </w:rPr>
              <w:t>Redis 7</w:t>
            </w:r>
          </w:p>
        </w:tc>
        <w:tc>
          <w:tcPr>
            <w:tcW w:w="56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1A0EBF" w14:textId="77777777" w:rsidR="00170039" w:rsidRPr="00264274" w:rsidRDefault="00000000">
            <w:pPr>
              <w:spacing w:after="0" w:line="240" w:lineRule="auto"/>
              <w:rPr>
                <w:lang w:val="es-CO"/>
              </w:rPr>
            </w:pPr>
            <w:r w:rsidRPr="00264274">
              <w:rPr>
                <w:sz w:val="14"/>
                <w:lang w:val="es-CO"/>
              </w:rPr>
              <w:t>Amazon ElastiCache for Redis OSS, TLS y autenticación, en subredes de datos.</w:t>
            </w:r>
          </w:p>
        </w:tc>
        <w:tc>
          <w:tcPr>
            <w:tcW w:w="27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B47694" w14:textId="77777777" w:rsidR="00170039" w:rsidRPr="00264274" w:rsidRDefault="00000000">
            <w:pPr>
              <w:spacing w:after="0" w:line="240" w:lineRule="auto"/>
              <w:rPr>
                <w:lang w:val="es-CO"/>
              </w:rPr>
            </w:pPr>
            <w:r w:rsidRPr="00264274">
              <w:rPr>
                <w:sz w:val="14"/>
                <w:lang w:val="es-CO"/>
              </w:rPr>
              <w:t>Conserva la caché compartida, invalidación y rate limit ya implementados.</w:t>
            </w:r>
          </w:p>
        </w:tc>
      </w:tr>
      <w:tr w:rsidR="00170039" w:rsidRPr="00264274" w14:paraId="44EFF794" w14:textId="77777777">
        <w:tc>
          <w:tcPr>
            <w:tcW w:w="192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5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71EBD62" w14:textId="77777777" w:rsidR="00170039" w:rsidRDefault="00000000">
            <w:pPr>
              <w:spacing w:after="0" w:line="240" w:lineRule="auto"/>
            </w:pPr>
            <w:r>
              <w:rPr>
                <w:sz w:val="14"/>
              </w:rPr>
              <w:t>Consumidor</w:t>
            </w:r>
          </w:p>
        </w:tc>
        <w:tc>
          <w:tcPr>
            <w:tcW w:w="562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5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1545086" w14:textId="77777777" w:rsidR="00170039" w:rsidRDefault="00000000">
            <w:pPr>
              <w:spacing w:after="0" w:line="240" w:lineRule="auto"/>
            </w:pPr>
            <w:r>
              <w:rPr>
                <w:sz w:val="14"/>
              </w:rPr>
              <w:t>ECS RunTask bajo demanda o EventBridge Scheduler; URL interna por ECS Service Connect.</w:t>
            </w:r>
          </w:p>
        </w:tc>
        <w:tc>
          <w:tcPr>
            <w:tcW w:w="271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5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AA206E9" w14:textId="77777777" w:rsidR="00170039" w:rsidRPr="00264274" w:rsidRDefault="00000000">
            <w:pPr>
              <w:spacing w:after="0" w:line="240" w:lineRule="auto"/>
              <w:rPr>
                <w:lang w:val="es-CO"/>
              </w:rPr>
            </w:pPr>
            <w:r w:rsidRPr="00264274">
              <w:rPr>
                <w:sz w:val="14"/>
                <w:lang w:val="es-CO"/>
              </w:rPr>
              <w:t>Ejecuta lotes y reintentos sin mantener una tarea ociosa.</w:t>
            </w:r>
          </w:p>
        </w:tc>
      </w:tr>
    </w:tbl>
    <w:p w14:paraId="44F9C7ED" w14:textId="77777777" w:rsidR="00170039" w:rsidRPr="00264274" w:rsidRDefault="00170039">
      <w:pPr>
        <w:spacing w:after="0" w:line="20" w:lineRule="exact"/>
        <w:rPr>
          <w:lang w:val="es-CO"/>
        </w:rPr>
      </w:pPr>
    </w:p>
    <w:p w14:paraId="3D779CCC" w14:textId="77777777" w:rsidR="00170039" w:rsidRPr="00264274" w:rsidRDefault="00000000">
      <w:pPr>
        <w:pStyle w:val="Ttulo1"/>
        <w:rPr>
          <w:lang w:val="es-CO"/>
        </w:rPr>
      </w:pPr>
      <w:r w:rsidRPr="00264274">
        <w:rPr>
          <w:lang w:val="es-CO"/>
        </w:rPr>
        <w:t>2. Red, entrada HTTPS y enrutamiento</w:t>
      </w:r>
    </w:p>
    <w:p w14:paraId="30C725D0" w14:textId="77777777" w:rsidR="00170039" w:rsidRPr="00264274" w:rsidRDefault="00000000">
      <w:pPr>
        <w:rPr>
          <w:lang w:val="es-CO"/>
        </w:rPr>
      </w:pPr>
      <w:r w:rsidRPr="00264274">
        <w:rPr>
          <w:lang w:val="es-CO"/>
        </w:rPr>
        <w:t xml:space="preserve">La VPC abarcará dos zonas de disponibilidad: </w:t>
      </w:r>
      <w:r w:rsidRPr="00264274">
        <w:rPr>
          <w:b/>
          <w:lang w:val="es-CO"/>
        </w:rPr>
        <w:t>subredes públicas</w:t>
      </w:r>
      <w:r w:rsidRPr="00264274">
        <w:rPr>
          <w:lang w:val="es-CO"/>
        </w:rPr>
        <w:t xml:space="preserve"> solo para el ALB; </w:t>
      </w:r>
      <w:r w:rsidRPr="00264274">
        <w:rPr>
          <w:b/>
          <w:lang w:val="es-CO"/>
        </w:rPr>
        <w:t>subredes privadas de aplicación</w:t>
      </w:r>
      <w:r w:rsidRPr="00264274">
        <w:rPr>
          <w:lang w:val="es-CO"/>
        </w:rPr>
        <w:t xml:space="preserve"> para las tareas Fargate sin IP pública; y </w:t>
      </w:r>
      <w:r w:rsidRPr="00264274">
        <w:rPr>
          <w:b/>
          <w:lang w:val="es-CO"/>
        </w:rPr>
        <w:t>subredes aisladas de datos</w:t>
      </w:r>
      <w:r w:rsidRPr="00264274">
        <w:rPr>
          <w:lang w:val="es-CO"/>
        </w:rPr>
        <w:t xml:space="preserve"> para RDS y ElastiCache. Route 53 publicará api.dominio.com como alias del ALB y AWS WAF filtrará el tráfico antes de llegar a los contenedores.</w:t>
      </w:r>
    </w:p>
    <w:tbl>
      <w:tblPr>
        <w:tblStyle w:val="Tablaconcuadrcula"/>
        <w:tblW w:w="10262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2130"/>
        <w:gridCol w:w="5357"/>
        <w:gridCol w:w="2775"/>
      </w:tblGrid>
      <w:tr w:rsidR="00170039" w14:paraId="179D446D" w14:textId="77777777">
        <w:trPr>
          <w:tblHeader/>
        </w:trPr>
        <w:tc>
          <w:tcPr>
            <w:tcW w:w="2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2B4D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3025F06" w14:textId="77777777" w:rsidR="00170039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Listener / regla</w:t>
            </w:r>
          </w:p>
        </w:tc>
        <w:tc>
          <w:tcPr>
            <w:tcW w:w="53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2B4D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044770" w14:textId="77777777" w:rsidR="00170039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Acción</w:t>
            </w:r>
          </w:p>
        </w:tc>
        <w:tc>
          <w:tcPr>
            <w:tcW w:w="27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2B4D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83580DB" w14:textId="77777777" w:rsidR="00170039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Target group y health check</w:t>
            </w:r>
          </w:p>
        </w:tc>
      </w:tr>
      <w:tr w:rsidR="00170039" w14:paraId="79B3C436" w14:textId="77777777">
        <w:tc>
          <w:tcPr>
            <w:tcW w:w="2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756CE89" w14:textId="77777777" w:rsidR="00170039" w:rsidRDefault="00000000">
            <w:pPr>
              <w:spacing w:after="0" w:line="240" w:lineRule="auto"/>
            </w:pPr>
            <w:r>
              <w:rPr>
                <w:sz w:val="14"/>
              </w:rPr>
              <w:t>HTTP :80</w:t>
            </w:r>
          </w:p>
        </w:tc>
        <w:tc>
          <w:tcPr>
            <w:tcW w:w="53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83E1571" w14:textId="77777777" w:rsidR="00170039" w:rsidRDefault="00000000">
            <w:pPr>
              <w:spacing w:after="0" w:line="240" w:lineRule="auto"/>
            </w:pPr>
            <w:r>
              <w:rPr>
                <w:sz w:val="14"/>
              </w:rPr>
              <w:t>Redirección permanente a HTTPS :443.</w:t>
            </w:r>
          </w:p>
        </w:tc>
        <w:tc>
          <w:tcPr>
            <w:tcW w:w="27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0C96850" w14:textId="77777777" w:rsidR="00170039" w:rsidRDefault="00000000">
            <w:pPr>
              <w:spacing w:after="0" w:line="240" w:lineRule="auto"/>
            </w:pPr>
            <w:r>
              <w:rPr>
                <w:sz w:val="14"/>
              </w:rPr>
              <w:t>Sin destino de aplicación.</w:t>
            </w:r>
          </w:p>
        </w:tc>
      </w:tr>
      <w:tr w:rsidR="00170039" w14:paraId="0FBDB5A5" w14:textId="77777777">
        <w:tc>
          <w:tcPr>
            <w:tcW w:w="213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5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7B5544" w14:textId="77777777" w:rsidR="00170039" w:rsidRDefault="00000000">
            <w:pPr>
              <w:spacing w:after="0" w:line="240" w:lineRule="auto"/>
            </w:pPr>
            <w:r>
              <w:rPr>
                <w:sz w:val="14"/>
              </w:rPr>
              <w:t>HTTPS :443 + ACM</w:t>
            </w:r>
          </w:p>
        </w:tc>
        <w:tc>
          <w:tcPr>
            <w:tcW w:w="535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5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682B8BE" w14:textId="77777777" w:rsidR="00170039" w:rsidRPr="00264274" w:rsidRDefault="00000000">
            <w:pPr>
              <w:spacing w:after="0" w:line="240" w:lineRule="auto"/>
              <w:rPr>
                <w:lang w:val="es-CO"/>
              </w:rPr>
            </w:pPr>
            <w:r w:rsidRPr="00264274">
              <w:rPr>
                <w:sz w:val="14"/>
                <w:lang w:val="es-CO"/>
              </w:rPr>
              <w:t>/api/v1/solicitudes* -&gt; solicitudes; /api/v1/servicio-b/* -&gt; servicio B; prioridad explícita y regla por defecto 404.</w:t>
            </w:r>
          </w:p>
        </w:tc>
        <w:tc>
          <w:tcPr>
            <w:tcW w:w="277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5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FF61CDA" w14:textId="77777777" w:rsidR="00170039" w:rsidRDefault="00000000">
            <w:pPr>
              <w:spacing w:after="0" w:line="240" w:lineRule="auto"/>
            </w:pPr>
            <w:r>
              <w:rPr>
                <w:sz w:val="14"/>
              </w:rPr>
              <w:t>Un target group por servicio, tipo IP, puerto 8000; /health/ready, HTTP 200.</w:t>
            </w:r>
          </w:p>
        </w:tc>
      </w:tr>
    </w:tbl>
    <w:p w14:paraId="7BEE3FFC" w14:textId="77777777" w:rsidR="00170039" w:rsidRDefault="00170039">
      <w:pPr>
        <w:spacing w:after="0" w:line="20" w:lineRule="exact"/>
      </w:pPr>
    </w:p>
    <w:p w14:paraId="7E19A236" w14:textId="77777777" w:rsidR="00170039" w:rsidRDefault="00000000">
      <w:pPr>
        <w:pStyle w:val="Ttulo1"/>
      </w:pPr>
      <w:r>
        <w:t>3. Segmentación y mínimo privilegio</w:t>
      </w:r>
    </w:p>
    <w:p w14:paraId="3870FD5C" w14:textId="77777777" w:rsidR="00170039" w:rsidRPr="00264274" w:rsidRDefault="00000000">
      <w:pPr>
        <w:rPr>
          <w:lang w:val="es-CO"/>
        </w:rPr>
      </w:pPr>
      <w:r w:rsidRPr="00264274">
        <w:rPr>
          <w:lang w:val="es-CO"/>
        </w:rPr>
        <w:t xml:space="preserve">Los security groups forman una cadena cerrada: </w:t>
      </w:r>
      <w:r w:rsidRPr="00264274">
        <w:rPr>
          <w:b/>
          <w:lang w:val="es-CO"/>
        </w:rPr>
        <w:t>SG-ALB</w:t>
      </w:r>
      <w:r w:rsidRPr="00264274">
        <w:rPr>
          <w:lang w:val="es-CO"/>
        </w:rPr>
        <w:t xml:space="preserve"> recibe 443 desde Internet (80 solo para redirigir); </w:t>
      </w:r>
      <w:r w:rsidRPr="00264274">
        <w:rPr>
          <w:b/>
          <w:lang w:val="es-CO"/>
        </w:rPr>
        <w:t>SG-API</w:t>
      </w:r>
      <w:r w:rsidRPr="00264274">
        <w:rPr>
          <w:lang w:val="es-CO"/>
        </w:rPr>
        <w:t xml:space="preserve"> recibe 8000 únicamente desde SG-ALB y desde los SG de servicios autorizados; </w:t>
      </w:r>
      <w:r w:rsidRPr="00264274">
        <w:rPr>
          <w:b/>
          <w:lang w:val="es-CO"/>
        </w:rPr>
        <w:t>SG-RDS</w:t>
      </w:r>
      <w:r w:rsidRPr="00264274">
        <w:rPr>
          <w:lang w:val="es-CO"/>
        </w:rPr>
        <w:t xml:space="preserve"> recibe 5432 únicamente desde SG-API; y </w:t>
      </w:r>
      <w:r w:rsidRPr="00264274">
        <w:rPr>
          <w:b/>
          <w:lang w:val="es-CO"/>
        </w:rPr>
        <w:t>SG-Redis</w:t>
      </w:r>
      <w:r w:rsidRPr="00264274">
        <w:rPr>
          <w:lang w:val="es-CO"/>
        </w:rPr>
        <w:t xml:space="preserve"> recibe 6379 únicamente desde SG-API. RDS, Redis y las tareas no tendrán IP pública. Los roles de tarea solo podrán leer sus secretos, emitir telemetría y acceder a los recursos que requiera cada servicio.</w:t>
      </w:r>
    </w:p>
    <w:p w14:paraId="61B4831E" w14:textId="77777777" w:rsidR="00170039" w:rsidRDefault="00000000">
      <w:pPr>
        <w:pStyle w:val="Ttulo1"/>
      </w:pPr>
      <w:r>
        <w:t>4. Identidad, autorización y protección</w:t>
      </w:r>
    </w:p>
    <w:p w14:paraId="651707CA" w14:textId="77777777" w:rsidR="00170039" w:rsidRDefault="00000000">
      <w:pPr>
        <w:pStyle w:val="Listaconvietas"/>
      </w:pPr>
      <w:r>
        <w:rPr>
          <w:b/>
        </w:rPr>
        <w:t xml:space="preserve">Frontend: </w:t>
      </w:r>
      <w:r>
        <w:t>Amazon Cognito User Pool con Authorization Code + PKCE. El frontend envía un access token Bearer por HTTPS.</w:t>
      </w:r>
    </w:p>
    <w:p w14:paraId="3F92ADD2" w14:textId="77777777" w:rsidR="00170039" w:rsidRPr="00264274" w:rsidRDefault="00000000">
      <w:pPr>
        <w:pStyle w:val="Listaconvietas"/>
        <w:rPr>
          <w:lang w:val="es-CO"/>
        </w:rPr>
      </w:pPr>
      <w:r w:rsidRPr="00264274">
        <w:rPr>
          <w:b/>
          <w:lang w:val="es-CO"/>
        </w:rPr>
        <w:t xml:space="preserve">Cada backend valida el token: </w:t>
      </w:r>
      <w:r w:rsidRPr="00264274">
        <w:rPr>
          <w:lang w:val="es-CO"/>
        </w:rPr>
        <w:t>firma contra JWKS, issuer, expiración, client_id/audience y scopes o grupos; no se delega la autorización exclusivamente al ALB.</w:t>
      </w:r>
    </w:p>
    <w:p w14:paraId="7923182B" w14:textId="77777777" w:rsidR="00170039" w:rsidRDefault="00000000">
      <w:pPr>
        <w:pStyle w:val="Listaconvietas"/>
      </w:pPr>
      <w:r w:rsidRPr="00264274">
        <w:rPr>
          <w:b/>
          <w:lang w:val="es-CO"/>
        </w:rPr>
        <w:t xml:space="preserve">Servicio a servicio: </w:t>
      </w:r>
      <w:r w:rsidRPr="00264274">
        <w:rPr>
          <w:lang w:val="es-CO"/>
        </w:rPr>
        <w:t xml:space="preserve">OAuth 2.0 client credentials de Cognito con scopes mínimos; el secreto se obtiene desde Secrets Manager. </w:t>
      </w:r>
      <w:r>
        <w:t>La red interna usa Service Connect y SG explícitos.</w:t>
      </w:r>
    </w:p>
    <w:p w14:paraId="52632361" w14:textId="77777777" w:rsidR="00170039" w:rsidRDefault="00000000">
      <w:pPr>
        <w:pStyle w:val="Listaconvietas"/>
      </w:pPr>
      <w:r w:rsidRPr="00264274">
        <w:rPr>
          <w:b/>
          <w:lang w:val="es-CO"/>
        </w:rPr>
        <w:t xml:space="preserve">Protección: </w:t>
      </w:r>
      <w:r w:rsidRPr="00264274">
        <w:rPr>
          <w:lang w:val="es-CO"/>
        </w:rPr>
        <w:t xml:space="preserve">CORS limitado al dominio real del frontend; WAF Managed Rules, bloqueo de IP y regla rate-based. El middleware Redis mantiene límites por identidad como segunda capa. </w:t>
      </w:r>
      <w:r>
        <w:t>Shield Standard protege el ALB.</w:t>
      </w:r>
    </w:p>
    <w:p w14:paraId="40512085" w14:textId="77777777" w:rsidR="00170039" w:rsidRDefault="00000000">
      <w:r>
        <w:br w:type="page"/>
      </w:r>
    </w:p>
    <w:p w14:paraId="035977D2" w14:textId="77777777" w:rsidR="00170039" w:rsidRPr="00264274" w:rsidRDefault="00000000">
      <w:pPr>
        <w:keepNext/>
        <w:spacing w:before="40" w:after="20"/>
        <w:rPr>
          <w:lang w:val="es-CO"/>
        </w:rPr>
      </w:pPr>
      <w:r w:rsidRPr="00264274">
        <w:rPr>
          <w:b/>
          <w:color w:val="172B4D"/>
          <w:sz w:val="34"/>
          <w:lang w:val="es-CO"/>
        </w:rPr>
        <w:lastRenderedPageBreak/>
        <w:t>Flujo, operación y ciclo de entrega</w:t>
      </w:r>
    </w:p>
    <w:p w14:paraId="1A565D2D" w14:textId="77777777" w:rsidR="00170039" w:rsidRPr="00264274" w:rsidRDefault="00000000">
      <w:pPr>
        <w:keepNext/>
        <w:spacing w:after="80"/>
        <w:rPr>
          <w:lang w:val="es-CO"/>
        </w:rPr>
      </w:pPr>
      <w:r w:rsidRPr="00264274">
        <w:rPr>
          <w:color w:val="5B6472"/>
          <w:lang w:val="es-CO"/>
        </w:rPr>
        <w:t>El flujo separa la entrada pública, el cómputo privado y los datos aislados, y permite incorporar servicios mediante nuevas reglas y target groups.</w:t>
      </w:r>
    </w:p>
    <w:p w14:paraId="7E414F6D" w14:textId="17CA00DD" w:rsidR="00170039" w:rsidRDefault="00364D8E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8863A01" wp14:editId="19C65822">
            <wp:extent cx="6516370" cy="4226560"/>
            <wp:effectExtent l="0" t="0" r="0" b="2540"/>
            <wp:docPr id="196077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370" cy="422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0FEC3" w14:textId="77777777" w:rsidR="00170039" w:rsidRPr="00264274" w:rsidRDefault="00000000">
      <w:pPr>
        <w:pStyle w:val="Ttulo1"/>
        <w:rPr>
          <w:lang w:val="es-CO"/>
        </w:rPr>
      </w:pPr>
      <w:r w:rsidRPr="00264274">
        <w:rPr>
          <w:lang w:val="es-CO"/>
        </w:rPr>
        <w:t>5. Secretos, logs, métricas y trazabilidad</w:t>
      </w:r>
    </w:p>
    <w:p w14:paraId="178A438D" w14:textId="77777777" w:rsidR="00170039" w:rsidRDefault="00000000">
      <w:r w:rsidRPr="00264274">
        <w:rPr>
          <w:lang w:val="es-CO"/>
        </w:rPr>
        <w:t xml:space="preserve">Las credenciales de RDS, Redis y OAuth se almacenan en </w:t>
      </w:r>
      <w:r w:rsidRPr="00264274">
        <w:rPr>
          <w:b/>
          <w:lang w:val="es-CO"/>
        </w:rPr>
        <w:t>AWS Secrets Manager</w:t>
      </w:r>
      <w:r w:rsidRPr="00264274">
        <w:rPr>
          <w:lang w:val="es-CO"/>
        </w:rPr>
        <w:t xml:space="preserve">, cifradas con KMS e inyectadas por referencia en la task definition; nunca se incluyen en GitHub ni en la imagen. La aplicación escribirá JSON a stdout y el </w:t>
      </w:r>
      <w:proofErr w:type="gramStart"/>
      <w:r w:rsidRPr="00264274">
        <w:rPr>
          <w:lang w:val="es-CO"/>
        </w:rPr>
        <w:t>driver</w:t>
      </w:r>
      <w:proofErr w:type="gramEnd"/>
      <w:r w:rsidRPr="00264274">
        <w:rPr>
          <w:lang w:val="es-CO"/>
        </w:rPr>
        <w:t xml:space="preserve"> awslogs lo centralizará en CloudWatch Logs con retención y cifrado. Se conservará </w:t>
      </w:r>
      <w:r w:rsidRPr="00264274">
        <w:rPr>
          <w:b/>
          <w:lang w:val="es-CO"/>
        </w:rPr>
        <w:t>X-Request-ID</w:t>
      </w:r>
      <w:r w:rsidRPr="00264274">
        <w:rPr>
          <w:lang w:val="es-CO"/>
        </w:rPr>
        <w:t xml:space="preserve"> entre frontend, ALB, consumidor y servicios; OpenTelemetry enviará trazas a X-Ray. Container Insights y CloudWatch medirán CPU, memoria, latencia, 4xx/5xx, targets no saludables, conexiones/almacenamiento de RDS y evictions de Redis. </w:t>
      </w:r>
      <w:r>
        <w:t>Las alarmas enviarán notificaciones por SNS.</w:t>
      </w:r>
    </w:p>
    <w:p w14:paraId="2E4E415B" w14:textId="77777777" w:rsidR="00170039" w:rsidRDefault="00000000">
      <w:pPr>
        <w:pStyle w:val="Ttulo1"/>
      </w:pPr>
      <w:r>
        <w:t>6. Escalabilidad y disponibilidad</w:t>
      </w:r>
    </w:p>
    <w:p w14:paraId="0B2DFE54" w14:textId="77777777" w:rsidR="00170039" w:rsidRPr="00264274" w:rsidRDefault="00000000">
      <w:pPr>
        <w:pStyle w:val="Listaconvietas"/>
        <w:rPr>
          <w:lang w:val="es-CO"/>
        </w:rPr>
      </w:pPr>
      <w:r w:rsidRPr="00264274">
        <w:rPr>
          <w:lang w:val="es-CO"/>
        </w:rPr>
        <w:t>ECS mantiene al menos dos tareas y escala por CPU objetivo (60 %), memoria (70 %) y RequestCountPerTarget; cada servicio define mínimos y máximos propios.</w:t>
      </w:r>
    </w:p>
    <w:p w14:paraId="7E828DD1" w14:textId="77777777" w:rsidR="00170039" w:rsidRDefault="00000000">
      <w:pPr>
        <w:pStyle w:val="Listaconvietas"/>
      </w:pPr>
      <w:r w:rsidRPr="00264274">
        <w:rPr>
          <w:lang w:val="es-CO"/>
        </w:rPr>
        <w:t xml:space="preserve">ALB distribuye solo hacia targets sanos. </w:t>
      </w:r>
      <w:r>
        <w:t>El contenedor usa /health como liveness y el target group /health/ready para comprobar API + PostgreSQL.</w:t>
      </w:r>
    </w:p>
    <w:p w14:paraId="718778B1" w14:textId="77777777" w:rsidR="00170039" w:rsidRDefault="00000000">
      <w:pPr>
        <w:pStyle w:val="Listaconvietas"/>
      </w:pPr>
      <w:r w:rsidRPr="00264274">
        <w:rPr>
          <w:lang w:val="es-CO"/>
        </w:rPr>
        <w:t xml:space="preserve">RDS Multi-AZ, backups automáticos y recuperación a un punto en el tiempo protegen la fuente de verdad. </w:t>
      </w:r>
      <w:r>
        <w:t>Si las conexiones crecen, se añade RDS Proxy.</w:t>
      </w:r>
    </w:p>
    <w:p w14:paraId="752E228C" w14:textId="77777777" w:rsidR="00170039" w:rsidRPr="00264274" w:rsidRDefault="00000000">
      <w:pPr>
        <w:pStyle w:val="Listaconvietas"/>
        <w:rPr>
          <w:lang w:val="es-CO"/>
        </w:rPr>
      </w:pPr>
      <w:r w:rsidRPr="00264274">
        <w:rPr>
          <w:lang w:val="es-CO"/>
        </w:rPr>
        <w:t>ElastiCache replica entre AZ y puede reconstruirse porque sigue siendo una optimización fail-open; PostgreSQL conserva la verdad del negocio.</w:t>
      </w:r>
    </w:p>
    <w:p w14:paraId="05F045A1" w14:textId="77777777" w:rsidR="00170039" w:rsidRDefault="00000000">
      <w:pPr>
        <w:pStyle w:val="Ttulo1"/>
      </w:pPr>
      <w:r>
        <w:t>7. CI/CD, migraciones y reversión</w:t>
      </w:r>
    </w:p>
    <w:tbl>
      <w:tblPr>
        <w:tblStyle w:val="Tablaconcuadrcula"/>
        <w:tblW w:w="10262" w:type="dxa"/>
        <w:tblInd w:w="80" w:type="dxa"/>
        <w:tblLayout w:type="fixed"/>
        <w:tblLook w:val="04A0" w:firstRow="1" w:lastRow="0" w:firstColumn="1" w:lastColumn="0" w:noHBand="0" w:noVBand="1"/>
      </w:tblPr>
      <w:tblGrid>
        <w:gridCol w:w="1721"/>
        <w:gridCol w:w="8541"/>
      </w:tblGrid>
      <w:tr w:rsidR="00170039" w14:paraId="59614508" w14:textId="77777777">
        <w:trPr>
          <w:tblHeader/>
        </w:trPr>
        <w:tc>
          <w:tcPr>
            <w:tcW w:w="17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2B4D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6DABF333" w14:textId="77777777" w:rsidR="00170039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Etapa</w:t>
            </w:r>
          </w:p>
        </w:tc>
        <w:tc>
          <w:tcPr>
            <w:tcW w:w="85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72B4D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89DD0D4" w14:textId="77777777" w:rsidR="00170039" w:rsidRDefault="00000000">
            <w:pPr>
              <w:spacing w:after="0" w:line="240" w:lineRule="auto"/>
            </w:pPr>
            <w:r>
              <w:rPr>
                <w:b/>
                <w:color w:val="FFFFFF"/>
                <w:sz w:val="15"/>
              </w:rPr>
              <w:t>Acción y control</w:t>
            </w:r>
          </w:p>
        </w:tc>
      </w:tr>
      <w:tr w:rsidR="00170039" w:rsidRPr="00264274" w14:paraId="22B263CA" w14:textId="77777777">
        <w:tc>
          <w:tcPr>
            <w:tcW w:w="17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3A23307" w14:textId="77777777" w:rsidR="00170039" w:rsidRDefault="00000000">
            <w:pPr>
              <w:spacing w:after="0" w:line="240" w:lineRule="auto"/>
            </w:pPr>
            <w:r>
              <w:rPr>
                <w:sz w:val="14"/>
              </w:rPr>
              <w:t>Validar</w:t>
            </w:r>
          </w:p>
        </w:tc>
        <w:tc>
          <w:tcPr>
            <w:tcW w:w="85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008C5556" w14:textId="77777777" w:rsidR="00170039" w:rsidRPr="00264274" w:rsidRDefault="00000000">
            <w:pPr>
              <w:spacing w:after="0" w:line="240" w:lineRule="auto"/>
              <w:rPr>
                <w:lang w:val="es-CO"/>
              </w:rPr>
            </w:pPr>
            <w:r>
              <w:rPr>
                <w:sz w:val="14"/>
              </w:rPr>
              <w:t xml:space="preserve">GitHub Actions ejecuta lint y pytest. </w:t>
            </w:r>
            <w:r w:rsidRPr="00264274">
              <w:rPr>
                <w:sz w:val="14"/>
                <w:lang w:val="es-CO"/>
              </w:rPr>
              <w:t>Mediante OIDC asume un rol temporal de despliegue; no usa access keys permanentes.</w:t>
            </w:r>
          </w:p>
        </w:tc>
      </w:tr>
      <w:tr w:rsidR="00170039" w:rsidRPr="00264274" w14:paraId="52473868" w14:textId="77777777">
        <w:tc>
          <w:tcPr>
            <w:tcW w:w="17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5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0AB01EB" w14:textId="77777777" w:rsidR="00170039" w:rsidRDefault="00000000">
            <w:pPr>
              <w:spacing w:after="0" w:line="240" w:lineRule="auto"/>
            </w:pPr>
            <w:r>
              <w:rPr>
                <w:sz w:val="14"/>
              </w:rPr>
              <w:t>Construir</w:t>
            </w:r>
          </w:p>
        </w:tc>
        <w:tc>
          <w:tcPr>
            <w:tcW w:w="85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5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B7568EE" w14:textId="77777777" w:rsidR="00170039" w:rsidRPr="00264274" w:rsidRDefault="00000000">
            <w:pPr>
              <w:spacing w:after="0" w:line="240" w:lineRule="auto"/>
              <w:rPr>
                <w:lang w:val="es-CO"/>
              </w:rPr>
            </w:pPr>
            <w:r w:rsidRPr="00264274">
              <w:rPr>
                <w:sz w:val="14"/>
                <w:lang w:val="es-CO"/>
              </w:rPr>
              <w:t>Build multi-stage, análisis de vulnerabilidades y push a ECR con etiqueta inmutable igual al commit SHA.</w:t>
            </w:r>
          </w:p>
        </w:tc>
      </w:tr>
      <w:tr w:rsidR="00170039" w:rsidRPr="00264274" w14:paraId="79012334" w14:textId="77777777">
        <w:tc>
          <w:tcPr>
            <w:tcW w:w="17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14BC9FC" w14:textId="77777777" w:rsidR="00170039" w:rsidRDefault="00000000">
            <w:pPr>
              <w:spacing w:after="0" w:line="240" w:lineRule="auto"/>
            </w:pPr>
            <w:r>
              <w:rPr>
                <w:sz w:val="14"/>
              </w:rPr>
              <w:t>Migrar</w:t>
            </w:r>
          </w:p>
        </w:tc>
        <w:tc>
          <w:tcPr>
            <w:tcW w:w="85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3907C66" w14:textId="77777777" w:rsidR="00170039" w:rsidRPr="00264274" w:rsidRDefault="00000000">
            <w:pPr>
              <w:spacing w:after="0" w:line="240" w:lineRule="auto"/>
              <w:rPr>
                <w:lang w:val="es-CO"/>
              </w:rPr>
            </w:pPr>
            <w:r w:rsidRPr="00264274">
              <w:rPr>
                <w:sz w:val="14"/>
                <w:lang w:val="es-CO"/>
              </w:rPr>
              <w:t>Una tarea ECS única ejecuta alembic upgrade head antes de actualizar el servicio. Las migraciones siguen expand-contract y son compatibles con la versión anterior.</w:t>
            </w:r>
          </w:p>
        </w:tc>
      </w:tr>
      <w:tr w:rsidR="00170039" w:rsidRPr="00264274" w14:paraId="0019EE30" w14:textId="77777777">
        <w:tc>
          <w:tcPr>
            <w:tcW w:w="17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5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3BB06D0A" w14:textId="77777777" w:rsidR="00170039" w:rsidRDefault="00000000">
            <w:pPr>
              <w:spacing w:after="0" w:line="240" w:lineRule="auto"/>
            </w:pPr>
            <w:r>
              <w:rPr>
                <w:sz w:val="14"/>
              </w:rPr>
              <w:t>Desplegar</w:t>
            </w:r>
          </w:p>
        </w:tc>
        <w:tc>
          <w:tcPr>
            <w:tcW w:w="85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3F5F7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A53E8E1" w14:textId="77777777" w:rsidR="00170039" w:rsidRPr="00264274" w:rsidRDefault="00000000">
            <w:pPr>
              <w:spacing w:after="0" w:line="240" w:lineRule="auto"/>
              <w:rPr>
                <w:lang w:val="es-CO"/>
              </w:rPr>
            </w:pPr>
            <w:r w:rsidRPr="00264274">
              <w:rPr>
                <w:sz w:val="14"/>
                <w:lang w:val="es-CO"/>
              </w:rPr>
              <w:t>Rolling update con mínimo saludable 100 %, máximo 200 % y deployment circuit breaker. Alarmas detienen y revierten si aumentan 5xx, latencia o targets no sanos.</w:t>
            </w:r>
          </w:p>
        </w:tc>
      </w:tr>
      <w:tr w:rsidR="00170039" w:rsidRPr="00264274" w14:paraId="352D24D2" w14:textId="77777777">
        <w:tc>
          <w:tcPr>
            <w:tcW w:w="172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DD35105" w14:textId="77777777" w:rsidR="00170039" w:rsidRDefault="00000000">
            <w:pPr>
              <w:spacing w:after="0" w:line="240" w:lineRule="auto"/>
            </w:pPr>
            <w:r>
              <w:rPr>
                <w:sz w:val="14"/>
              </w:rPr>
              <w:t>Revertir</w:t>
            </w:r>
          </w:p>
        </w:tc>
        <w:tc>
          <w:tcPr>
            <w:tcW w:w="854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ED825C1" w14:textId="77777777" w:rsidR="00170039" w:rsidRPr="00264274" w:rsidRDefault="00000000">
            <w:pPr>
              <w:spacing w:after="0" w:line="240" w:lineRule="auto"/>
              <w:rPr>
                <w:lang w:val="es-CO"/>
              </w:rPr>
            </w:pPr>
            <w:r w:rsidRPr="00264274">
              <w:rPr>
                <w:sz w:val="14"/>
                <w:lang w:val="es-CO"/>
              </w:rPr>
              <w:t xml:space="preserve">ECS reactiva la task definition previa y su imagen ECR inmutable. Cambios críticos pueden evolucionar a blue/green o canary con </w:t>
            </w:r>
            <w:proofErr w:type="gramStart"/>
            <w:r w:rsidRPr="00264274">
              <w:rPr>
                <w:sz w:val="14"/>
                <w:lang w:val="es-CO"/>
              </w:rPr>
              <w:t>dos target</w:t>
            </w:r>
            <w:proofErr w:type="gramEnd"/>
            <w:r w:rsidRPr="00264274">
              <w:rPr>
                <w:sz w:val="14"/>
                <w:lang w:val="es-CO"/>
              </w:rPr>
              <w:t xml:space="preserve"> groups.</w:t>
            </w:r>
          </w:p>
        </w:tc>
      </w:tr>
    </w:tbl>
    <w:p w14:paraId="1FEA5F9D" w14:textId="77777777" w:rsidR="00170039" w:rsidRPr="00264274" w:rsidRDefault="00170039">
      <w:pPr>
        <w:spacing w:after="0" w:line="20" w:lineRule="exact"/>
        <w:rPr>
          <w:lang w:val="es-CO"/>
        </w:rPr>
      </w:pPr>
    </w:p>
    <w:p w14:paraId="7D62BCE8" w14:textId="77777777" w:rsidR="00170039" w:rsidRPr="00264274" w:rsidRDefault="00000000">
      <w:pPr>
        <w:pStyle w:val="Ttulo1"/>
        <w:rPr>
          <w:lang w:val="es-CO"/>
        </w:rPr>
      </w:pPr>
      <w:r w:rsidRPr="00264274">
        <w:rPr>
          <w:lang w:val="es-CO"/>
        </w:rPr>
        <w:t>8. Implementación y ambientes</w:t>
      </w:r>
    </w:p>
    <w:p w14:paraId="4FF61D4C" w14:textId="77777777" w:rsidR="00170039" w:rsidRPr="00A73100" w:rsidRDefault="00000000">
      <w:pPr>
        <w:rPr>
          <w:lang w:val="es-CO"/>
        </w:rPr>
      </w:pPr>
      <w:r w:rsidRPr="00264274">
        <w:rPr>
          <w:lang w:val="es-CO"/>
        </w:rPr>
        <w:t xml:space="preserve">La infraestructura se define con Terraform, CDK o CloudFormation y se promueve por dev, staging y producción con parámetros separados. Los servicios nuevos reutilizan la VPC, el ALB, Cognito, WAF y observabilidad, pero conservan repositorio ECR, task role, task definition, </w:t>
      </w:r>
      <w:proofErr w:type="gramStart"/>
      <w:r w:rsidRPr="00264274">
        <w:rPr>
          <w:lang w:val="es-CO"/>
        </w:rPr>
        <w:t>target</w:t>
      </w:r>
      <w:proofErr w:type="gramEnd"/>
      <w:r w:rsidRPr="00264274">
        <w:rPr>
          <w:lang w:val="es-CO"/>
        </w:rPr>
        <w:t xml:space="preserve"> group, alarmas y reglas de acceso independientes. Así el crecimiento no obliga a exponer contenedores ni c</w:t>
      </w:r>
      <w:r w:rsidRPr="00A73100">
        <w:rPr>
          <w:lang w:val="es-CO"/>
        </w:rPr>
        <w:t>ompartir privilegios.</w:t>
      </w:r>
    </w:p>
    <w:sectPr w:rsidR="00170039" w:rsidRPr="00A73100" w:rsidSect="00034616">
      <w:headerReference w:type="default" r:id="rId9"/>
      <w:footerReference w:type="default" r:id="rId10"/>
      <w:pgSz w:w="11906" w:h="16838"/>
      <w:pgMar w:top="765" w:right="822" w:bottom="765" w:left="822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D97EE" w14:textId="77777777" w:rsidR="001D5CF6" w:rsidRDefault="001D5CF6">
      <w:pPr>
        <w:spacing w:after="0" w:line="240" w:lineRule="auto"/>
      </w:pPr>
      <w:r>
        <w:separator/>
      </w:r>
    </w:p>
  </w:endnote>
  <w:endnote w:type="continuationSeparator" w:id="0">
    <w:p w14:paraId="73D8A4A6" w14:textId="77777777" w:rsidR="001D5CF6" w:rsidRDefault="001D5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9B4E3" w14:textId="77777777" w:rsidR="00170039" w:rsidRPr="00264274" w:rsidRDefault="00000000">
    <w:pPr>
      <w:pStyle w:val="Piedepgina"/>
      <w:tabs>
        <w:tab w:val="right" w:pos="10262"/>
      </w:tabs>
      <w:rPr>
        <w:lang w:val="es-CO"/>
      </w:rPr>
    </w:pPr>
    <w:r w:rsidRPr="00264274">
      <w:rPr>
        <w:color w:val="5B6472"/>
        <w:sz w:val="14"/>
        <w:lang w:val="es-CO"/>
      </w:rPr>
      <w:t xml:space="preserve">Propuesta técnica - </w:t>
    </w:r>
    <w:proofErr w:type="gramStart"/>
    <w:r w:rsidRPr="00264274">
      <w:rPr>
        <w:color w:val="5B6472"/>
        <w:sz w:val="14"/>
        <w:lang w:val="es-CO"/>
      </w:rPr>
      <w:t>Agosto</w:t>
    </w:r>
    <w:proofErr w:type="gramEnd"/>
    <w:r w:rsidRPr="00264274">
      <w:rPr>
        <w:color w:val="5B6472"/>
        <w:sz w:val="14"/>
        <w:lang w:val="es-CO"/>
      </w:rPr>
      <w:t xml:space="preserve"> de 2026</w:t>
    </w:r>
    <w:r w:rsidRPr="00264274">
      <w:rPr>
        <w:lang w:val="es-CO"/>
      </w:rPr>
      <w:tab/>
      <w:t xml:space="preserve">Página </w:t>
    </w:r>
    <w:r>
      <w:rPr>
        <w:color w:val="5B6472"/>
        <w:sz w:val="14"/>
      </w:rPr>
      <w:fldChar w:fldCharType="begin"/>
    </w:r>
    <w:r w:rsidRPr="00264274">
      <w:rPr>
        <w:color w:val="5B6472"/>
        <w:sz w:val="14"/>
        <w:lang w:val="es-CO"/>
      </w:rPr>
      <w:instrText>PAGE</w:instrText>
    </w:r>
    <w:r>
      <w:rPr>
        <w:color w:val="5B6472"/>
        <w:sz w:val="14"/>
      </w:rPr>
      <w:fldChar w:fldCharType="separate"/>
    </w:r>
    <w:r w:rsidRPr="00264274">
      <w:rPr>
        <w:color w:val="5B6472"/>
        <w:sz w:val="14"/>
        <w:lang w:val="es-CO"/>
      </w:rPr>
      <w:t>1</w:t>
    </w:r>
    <w:r>
      <w:rPr>
        <w:color w:val="5B6472"/>
        <w:sz w:val="14"/>
      </w:rPr>
      <w:fldChar w:fldCharType="end"/>
    </w:r>
    <w:r w:rsidRPr="00264274">
      <w:rPr>
        <w:color w:val="5B6472"/>
        <w:sz w:val="14"/>
        <w:lang w:val="es-CO"/>
      </w:rPr>
      <w:t xml:space="preserve"> de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72F81" w14:textId="77777777" w:rsidR="001D5CF6" w:rsidRDefault="001D5CF6">
      <w:pPr>
        <w:spacing w:after="0" w:line="240" w:lineRule="auto"/>
      </w:pPr>
      <w:r>
        <w:separator/>
      </w:r>
    </w:p>
  </w:footnote>
  <w:footnote w:type="continuationSeparator" w:id="0">
    <w:p w14:paraId="4323DA0A" w14:textId="77777777" w:rsidR="001D5CF6" w:rsidRDefault="001D5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620BF" w14:textId="77777777" w:rsidR="00170039" w:rsidRDefault="00000000">
    <w:pPr>
      <w:pStyle w:val="Encabezado"/>
      <w:pBdr>
        <w:bottom w:val="single" w:sz="6" w:space="2" w:color="CBD5E1"/>
      </w:pBdr>
      <w:tabs>
        <w:tab w:val="right" w:pos="10262"/>
      </w:tabs>
    </w:pPr>
    <w:r>
      <w:rPr>
        <w:b/>
        <w:color w:val="172B4D"/>
        <w:sz w:val="15"/>
      </w:rPr>
      <w:t>PRUEBA TÉCNICA BACKEND - PROPUESTA AWS</w:t>
    </w:r>
    <w:r>
      <w:tab/>
    </w:r>
    <w:r>
      <w:rPr>
        <w:color w:val="5B6472"/>
        <w:sz w:val="14"/>
      </w:rPr>
      <w:t>technical_assesment_prisma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3761014">
    <w:abstractNumId w:val="8"/>
  </w:num>
  <w:num w:numId="2" w16cid:durableId="1057630367">
    <w:abstractNumId w:val="6"/>
  </w:num>
  <w:num w:numId="3" w16cid:durableId="1406492363">
    <w:abstractNumId w:val="5"/>
  </w:num>
  <w:num w:numId="4" w16cid:durableId="1846742602">
    <w:abstractNumId w:val="4"/>
  </w:num>
  <w:num w:numId="5" w16cid:durableId="1173953295">
    <w:abstractNumId w:val="7"/>
  </w:num>
  <w:num w:numId="6" w16cid:durableId="125128886">
    <w:abstractNumId w:val="3"/>
  </w:num>
  <w:num w:numId="7" w16cid:durableId="884367336">
    <w:abstractNumId w:val="2"/>
  </w:num>
  <w:num w:numId="8" w16cid:durableId="1625848350">
    <w:abstractNumId w:val="1"/>
  </w:num>
  <w:num w:numId="9" w16cid:durableId="1910341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039"/>
    <w:rsid w:val="001D5CF6"/>
    <w:rsid w:val="00264274"/>
    <w:rsid w:val="0029639D"/>
    <w:rsid w:val="00326F90"/>
    <w:rsid w:val="00364D8E"/>
    <w:rsid w:val="005A0A71"/>
    <w:rsid w:val="00A731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7792B8"/>
  <w14:defaultImageDpi w14:val="300"/>
  <w15:docId w15:val="{D7487B28-8586-4047-A39B-D9D7CF652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50" w:lineRule="auto"/>
    </w:pPr>
    <w:rPr>
      <w:rFonts w:ascii="Calibri" w:hAnsi="Calibri"/>
      <w:color w:val="263238"/>
      <w:sz w:val="1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line="240" w:lineRule="auto"/>
      <w:outlineLvl w:val="0"/>
    </w:pPr>
    <w:rPr>
      <w:rFonts w:asciiTheme="majorHAnsi" w:eastAsiaTheme="majorEastAsia" w:hAnsiTheme="majorHAnsi" w:cstheme="majorBidi"/>
      <w:b/>
      <w:bCs/>
      <w:color w:val="172B4D"/>
      <w:sz w:val="2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80" w:after="40" w:line="240" w:lineRule="auto"/>
      <w:outlineLvl w:val="1"/>
    </w:pPr>
    <w:rPr>
      <w:rFonts w:asciiTheme="majorHAnsi" w:eastAsiaTheme="majorEastAsia" w:hAnsiTheme="majorHAnsi" w:cstheme="majorBidi"/>
      <w:b/>
      <w:bCs/>
      <w:color w:val="172B4D"/>
      <w:sz w:val="19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spacing w:after="32" w:line="247" w:lineRule="auto"/>
      <w:ind w:left="272" w:hanging="136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919</Words>
  <Characters>5060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Propuesta de despliegue e integración en AWS</vt:lpstr>
      <vt:lpstr/>
    </vt:vector>
  </TitlesOfParts>
  <Manager/>
  <Company/>
  <LinksUpToDate>false</LinksUpToDate>
  <CharactersWithSpaces>5968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despliegue e integración en AWS</dc:title>
  <dc:subject>Prueba técnica Backend Developer</dc:subject>
  <dc:creator>harrisonzm</dc:creator>
  <cp:keywords>AWS, ECS Fargate, FastAPI, PostgreSQL, Redis</cp:keywords>
  <dc:description>Documento editable de propuesta técnica.</dc:description>
  <cp:lastModifiedBy>Harrison Zuleta Montoya</cp:lastModifiedBy>
  <cp:revision>3</cp:revision>
  <dcterms:created xsi:type="dcterms:W3CDTF">2013-12-23T23:15:00Z</dcterms:created>
  <dcterms:modified xsi:type="dcterms:W3CDTF">2026-08-04T04:56:00Z</dcterms:modified>
  <cp:category/>
</cp:coreProperties>
</file>