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5066A" w:rsidRDefault="00D050C2">
      <w:pPr>
        <w:pStyle w:val="Heading1"/>
        <w:spacing w:before="0" w:after="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Conflict-Related Sexual Violence (CRSV) &amp; Reparation Deficits in Nigeria: An Empirical Policy Assessment (1995–2023)</w:t>
      </w:r>
    </w:p>
    <w:p w:rsidR="00E5066A" w:rsidRDefault="00D050C2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Author:</w:t>
      </w:r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Sayemo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Harris</w:t>
      </w:r>
    </w:p>
    <w:p w:rsidR="00E5066A" w:rsidRDefault="00D050C2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Date:</w:t>
      </w:r>
      <w:r>
        <w:rPr>
          <w:rFonts w:ascii="Google Sans" w:eastAsia="Google Sans" w:hAnsi="Google Sans" w:cs="Google Sans"/>
          <w:color w:val="1F1F1F"/>
        </w:rPr>
        <w:t xml:space="preserve"> October 2026</w:t>
      </w:r>
    </w:p>
    <w:p w:rsidR="00E5066A" w:rsidRDefault="00D050C2">
      <w:pPr>
        <w:pStyle w:val="Heading2"/>
        <w:spacing w:before="0" w:after="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1. Executive Summary</w:t>
      </w:r>
    </w:p>
    <w:p w:rsidR="00E5066A" w:rsidRDefault="00D050C2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This policy report provides a systematic evaluation of institutional culpability, longitudinal severity patterns, and post-conflict reparation deficits related to Conflict-Related Sexual Violence (CRSV) in Nigeria. Grounded in standardized, longitudinal co</w:t>
      </w:r>
      <w:r>
        <w:rPr>
          <w:rFonts w:ascii="Google Sans" w:eastAsia="Google Sans" w:hAnsi="Google Sans" w:cs="Google Sans"/>
          <w:color w:val="1F1F1F"/>
        </w:rPr>
        <w:t>nflict actor data from 1995 to 2023, the analysis moves beyond localized case studies to construct an empirical baseline of liability across sovereign security forces and non-state insurgent factions.</w:t>
      </w:r>
    </w:p>
    <w:p w:rsidR="00E5066A" w:rsidRDefault="00D050C2">
      <w:pPr>
        <w:pStyle w:val="Heading3"/>
        <w:spacing w:before="0" w:after="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Core Analytical Findings</w:t>
      </w:r>
    </w:p>
    <w:p w:rsidR="00E5066A" w:rsidRDefault="00D050C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Aggregated Institutional Culpa</w:t>
      </w:r>
      <w:r>
        <w:rPr>
          <w:rFonts w:ascii="Google Sans" w:eastAsia="Google Sans" w:hAnsi="Google Sans" w:cs="Google Sans"/>
          <w:b/>
          <w:bCs/>
          <w:color w:val="1F1F1F"/>
        </w:rPr>
        <w:t>bility (33 Cumulative Actor-Violation Years):</w:t>
      </w:r>
      <w:r>
        <w:rPr>
          <w:rFonts w:ascii="Google Sans" w:eastAsia="Google Sans" w:hAnsi="Google Sans" w:cs="Google Sans"/>
          <w:color w:val="1F1F1F"/>
        </w:rPr>
        <w:t xml:space="preserve"> Between 1995 and 2023, armed actors in Nigeria accumulated a combined 33 actor-years of active, documented sexual violence. Because state forces and insurgent groups operated concurrently during high-intensity </w:t>
      </w:r>
      <w:r>
        <w:rPr>
          <w:rFonts w:ascii="Google Sans" w:eastAsia="Google Sans" w:hAnsi="Google Sans" w:cs="Google Sans"/>
          <w:color w:val="1F1F1F"/>
        </w:rPr>
        <w:t>conflict phases, this total reflects independent, additive institutional liability rather than non-overlapping calendar duration.</w:t>
      </w:r>
    </w:p>
    <w:p w:rsidR="00E5066A" w:rsidRDefault="00D050C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Direct State Accountability (14 Actor-Years / 42.4%):</w:t>
      </w:r>
      <w:r>
        <w:rPr>
          <w:rFonts w:ascii="Google Sans" w:eastAsia="Google Sans" w:hAnsi="Google Sans" w:cs="Google Sans"/>
          <w:color w:val="1F1F1F"/>
        </w:rPr>
        <w:t xml:space="preserve"> Statutory armed forces (incorporating military formations and police com</w:t>
      </w:r>
      <w:r>
        <w:rPr>
          <w:rFonts w:ascii="Google Sans" w:eastAsia="Google Sans" w:hAnsi="Google Sans" w:cs="Google Sans"/>
          <w:color w:val="1F1F1F"/>
        </w:rPr>
        <w:t>mands) account for 14 documented violation actor-years between 2004 and 2019. Because statutory actors bear positive human rights and international humanitarian law obligations, this substantial share establishes an unavoidable state duty to provide admini</w:t>
      </w:r>
      <w:r>
        <w:rPr>
          <w:rFonts w:ascii="Google Sans" w:eastAsia="Google Sans" w:hAnsi="Google Sans" w:cs="Google Sans"/>
          <w:color w:val="1F1F1F"/>
        </w:rPr>
        <w:t>strative redress and guarantees of non-recurrence.</w:t>
      </w:r>
    </w:p>
    <w:p w:rsidR="00E5066A" w:rsidRDefault="00D050C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Protracted Insurgent Severity (19 Actor-Years / 57.6%):</w:t>
      </w:r>
      <w:r>
        <w:rPr>
          <w:rFonts w:ascii="Google Sans" w:eastAsia="Google Sans" w:hAnsi="Google Sans" w:cs="Google Sans"/>
          <w:color w:val="1F1F1F"/>
        </w:rPr>
        <w:t xml:space="preserve"> Non-State Armed Groups specifically Boko Haram (</w:t>
      </w:r>
      <w:proofErr w:type="spellStart"/>
      <w:r>
        <w:rPr>
          <w:rFonts w:ascii="Google Sans" w:eastAsia="Google Sans" w:hAnsi="Google Sans" w:cs="Google Sans"/>
          <w:color w:val="1F1F1F"/>
        </w:rPr>
        <w:t>Jamā'at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Ahl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gramStart"/>
      <w:r>
        <w:rPr>
          <w:rFonts w:ascii="Google Sans" w:eastAsia="Google Sans" w:hAnsi="Google Sans" w:cs="Google Sans"/>
          <w:color w:val="1F1F1F"/>
        </w:rPr>
        <w:t>as</w:t>
      </w:r>
      <w:proofErr w:type="gramEnd"/>
      <w:r>
        <w:rPr>
          <w:rFonts w:ascii="Google Sans" w:eastAsia="Google Sans" w:hAnsi="Google Sans" w:cs="Google Sans"/>
          <w:color w:val="1F1F1F"/>
        </w:rPr>
        <w:t>-Sunnah lid-</w:t>
      </w:r>
      <w:proofErr w:type="spellStart"/>
      <w:r>
        <w:rPr>
          <w:rFonts w:ascii="Google Sans" w:eastAsia="Google Sans" w:hAnsi="Google Sans" w:cs="Google Sans"/>
          <w:color w:val="1F1F1F"/>
        </w:rPr>
        <w:t>Da'wah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wa'l-Jihād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- JAS) and the Islamic State West Africa Province (ISWAP)</w:t>
      </w:r>
      <w:r>
        <w:rPr>
          <w:rFonts w:ascii="Google Sans" w:eastAsia="Google Sans" w:hAnsi="Google Sans" w:cs="Google Sans"/>
          <w:color w:val="1F1F1F"/>
        </w:rPr>
        <w:t xml:space="preserve"> demonstrate sustained violations, maintaining peak systematic severity (prevalence level 3) through 2023.</w:t>
      </w:r>
    </w:p>
    <w:p w:rsidR="00E5066A" w:rsidRDefault="00D050C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High-Risk Targeting of Children (19 Actor-Years):</w:t>
      </w:r>
      <w:r>
        <w:rPr>
          <w:rFonts w:ascii="Google Sans" w:eastAsia="Google Sans" w:hAnsi="Google Sans" w:cs="Google Sans"/>
          <w:color w:val="1F1F1F"/>
        </w:rPr>
        <w:t xml:space="preserve"> In 19 actor-years, violations against children reached massive or systematic proportions (prevalenc</w:t>
      </w:r>
      <w:r>
        <w:rPr>
          <w:rFonts w:ascii="Google Sans" w:eastAsia="Google Sans" w:hAnsi="Google Sans" w:cs="Google Sans"/>
          <w:color w:val="1F1F1F"/>
        </w:rPr>
        <w:t>e score &gt;= 2), highlighting a protracted vulnerability profile requiring specialized, multi-generational reparative frameworks.</w:t>
      </w:r>
    </w:p>
    <w:p w:rsidR="00E5066A" w:rsidRPr="00545244" w:rsidRDefault="00D050C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The Structural Reparations Deficit:</w:t>
      </w:r>
      <w:r>
        <w:rPr>
          <w:rFonts w:ascii="Google Sans" w:eastAsia="Google Sans" w:hAnsi="Google Sans" w:cs="Google Sans"/>
          <w:color w:val="1F1F1F"/>
        </w:rPr>
        <w:t xml:space="preserve"> Despite clear evidence of systematic harm spanning decades, victim redress remains stalled w</w:t>
      </w:r>
      <w:r>
        <w:rPr>
          <w:rFonts w:ascii="Google Sans" w:eastAsia="Google Sans" w:hAnsi="Google Sans" w:cs="Google Sans"/>
          <w:color w:val="1F1F1F"/>
        </w:rPr>
        <w:t xml:space="preserve">ithin protracted criminal justice mechanisms or subordinated to counter-insurgency agendas. There is an urgent policy </w:t>
      </w:r>
      <w:r>
        <w:rPr>
          <w:rFonts w:ascii="Google Sans" w:eastAsia="Google Sans" w:hAnsi="Google Sans" w:cs="Google Sans"/>
          <w:color w:val="1F1F1F"/>
        </w:rPr>
        <w:lastRenderedPageBreak/>
        <w:t>deficit in dedicated, non-judicial administrative reparations and Interim Reparative Measures (IRMs).</w:t>
      </w:r>
    </w:p>
    <w:p w:rsidR="00545244" w:rsidRDefault="00545244" w:rsidP="00545244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230"/>
      </w:pPr>
      <w:r>
        <w:rPr>
          <w:noProof/>
        </w:rPr>
        <w:drawing>
          <wp:inline distT="0" distB="0" distL="0" distR="0">
            <wp:extent cx="5943600" cy="335026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nflict-Related Sexual Violence (CRSV) &amp; Reparation Deficit Analysis-Nigeria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066A" w:rsidRDefault="00D050C2">
      <w:pPr>
        <w:pStyle w:val="Heading2"/>
        <w:spacing w:before="0" w:after="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2. Methodology &amp; Analytical Framewor</w:t>
      </w:r>
      <w:r>
        <w:rPr>
          <w:rFonts w:ascii="Google Sans" w:eastAsia="Google Sans" w:hAnsi="Google Sans" w:cs="Google Sans"/>
          <w:color w:val="1F1F1F"/>
        </w:rPr>
        <w:t>k</w:t>
      </w:r>
    </w:p>
    <w:p w:rsidR="00E5066A" w:rsidRDefault="00D050C2">
      <w:pPr>
        <w:pStyle w:val="Heading3"/>
        <w:spacing w:before="0" w:after="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2.1 Scope and Unit of Analysis</w:t>
      </w:r>
    </w:p>
    <w:p w:rsidR="00E5066A" w:rsidRDefault="00D050C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Temporal Coverage:</w:t>
      </w:r>
      <w:r>
        <w:rPr>
          <w:rFonts w:ascii="Google Sans" w:eastAsia="Google Sans" w:hAnsi="Google Sans" w:cs="Google Sans"/>
          <w:color w:val="1F1F1F"/>
        </w:rPr>
        <w:t xml:space="preserve"> 1995–2023 conflict actor-years within the territorial boundaries of Nigeria.</w:t>
      </w:r>
    </w:p>
    <w:p w:rsidR="00E5066A" w:rsidRDefault="00D050C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Analytical Actor Groupings:</w:t>
      </w:r>
    </w:p>
    <w:p w:rsidR="00E5066A" w:rsidRDefault="00D050C2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i/>
          <w:iCs/>
          <w:color w:val="1F1F1F"/>
        </w:rPr>
        <w:t>State Armed Forces (Government of Nigeria):</w:t>
      </w:r>
      <w:r>
        <w:rPr>
          <w:rFonts w:ascii="Google Sans" w:eastAsia="Google Sans" w:hAnsi="Google Sans" w:cs="Google Sans"/>
          <w:color w:val="1F1F1F"/>
        </w:rPr>
        <w:t xml:space="preserve"> Statutory national military services, joint task forces, and national police operational units.</w:t>
      </w:r>
    </w:p>
    <w:p w:rsidR="00E5066A" w:rsidRDefault="00D050C2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i/>
          <w:iCs/>
          <w:color w:val="1F1F1F"/>
        </w:rPr>
        <w:t>Non-State Armed Groups:</w:t>
      </w:r>
      <w:r>
        <w:rPr>
          <w:rFonts w:ascii="Google Sans" w:eastAsia="Google Sans" w:hAnsi="Google Sans" w:cs="Google Sans"/>
          <w:color w:val="1F1F1F"/>
        </w:rPr>
        <w:t xml:space="preserve"> Boko Haram (JAS) and Islamic State West Africa Province (ISWAP).</w:t>
      </w:r>
    </w:p>
    <w:p w:rsidR="00E5066A" w:rsidRDefault="00D050C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Unit of Measurement:</w:t>
      </w:r>
      <w:r>
        <w:rPr>
          <w:rFonts w:ascii="Google Sans" w:eastAsia="Google Sans" w:hAnsi="Google Sans" w:cs="Google Sans"/>
          <w:color w:val="1F1F1F"/>
        </w:rPr>
        <w:t xml:space="preserve"> The primary quantitative metric is the </w:t>
      </w:r>
      <w:r>
        <w:rPr>
          <w:rFonts w:ascii="Google Sans" w:eastAsia="Google Sans" w:hAnsi="Google Sans" w:cs="Google Sans"/>
          <w:b/>
          <w:bCs/>
          <w:color w:val="1F1F1F"/>
        </w:rPr>
        <w:t>Actor-Year</w:t>
      </w:r>
      <w:r>
        <w:rPr>
          <w:rFonts w:ascii="Google Sans" w:eastAsia="Google Sans" w:hAnsi="Google Sans" w:cs="Google Sans"/>
          <w:color w:val="1F1F1F"/>
        </w:rPr>
        <w:t>. Where multiple armed actors commit documented violations in the same calendar year, each actor accumulates an autonomous actor-year of liability.</w:t>
      </w:r>
    </w:p>
    <w:p w:rsidR="00E5066A" w:rsidRDefault="00D050C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Prevalence Scoring Framework:</w:t>
      </w:r>
      <w:r>
        <w:rPr>
          <w:rFonts w:ascii="Google Sans" w:eastAsia="Google Sans" w:hAnsi="Google Sans" w:cs="Google Sans"/>
          <w:color w:val="1F1F1F"/>
        </w:rPr>
        <w:t xml:space="preserve"> Severity is benchmarked against international SVAC coding standards:</w:t>
      </w:r>
    </w:p>
    <w:p w:rsidR="00E5066A" w:rsidRDefault="00D050C2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0 (None):</w:t>
      </w:r>
      <w:r>
        <w:rPr>
          <w:rFonts w:ascii="Google Sans" w:eastAsia="Google Sans" w:hAnsi="Google Sans" w:cs="Google Sans"/>
          <w:color w:val="1F1F1F"/>
        </w:rPr>
        <w:t xml:space="preserve"> No reported sexual violence.</w:t>
      </w:r>
    </w:p>
    <w:p w:rsidR="00E5066A" w:rsidRDefault="00D050C2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1 (Isolated):</w:t>
      </w:r>
      <w:r>
        <w:rPr>
          <w:rFonts w:ascii="Google Sans" w:eastAsia="Google Sans" w:hAnsi="Google Sans" w:cs="Google Sans"/>
          <w:color w:val="1F1F1F"/>
        </w:rPr>
        <w:t xml:space="preserve"> Sporadic or isolated incidents reported (under 25 estimated victims).</w:t>
      </w:r>
    </w:p>
    <w:p w:rsidR="00E5066A" w:rsidRDefault="00D050C2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2 (Massive / Widespread):</w:t>
      </w:r>
      <w:r>
        <w:rPr>
          <w:rFonts w:ascii="Google Sans" w:eastAsia="Google Sans" w:hAnsi="Google Sans" w:cs="Google Sans"/>
          <w:color w:val="1F1F1F"/>
        </w:rPr>
        <w:t xml:space="preserve"> Widespread, continuous incidents (25 to hundreds of victims).</w:t>
      </w:r>
    </w:p>
    <w:p w:rsidR="00E5066A" w:rsidRDefault="00D050C2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3 (Systematic / Strategic):</w:t>
      </w:r>
      <w:r>
        <w:rPr>
          <w:rFonts w:ascii="Google Sans" w:eastAsia="Google Sans" w:hAnsi="Google Sans" w:cs="Google Sans"/>
          <w:color w:val="1F1F1F"/>
        </w:rPr>
        <w:t xml:space="preserve"> Systematic use as a tactic</w:t>
      </w:r>
      <w:r>
        <w:rPr>
          <w:rFonts w:ascii="Google Sans" w:eastAsia="Google Sans" w:hAnsi="Google Sans" w:cs="Google Sans"/>
          <w:color w:val="1F1F1F"/>
        </w:rPr>
        <w:t xml:space="preserve"> of warfare, mass abductions, or institutionalized detention abuse.</w:t>
      </w:r>
    </w:p>
    <w:p w:rsidR="00E5066A" w:rsidRDefault="00D050C2">
      <w:pPr>
        <w:pStyle w:val="Heading3"/>
        <w:spacing w:before="0" w:after="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2.2 Core Equations &amp; Calculations</w:t>
      </w:r>
    </w:p>
    <w:p w:rsidR="00E5066A" w:rsidRDefault="00E5066A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</w:p>
    <w:p w:rsidR="00E5066A" w:rsidRDefault="00D050C2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Cumulative Actor-Violation Years = sum(Actors) (Years with </w:t>
      </w:r>
      <w:proofErr w:type="spellStart"/>
      <w:r>
        <w:rPr>
          <w:rFonts w:ascii="Google Sans" w:eastAsia="Google Sans" w:hAnsi="Google Sans" w:cs="Google Sans"/>
          <w:color w:val="1F1F1F"/>
        </w:rPr>
        <w:t>max_prevalence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&gt;= 1) = 33</w:t>
      </w:r>
      <w:r>
        <w:rPr>
          <w:rFonts w:ascii="Google Sans" w:eastAsia="Google Sans" w:hAnsi="Google Sans" w:cs="Google Sans"/>
          <w:color w:val="1F1F1F"/>
        </w:rPr>
        <w:br/>
        <w:t>State Institutional Liability = 14 actor-years (42.4%)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t>Insurgent Liability (JAS / ISWAP) = 19 actor-years (57.6%)</w:t>
      </w:r>
      <w:r>
        <w:rPr>
          <w:rFonts w:ascii="Google Sans" w:eastAsia="Google Sans" w:hAnsi="Google Sans" w:cs="Google Sans"/>
          <w:color w:val="1F1F1F"/>
        </w:rPr>
        <w:br/>
        <w:t xml:space="preserve">High-Risk Child Targeting = sum(Actors) (Years with </w:t>
      </w:r>
      <w:proofErr w:type="spellStart"/>
      <w:r>
        <w:rPr>
          <w:rFonts w:ascii="Google Sans" w:eastAsia="Google Sans" w:hAnsi="Google Sans" w:cs="Google Sans"/>
          <w:color w:val="1F1F1F"/>
        </w:rPr>
        <w:t>child_prevalence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&gt;= 2) = 19 actor-years</w:t>
      </w:r>
    </w:p>
    <w:p w:rsidR="00E5066A" w:rsidRDefault="00D050C2">
      <w:pPr>
        <w:pStyle w:val="Heading2"/>
        <w:spacing w:before="0" w:after="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3. Comparative Longitudinal Findings</w:t>
      </w:r>
    </w:p>
    <w:tbl>
      <w:tblPr>
        <w:tblStyle w:val="a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E5066A"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E5066A" w:rsidRDefault="00D050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Actor Name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E5066A" w:rsidRDefault="00D050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Analytical Category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E5066A" w:rsidRDefault="00D050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Documented Violation Years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E5066A" w:rsidRDefault="00D050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Peak Severity (0–3)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E5066A" w:rsidRDefault="00D050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Peak Child Prevalence (0–3)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E5066A" w:rsidRDefault="00D050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Active Horizon</w:t>
            </w:r>
          </w:p>
        </w:tc>
      </w:tr>
      <w:tr w:rsidR="00E5066A"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E5066A" w:rsidRDefault="00D050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Boko Haram (JAS)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E5066A" w:rsidRDefault="00D050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Non-State Armed Groups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E5066A" w:rsidRDefault="00D050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13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E5066A" w:rsidRDefault="00D050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3 (Systematic)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E5066A" w:rsidRDefault="00D050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3 (Systematic)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E5066A" w:rsidRDefault="00D050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2010 – 2023</w:t>
            </w:r>
          </w:p>
        </w:tc>
      </w:tr>
      <w:tr w:rsidR="00E5066A"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E5066A" w:rsidRDefault="00D050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Islamic State West Africa Province (ISWAP)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E5066A" w:rsidRDefault="00D050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Non-State Armed Groups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E5066A" w:rsidRDefault="00D050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6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E5066A" w:rsidRDefault="00D050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2 (Massive)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E5066A" w:rsidRDefault="00D050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2 (Massive)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E5066A" w:rsidRDefault="00D050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2018 – 2023</w:t>
            </w:r>
          </w:p>
        </w:tc>
      </w:tr>
      <w:tr w:rsidR="00E5066A"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E5066A" w:rsidRDefault="00D050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Government of Nigeria (Armed Forces / Police)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E5066A" w:rsidRDefault="00D050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State Armed Forces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E5066A" w:rsidRDefault="00D050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14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E5066A" w:rsidRDefault="00D050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3 (Systematic)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E5066A" w:rsidRDefault="00D050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2 (Massive)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E5066A" w:rsidRDefault="00D050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2004 – 2019</w:t>
            </w:r>
          </w:p>
        </w:tc>
      </w:tr>
      <w:tr w:rsidR="00E5066A"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E5066A" w:rsidRDefault="00D050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Cross-Conflict Aggregation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E5066A" w:rsidRDefault="00D050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Combined Profile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E5066A" w:rsidRDefault="00D050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33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E5066A" w:rsidRDefault="00D050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3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E5066A" w:rsidRDefault="00D050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3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E5066A" w:rsidRDefault="00D050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1995 – 2023</w:t>
            </w:r>
          </w:p>
        </w:tc>
      </w:tr>
    </w:tbl>
    <w:p w:rsidR="00E5066A" w:rsidRDefault="00D050C2">
      <w:pPr>
        <w:pStyle w:val="Heading3"/>
        <w:spacing w:before="480" w:after="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Analytical Trajectory &amp; Responsibility Deficits</w:t>
      </w:r>
    </w:p>
    <w:p w:rsidR="00E5066A" w:rsidRDefault="00D050C2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State Force Violations (2004–2019):</w:t>
      </w:r>
      <w:r>
        <w:rPr>
          <w:rFonts w:ascii="Google Sans" w:eastAsia="Google Sans" w:hAnsi="Google Sans" w:cs="Google Sans"/>
          <w:color w:val="1F1F1F"/>
        </w:rPr>
        <w:t xml:space="preserve"> Documentation covers early internal security </w:t>
      </w:r>
      <w:r>
        <w:rPr>
          <w:rFonts w:ascii="Google Sans" w:eastAsia="Google Sans" w:hAnsi="Google Sans" w:cs="Google Sans"/>
          <w:color w:val="1F1F1F"/>
        </w:rPr>
        <w:lastRenderedPageBreak/>
        <w:t>operations through counter-insurgency surges around 2014–2016, with recorded incidents in formal operations, screening sites, and displacement settings. Because the state holds legal sovereignty, these 14 viola</w:t>
      </w:r>
      <w:r>
        <w:rPr>
          <w:rFonts w:ascii="Google Sans" w:eastAsia="Google Sans" w:hAnsi="Google Sans" w:cs="Google Sans"/>
          <w:color w:val="1F1F1F"/>
        </w:rPr>
        <w:t>tion actor-years demand state-funded reparative measures that do not depend on individual criminal convictions.</w:t>
      </w:r>
    </w:p>
    <w:p w:rsidR="00E5066A" w:rsidRDefault="00D050C2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Insurgent Splinter Dynamics (Post-2015):</w:t>
      </w:r>
      <w:r>
        <w:rPr>
          <w:rFonts w:ascii="Google Sans" w:eastAsia="Google Sans" w:hAnsi="Google Sans" w:cs="Google Sans"/>
          <w:color w:val="1F1F1F"/>
        </w:rPr>
        <w:t xml:space="preserve"> The bifurcation of Boko Haram into JAS and ISWAP around 2016 decentralized the operational pattern of v</w:t>
      </w:r>
      <w:r>
        <w:rPr>
          <w:rFonts w:ascii="Google Sans" w:eastAsia="Google Sans" w:hAnsi="Google Sans" w:cs="Google Sans"/>
          <w:color w:val="1F1F1F"/>
        </w:rPr>
        <w:t>iolence. JAS retained high child-targeting prevalence via abductions and forced marriages, while ISWAP institutionalized social control across rural operational theaters. In the absence of viable legal recourse against insurgent commanders, the state maint</w:t>
      </w:r>
      <w:r>
        <w:rPr>
          <w:rFonts w:ascii="Google Sans" w:eastAsia="Google Sans" w:hAnsi="Google Sans" w:cs="Google Sans"/>
          <w:color w:val="1F1F1F"/>
        </w:rPr>
        <w:t>ains a surrogate duty to facilitate victim redress.</w:t>
      </w:r>
    </w:p>
    <w:p w:rsidR="00E5066A" w:rsidRDefault="00D050C2">
      <w:pPr>
        <w:pStyle w:val="Heading2"/>
        <w:spacing w:before="0" w:after="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4. Key Limitations &amp; Strategic Recommendations</w:t>
      </w:r>
    </w:p>
    <w:p w:rsidR="00E5066A" w:rsidRDefault="00D050C2">
      <w:pPr>
        <w:pStyle w:val="Heading3"/>
        <w:spacing w:before="0" w:after="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4.1 Addressing the Survivor-Centric Evidence Gap</w:t>
      </w:r>
    </w:p>
    <w:p w:rsidR="00E5066A" w:rsidRDefault="00D050C2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While conflict actor datasets establish a definitive baseline of institutional culpability, they remain inherently </w:t>
      </w:r>
      <w:r>
        <w:rPr>
          <w:rFonts w:ascii="Google Sans" w:eastAsia="Google Sans" w:hAnsi="Google Sans" w:cs="Google Sans"/>
          <w:b/>
          <w:bCs/>
          <w:color w:val="1F1F1F"/>
        </w:rPr>
        <w:t>perpetrator- and incident-centric</w:t>
      </w:r>
      <w:r>
        <w:rPr>
          <w:rFonts w:ascii="Google Sans" w:eastAsia="Google Sans" w:hAnsi="Google Sans" w:cs="Google Sans"/>
          <w:color w:val="1F1F1F"/>
        </w:rPr>
        <w:t xml:space="preserve">. They track the frequency, timing, and severity of violations committed by armed factions, but they do not </w:t>
      </w:r>
      <w:r>
        <w:rPr>
          <w:rFonts w:ascii="Google Sans" w:eastAsia="Google Sans" w:hAnsi="Google Sans" w:cs="Google Sans"/>
          <w:color w:val="1F1F1F"/>
        </w:rPr>
        <w:t>record survivor agency, post-violation medical needs, or localized priorities for redress.</w:t>
      </w:r>
    </w:p>
    <w:p w:rsidR="00E5066A" w:rsidRDefault="00D050C2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Macro-level accountability metrics must be paired with survivor-centered evidence to develop functional transitional justice programs.</w:t>
      </w:r>
    </w:p>
    <w:p w:rsidR="00E5066A" w:rsidRDefault="00D050C2">
      <w:pPr>
        <w:pStyle w:val="Heading3"/>
        <w:spacing w:before="0" w:after="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4.2 Policy Recommendations</w:t>
      </w:r>
    </w:p>
    <w:p w:rsidR="00E5066A" w:rsidRDefault="00D050C2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Est</w:t>
      </w:r>
      <w:r>
        <w:rPr>
          <w:rFonts w:ascii="Google Sans" w:eastAsia="Google Sans" w:hAnsi="Google Sans" w:cs="Google Sans"/>
          <w:b/>
          <w:bCs/>
          <w:color w:val="1F1F1F"/>
        </w:rPr>
        <w:t>ablish a Standardized, Survivor-Led Reparations Registry:</w:t>
      </w:r>
    </w:p>
    <w:p w:rsidR="00E5066A" w:rsidRDefault="00D050C2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Design a secure, trauma-informed intake mechanism in partnership with local survivor networks and civil society organizations.</w:t>
      </w:r>
    </w:p>
    <w:p w:rsidR="00E5066A" w:rsidRDefault="00D050C2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Disaggregate survivor-demanded forms of redress across key categories:</w:t>
      </w:r>
    </w:p>
    <w:p w:rsidR="00E5066A" w:rsidRDefault="00D050C2">
      <w:pPr>
        <w:numPr>
          <w:ilvl w:val="2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Material &amp; Economic Redress:</w:t>
      </w:r>
      <w:r>
        <w:rPr>
          <w:rFonts w:ascii="Google Sans" w:eastAsia="Google Sans" w:hAnsi="Google Sans" w:cs="Google Sans"/>
          <w:color w:val="1F1F1F"/>
        </w:rPr>
        <w:t xml:space="preserve"> Direct financial compensation, restitution of seized land or cattle, and long-term livelihood support.</w:t>
      </w:r>
    </w:p>
    <w:p w:rsidR="00E5066A" w:rsidRDefault="00D050C2">
      <w:pPr>
        <w:numPr>
          <w:ilvl w:val="2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Clinical &amp; Psychosocial Care:</w:t>
      </w:r>
      <w:r>
        <w:rPr>
          <w:rFonts w:ascii="Google Sans" w:eastAsia="Google Sans" w:hAnsi="Google Sans" w:cs="Google Sans"/>
          <w:color w:val="1F1F1F"/>
        </w:rPr>
        <w:t xml:space="preserve"> Reconstructive surgery, specialized fistula treatment, clinical trauma support, and community-</w:t>
      </w:r>
      <w:r>
        <w:rPr>
          <w:rFonts w:ascii="Google Sans" w:eastAsia="Google Sans" w:hAnsi="Google Sans" w:cs="Google Sans"/>
          <w:color w:val="1F1F1F"/>
        </w:rPr>
        <w:t>level stigma mitigation.</w:t>
      </w:r>
    </w:p>
    <w:p w:rsidR="00E5066A" w:rsidRDefault="00D050C2">
      <w:pPr>
        <w:numPr>
          <w:ilvl w:val="2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Support for Children Born of War:</w:t>
      </w:r>
      <w:r>
        <w:rPr>
          <w:rFonts w:ascii="Google Sans" w:eastAsia="Google Sans" w:hAnsi="Google Sans" w:cs="Google Sans"/>
          <w:color w:val="1F1F1F"/>
        </w:rPr>
        <w:t xml:space="preserve"> Expedited legal identity documentation, birth certificates, and guaranteed educational grants.</w:t>
      </w:r>
    </w:p>
    <w:p w:rsidR="00E5066A" w:rsidRDefault="00D050C2">
      <w:pPr>
        <w:numPr>
          <w:ilvl w:val="2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Symbolic Reparations:</w:t>
      </w:r>
      <w:r>
        <w:rPr>
          <w:rFonts w:ascii="Google Sans" w:eastAsia="Google Sans" w:hAnsi="Google Sans" w:cs="Google Sans"/>
          <w:color w:val="1F1F1F"/>
        </w:rPr>
        <w:t xml:space="preserve"> Formal state acknowledgment, public apologies, and localized memorialization ini</w:t>
      </w:r>
      <w:r>
        <w:rPr>
          <w:rFonts w:ascii="Google Sans" w:eastAsia="Google Sans" w:hAnsi="Google Sans" w:cs="Google Sans"/>
          <w:color w:val="1F1F1F"/>
        </w:rPr>
        <w:t>tiatives.</w:t>
      </w:r>
    </w:p>
    <w:p w:rsidR="00E5066A" w:rsidRDefault="00D050C2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Operationalize Administrative Interim Reparative Measures (IRMs):</w:t>
      </w:r>
    </w:p>
    <w:p w:rsidR="00E5066A" w:rsidRDefault="00D050C2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Decouple humanitarian assistance and victim compensation from judicial court dockets. Given the direct liability of statutory forces (14 actor-years), the Federal Government should establish an administrative reparations fund to deliver urgent material rel</w:t>
      </w:r>
      <w:r>
        <w:rPr>
          <w:rFonts w:ascii="Google Sans" w:eastAsia="Google Sans" w:hAnsi="Google Sans" w:cs="Google Sans"/>
          <w:color w:val="1F1F1F"/>
        </w:rPr>
        <w:t>ief without waiting for trial verdicts.</w:t>
      </w:r>
    </w:p>
    <w:p w:rsidR="00E5066A" w:rsidRDefault="00D050C2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Incorporate Survivor Redress into Regional Security Frameworks:</w:t>
      </w:r>
    </w:p>
    <w:p w:rsidR="00E5066A" w:rsidRDefault="00D050C2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 xml:space="preserve">Integrate structured victim consultation and compensation mechanisms into ongoing Disarmament, Demobilization, and Reintegration (DDR) and transitional </w:t>
      </w:r>
      <w:r>
        <w:rPr>
          <w:rFonts w:ascii="Google Sans" w:eastAsia="Google Sans" w:hAnsi="Google Sans" w:cs="Google Sans"/>
          <w:color w:val="1F1F1F"/>
        </w:rPr>
        <w:t>justice programs in Northeast Nigeria to ensure assistance aligns directly with survivor priorities.</w:t>
      </w:r>
    </w:p>
    <w:p w:rsidR="00E5066A" w:rsidRDefault="00D050C2">
      <w:pPr>
        <w:pStyle w:val="Heading2"/>
        <w:spacing w:before="0" w:after="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lastRenderedPageBreak/>
        <w:t>Appendix A: Data Provenance, Acquisition Pipeline &amp; Licensing</w:t>
      </w:r>
    </w:p>
    <w:p w:rsidR="00E5066A" w:rsidRDefault="00D050C2">
      <w:pPr>
        <w:pStyle w:val="Heading3"/>
        <w:spacing w:before="0" w:after="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A.1 Primary Data Source</w:t>
      </w:r>
    </w:p>
    <w:p w:rsidR="00E5066A" w:rsidRDefault="00D050C2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The quantitative metrics used in this assessment originate from the </w:t>
      </w:r>
      <w:r>
        <w:rPr>
          <w:rFonts w:ascii="Google Sans" w:eastAsia="Google Sans" w:hAnsi="Google Sans" w:cs="Google Sans"/>
          <w:b/>
          <w:bCs/>
          <w:color w:val="1F1F1F"/>
        </w:rPr>
        <w:t>Sexual Violence in Armed Conflict (SVAC)</w:t>
      </w:r>
      <w:r>
        <w:rPr>
          <w:rFonts w:ascii="Google Sans" w:eastAsia="Google Sans" w:hAnsi="Google Sans" w:cs="Google Sans"/>
          <w:color w:val="1F1F1F"/>
        </w:rPr>
        <w:t xml:space="preserve"> database, maintained collaboratively by the </w:t>
      </w:r>
      <w:r>
        <w:rPr>
          <w:rFonts w:ascii="Google Sans" w:eastAsia="Google Sans" w:hAnsi="Google Sans" w:cs="Google Sans"/>
          <w:b/>
          <w:bCs/>
          <w:color w:val="1F1F1F"/>
        </w:rPr>
        <w:t>Peace Research Institute Oslo (PRIO)</w:t>
      </w:r>
      <w:r>
        <w:rPr>
          <w:rFonts w:ascii="Google Sans" w:eastAsia="Google Sans" w:hAnsi="Google Sans" w:cs="Google Sans"/>
          <w:color w:val="1F1F1F"/>
        </w:rPr>
        <w:t xml:space="preserve">, the </w:t>
      </w:r>
      <w:r>
        <w:rPr>
          <w:rFonts w:ascii="Google Sans" w:eastAsia="Google Sans" w:hAnsi="Google Sans" w:cs="Google Sans"/>
          <w:b/>
          <w:bCs/>
          <w:color w:val="1F1F1F"/>
        </w:rPr>
        <w:t>University of Gothenburg</w:t>
      </w:r>
      <w:r>
        <w:rPr>
          <w:rFonts w:ascii="Google Sans" w:eastAsia="Google Sans" w:hAnsi="Google Sans" w:cs="Google Sans"/>
          <w:color w:val="1F1F1F"/>
        </w:rPr>
        <w:t xml:space="preserve">, and the </w:t>
      </w:r>
      <w:r>
        <w:rPr>
          <w:rFonts w:ascii="Google Sans" w:eastAsia="Google Sans" w:hAnsi="Google Sans" w:cs="Google Sans"/>
          <w:b/>
          <w:bCs/>
          <w:color w:val="1F1F1F"/>
        </w:rPr>
        <w:t>Harvard Kennedy School</w:t>
      </w:r>
      <w:r>
        <w:rPr>
          <w:rFonts w:ascii="Google Sans" w:eastAsia="Google Sans" w:hAnsi="Google Sans" w:cs="Google Sans"/>
          <w:color w:val="1F1F1F"/>
        </w:rPr>
        <w:t>.</w:t>
      </w:r>
    </w:p>
    <w:p w:rsidR="00E5066A" w:rsidRDefault="00D050C2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Core Dataset:</w:t>
      </w:r>
      <w:r>
        <w:rPr>
          <w:rFonts w:ascii="Google Sans" w:eastAsia="Google Sans" w:hAnsi="Google Sans" w:cs="Google Sans"/>
          <w:color w:val="1F1F1F"/>
        </w:rPr>
        <w:t xml:space="preserve"> SVAC Actor-Year Dataset.</w:t>
      </w:r>
    </w:p>
    <w:p w:rsidR="00E5066A" w:rsidRDefault="00D050C2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 xml:space="preserve">Citation </w:t>
      </w:r>
      <w:proofErr w:type="spellStart"/>
      <w:proofErr w:type="gramStart"/>
      <w:r>
        <w:rPr>
          <w:rFonts w:ascii="Google Sans" w:eastAsia="Google Sans" w:hAnsi="Google Sans" w:cs="Google Sans"/>
          <w:b/>
          <w:bCs/>
          <w:color w:val="1F1F1F"/>
        </w:rPr>
        <w:t>Standard:</w:t>
      </w:r>
      <w:r>
        <w:rPr>
          <w:rFonts w:ascii="Google Sans" w:eastAsia="Google Sans" w:hAnsi="Google Sans" w:cs="Google Sans"/>
          <w:color w:val="1F1F1F"/>
        </w:rPr>
        <w:t>Cohen</w:t>
      </w:r>
      <w:proofErr w:type="spellEnd"/>
      <w:proofErr w:type="gramEnd"/>
      <w:r>
        <w:rPr>
          <w:rFonts w:ascii="Google Sans" w:eastAsia="Google Sans" w:hAnsi="Google Sans" w:cs="Google Sans"/>
          <w:color w:val="1F1F1F"/>
        </w:rPr>
        <w:t>, Dara Ka</w:t>
      </w:r>
      <w:r>
        <w:rPr>
          <w:rFonts w:ascii="Google Sans" w:eastAsia="Google Sans" w:hAnsi="Google Sans" w:cs="Google Sans"/>
          <w:color w:val="1F1F1F"/>
        </w:rPr>
        <w:t xml:space="preserve">y, and </w:t>
      </w:r>
      <w:proofErr w:type="spellStart"/>
      <w:r>
        <w:rPr>
          <w:rFonts w:ascii="Google Sans" w:eastAsia="Google Sans" w:hAnsi="Google Sans" w:cs="Google Sans"/>
          <w:color w:val="1F1F1F"/>
        </w:rPr>
        <w:t>Ragnhild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Nordås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. </w:t>
      </w:r>
      <w:r>
        <w:rPr>
          <w:rFonts w:ascii="Google Sans" w:eastAsia="Google Sans" w:hAnsi="Google Sans" w:cs="Google Sans"/>
          <w:i/>
          <w:iCs/>
          <w:color w:val="1F1F1F"/>
        </w:rPr>
        <w:t>Sexual Violence in Armed Conflict (SVAC) Dataset</w:t>
      </w:r>
      <w:r>
        <w:rPr>
          <w:rFonts w:ascii="Google Sans" w:eastAsia="Google Sans" w:hAnsi="Google Sans" w:cs="Google Sans"/>
          <w:color w:val="1F1F1F"/>
        </w:rPr>
        <w:t>. Peace Research Institute Oslo (PRIO) &amp; Harvard Kennedy School.</w:t>
      </w:r>
    </w:p>
    <w:p w:rsidR="00E5066A" w:rsidRDefault="00D050C2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Primary Documentation Streams:</w:t>
      </w:r>
      <w:r>
        <w:rPr>
          <w:rFonts w:ascii="Google Sans" w:eastAsia="Google Sans" w:hAnsi="Google Sans" w:cs="Google Sans"/>
          <w:color w:val="1F1F1F"/>
        </w:rPr>
        <w:t xml:space="preserve"> The dataset triangulates findings from three authoritative monitoring sources:</w:t>
      </w:r>
    </w:p>
    <w:p w:rsidR="00E5066A" w:rsidRDefault="00D050C2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United Na</w:t>
      </w:r>
      <w:r>
        <w:rPr>
          <w:rFonts w:ascii="Google Sans" w:eastAsia="Google Sans" w:hAnsi="Google Sans" w:cs="Google Sans"/>
          <w:color w:val="1F1F1F"/>
        </w:rPr>
        <w:t>tions Secretary-General Annual Reports on Conflict-Related Sexual Violence and Children and Armed Conflict.</w:t>
      </w:r>
    </w:p>
    <w:p w:rsidR="00E5066A" w:rsidRDefault="00D050C2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United States Department of State Country Reports on Human Rights Practices.</w:t>
      </w:r>
    </w:p>
    <w:p w:rsidR="00E5066A" w:rsidRDefault="00D050C2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Authoritative human rights reporting from Amnesty International and Hum</w:t>
      </w:r>
      <w:r>
        <w:rPr>
          <w:rFonts w:ascii="Google Sans" w:eastAsia="Google Sans" w:hAnsi="Google Sans" w:cs="Google Sans"/>
          <w:color w:val="1F1F1F"/>
        </w:rPr>
        <w:t>an Rights Watch.</w:t>
      </w:r>
    </w:p>
    <w:p w:rsidR="00E5066A" w:rsidRDefault="00D050C2">
      <w:pPr>
        <w:pStyle w:val="Heading3"/>
        <w:spacing w:before="0" w:after="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A.2 Acquisition &amp; Transformation Pipeline</w:t>
      </w:r>
    </w:p>
    <w:p w:rsidR="00E5066A" w:rsidRDefault="00D050C2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Extraction:</w:t>
      </w:r>
      <w:r>
        <w:rPr>
          <w:rFonts w:ascii="Google Sans" w:eastAsia="Google Sans" w:hAnsi="Google Sans" w:cs="Google Sans"/>
          <w:color w:val="1F1F1F"/>
        </w:rPr>
        <w:t xml:space="preserve"> The full global SVAC repository was accessed through PRIO’s open data repository and filtered to extract conflict actors operating within Nigeria from 1995 to 2023.</w:t>
      </w:r>
    </w:p>
    <w:p w:rsidR="00E5066A" w:rsidRDefault="00D050C2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Standardization:</w:t>
      </w:r>
      <w:r>
        <w:rPr>
          <w:rFonts w:ascii="Google Sans" w:eastAsia="Google Sans" w:hAnsi="Google Sans" w:cs="Google Sans"/>
          <w:color w:val="1F1F1F"/>
        </w:rPr>
        <w:t xml:space="preserve"> Entities were standardized into state statutory forces and non-state insurgent factions (JAS and ISWAP).</w:t>
      </w:r>
    </w:p>
    <w:p w:rsidR="00E5066A" w:rsidRDefault="00D050C2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Metric Calculation:</w:t>
      </w:r>
      <w:r>
        <w:rPr>
          <w:rFonts w:ascii="Google Sans" w:eastAsia="Google Sans" w:hAnsi="Google Sans" w:cs="Google Sans"/>
          <w:color w:val="1F1F1F"/>
        </w:rPr>
        <w:t xml:space="preserve"> Prevalence scores across all three source streams were evaluated using max-aggregation logic to construct standardized integer var</w:t>
      </w:r>
      <w:r>
        <w:rPr>
          <w:rFonts w:ascii="Google Sans" w:eastAsia="Google Sans" w:hAnsi="Google Sans" w:cs="Google Sans"/>
          <w:color w:val="1F1F1F"/>
        </w:rPr>
        <w:t>iables (</w:t>
      </w:r>
      <w:proofErr w:type="spellStart"/>
      <w:r>
        <w:rPr>
          <w:rFonts w:ascii="Google Sans" w:eastAsia="Google Sans" w:hAnsi="Google Sans" w:cs="Google Sans"/>
          <w:color w:val="1F1F1F"/>
        </w:rPr>
        <w:t>max_prevalence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and </w:t>
      </w:r>
      <w:proofErr w:type="spellStart"/>
      <w:r>
        <w:rPr>
          <w:rFonts w:ascii="Google Sans" w:eastAsia="Google Sans" w:hAnsi="Google Sans" w:cs="Google Sans"/>
          <w:color w:val="1F1F1F"/>
        </w:rPr>
        <w:t>child_prevalence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scaled 0–3). DAX measures were built in Microsoft Power BI Desktop by </w:t>
      </w:r>
      <w:proofErr w:type="spellStart"/>
      <w:r>
        <w:rPr>
          <w:rFonts w:ascii="Google Sans" w:eastAsia="Google Sans" w:hAnsi="Google Sans" w:cs="Google Sans"/>
          <w:color w:val="1F1F1F"/>
        </w:rPr>
        <w:t>Sayemo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Harris to compute institutional liability totals and longitudinal trajectories.</w:t>
      </w:r>
    </w:p>
    <w:p w:rsidR="00E5066A" w:rsidRDefault="00D050C2">
      <w:pPr>
        <w:pStyle w:val="Heading3"/>
        <w:spacing w:before="0" w:after="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A.3 Open Data Licensing &amp; Attribution Terms</w:t>
      </w:r>
    </w:p>
    <w:p w:rsidR="00E5066A" w:rsidRDefault="00D050C2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License: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b/>
          <w:bCs/>
          <w:color w:val="1F1F1F"/>
        </w:rPr>
        <w:t>C</w:t>
      </w:r>
      <w:r>
        <w:rPr>
          <w:rFonts w:ascii="Google Sans" w:eastAsia="Google Sans" w:hAnsi="Google Sans" w:cs="Google Sans"/>
          <w:b/>
          <w:bCs/>
          <w:color w:val="1F1F1F"/>
        </w:rPr>
        <w:t>reative Commons Attribution 4.0 International (CC BY 4.0)</w:t>
      </w:r>
      <w:r>
        <w:rPr>
          <w:rFonts w:ascii="Google Sans" w:eastAsia="Google Sans" w:hAnsi="Google Sans" w:cs="Google Sans"/>
          <w:color w:val="1F1F1F"/>
        </w:rPr>
        <w:t xml:space="preserve"> / Open Access Academic Research Data License.</w:t>
      </w:r>
    </w:p>
    <w:p w:rsidR="00E5066A" w:rsidRDefault="00D050C2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Permitted Use:</w:t>
      </w:r>
      <w:r>
        <w:rPr>
          <w:rFonts w:ascii="Google Sans" w:eastAsia="Google Sans" w:hAnsi="Google Sans" w:cs="Google Sans"/>
          <w:color w:val="1F1F1F"/>
        </w:rPr>
        <w:t xml:space="preserve"> Open to sharing, copying, adapting, and redistributing in any medium or format for research, reporting, advocacy, and policy development.</w:t>
      </w:r>
    </w:p>
    <w:p w:rsidR="00E5066A" w:rsidRDefault="00D050C2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Attribution Requirement:</w:t>
      </w:r>
      <w:r>
        <w:rPr>
          <w:rFonts w:ascii="Google Sans" w:eastAsia="Google Sans" w:hAnsi="Google Sans" w:cs="Google Sans"/>
          <w:color w:val="1F1F1F"/>
        </w:rPr>
        <w:t xml:space="preserve"> Any secondary publication, policy brief, dashboard, or report using these metrics must acknowledge the original data collectors (Cohen &amp; </w:t>
      </w:r>
      <w:proofErr w:type="spellStart"/>
      <w:r>
        <w:rPr>
          <w:rFonts w:ascii="Google Sans" w:eastAsia="Google Sans" w:hAnsi="Google Sans" w:cs="Google Sans"/>
          <w:color w:val="1F1F1F"/>
        </w:rPr>
        <w:t>Nordås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/ PRIO), with citation of this analytical compilation and model adaptation attributed </w:t>
      </w:r>
      <w:r>
        <w:rPr>
          <w:rFonts w:ascii="Google Sans" w:eastAsia="Google Sans" w:hAnsi="Google Sans" w:cs="Google Sans"/>
          <w:color w:val="1F1F1F"/>
        </w:rPr>
        <w:t>to:</w:t>
      </w:r>
      <w:r w:rsidR="00545244">
        <w:rPr>
          <w:rFonts w:ascii="Google Sans" w:eastAsia="Google Sans" w:hAnsi="Google Sans" w:cs="Google Sans"/>
          <w:color w:val="1F1F1F"/>
        </w:rPr>
        <w:t xml:space="preserve"> </w:t>
      </w:r>
      <w:bookmarkStart w:id="0" w:name="_GoBack"/>
      <w:bookmarkEnd w:id="0"/>
      <w:r>
        <w:rPr>
          <w:rFonts w:ascii="Google Sans" w:eastAsia="Google Sans" w:hAnsi="Google Sans" w:cs="Google Sans"/>
          <w:b/>
          <w:bCs/>
          <w:color w:val="1F1F1F"/>
        </w:rPr>
        <w:t xml:space="preserve">Harris,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Sayemo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>.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i/>
          <w:iCs/>
          <w:color w:val="1F1F1F"/>
        </w:rPr>
        <w:t>Conflict-Related Sexual Violence (CRSV) &amp; Reparation Deficits in Nigeria: An Empirical Policy Assessment (1995–2023)</w:t>
      </w:r>
      <w:r>
        <w:rPr>
          <w:rFonts w:ascii="Google Sans" w:eastAsia="Google Sans" w:hAnsi="Google Sans" w:cs="Google Sans"/>
          <w:color w:val="1F1F1F"/>
        </w:rPr>
        <w:t>. Analytical Dashboard &amp; Policy Brief, 2026.</w:t>
      </w:r>
    </w:p>
    <w:sectPr w:rsidR="00E5066A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CF10E7B2-0ED7-4F72-964D-D11CD529B216}"/>
  </w:font>
  <w:font w:name="Google Sans">
    <w:charset w:val="00"/>
    <w:family w:val="auto"/>
    <w:pitch w:val="default"/>
    <w:embedRegular r:id="rId2" w:fontKey="{876FB39F-5C38-436C-8AA9-ED02FA375A27}"/>
    <w:embedBold r:id="rId3" w:fontKey="{6666DB52-B279-4C71-9F3D-30A129079FA9}"/>
    <w:embedItalic r:id="rId4" w:fontKey="{833E9E98-717E-4404-81C0-A2B0EE08AEB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3030A6E7-9C31-4CB2-B2F2-448AD23A6A1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CBC2CB2E-1171-4AE9-8FA6-9CAF10CABC98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1F3593"/>
    <w:multiLevelType w:val="multilevel"/>
    <w:tmpl w:val="19D090D0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062C08FD"/>
    <w:multiLevelType w:val="multilevel"/>
    <w:tmpl w:val="0EAE64C0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15161E14"/>
    <w:multiLevelType w:val="multilevel"/>
    <w:tmpl w:val="5060D756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5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7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1C186ABC"/>
    <w:multiLevelType w:val="multilevel"/>
    <w:tmpl w:val="FB30016E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204E18AC"/>
    <w:multiLevelType w:val="multilevel"/>
    <w:tmpl w:val="5E44E0FC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2C1C684D"/>
    <w:multiLevelType w:val="multilevel"/>
    <w:tmpl w:val="43D23C38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5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7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3CF5535C"/>
    <w:multiLevelType w:val="multilevel"/>
    <w:tmpl w:val="5CB2A40A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65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4E862C91"/>
    <w:multiLevelType w:val="multilevel"/>
    <w:tmpl w:val="0A14FA8E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51E46503"/>
    <w:multiLevelType w:val="multilevel"/>
    <w:tmpl w:val="CA326B20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5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7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53510AA5"/>
    <w:multiLevelType w:val="multilevel"/>
    <w:tmpl w:val="17D84218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65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56FF2A59"/>
    <w:multiLevelType w:val="multilevel"/>
    <w:tmpl w:val="AEEAF5AE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5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7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5D1C3EDF"/>
    <w:multiLevelType w:val="multilevel"/>
    <w:tmpl w:val="3EA49F64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5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7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" w15:restartNumberingAfterBreak="0">
    <w:nsid w:val="63840C13"/>
    <w:multiLevelType w:val="multilevel"/>
    <w:tmpl w:val="B0F4FD6C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65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3" w15:restartNumberingAfterBreak="0">
    <w:nsid w:val="6BCD6915"/>
    <w:multiLevelType w:val="multilevel"/>
    <w:tmpl w:val="36328A82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>
    <w:abstractNumId w:val="3"/>
  </w:num>
  <w:num w:numId="2">
    <w:abstractNumId w:val="4"/>
  </w:num>
  <w:num w:numId="3">
    <w:abstractNumId w:val="9"/>
  </w:num>
  <w:num w:numId="4">
    <w:abstractNumId w:val="0"/>
  </w:num>
  <w:num w:numId="5">
    <w:abstractNumId w:val="1"/>
  </w:num>
  <w:num w:numId="6">
    <w:abstractNumId w:val="8"/>
  </w:num>
  <w:num w:numId="7">
    <w:abstractNumId w:val="2"/>
  </w:num>
  <w:num w:numId="8">
    <w:abstractNumId w:val="10"/>
  </w:num>
  <w:num w:numId="9">
    <w:abstractNumId w:val="11"/>
  </w:num>
  <w:num w:numId="10">
    <w:abstractNumId w:val="5"/>
  </w:num>
  <w:num w:numId="11">
    <w:abstractNumId w:val="6"/>
  </w:num>
  <w:num w:numId="12">
    <w:abstractNumId w:val="12"/>
  </w:num>
  <w:num w:numId="13">
    <w:abstractNumId w:val="7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066A"/>
    <w:rsid w:val="00545244"/>
    <w:rsid w:val="00D050C2"/>
    <w:rsid w:val="00E506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D67196"/>
  <w15:docId w15:val="{53B7456F-6982-44ED-8AA4-A4163D0D0A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1450</Words>
  <Characters>8266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2</cp:revision>
  <dcterms:created xsi:type="dcterms:W3CDTF">2026-10-04T00:30:00Z</dcterms:created>
  <dcterms:modified xsi:type="dcterms:W3CDTF">2026-10-04T00:41:00Z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aaa7308622985a362c2568ed1da6ea72d4a8f3c0e564f9b1e369244f09371638</vt:lpwstr>
  </property>
</Properties>
</file>