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56F" w:rsidRDefault="00BC3ECF">
      <w:pPr>
        <w:spacing w:after="80"/>
      </w:pPr>
      <w:r>
        <w:rPr>
          <w:rFonts w:ascii="Georgia" w:hAnsi="Georgia"/>
          <w:b/>
          <w:color w:val="1A365D"/>
          <w:sz w:val="36"/>
        </w:rPr>
        <w:t>Conflict-Related Sexual Violence (CRSV) &amp; Reparation Deficits in Nigeria: An Empirical Policy Assessment (1995–2023)</w:t>
      </w:r>
    </w:p>
    <w:p w:rsidR="00CB256F" w:rsidRDefault="00BC3ECF">
      <w:pPr>
        <w:spacing w:after="160"/>
      </w:pPr>
      <w:r>
        <w:rPr>
          <w:rFonts w:ascii="Calibri" w:hAnsi="Calibri"/>
          <w:i/>
          <w:color w:val="4A5568"/>
          <w:sz w:val="23"/>
        </w:rPr>
        <w:t>Decoupling Survivor Redress from Inaccessible Judicial Dockets via Administrative Interim Reparative Measures (IRMs)</w:t>
      </w:r>
    </w:p>
    <w:p w:rsidR="00CB256F" w:rsidRPr="00127EC3" w:rsidRDefault="00BC3ECF">
      <w:pPr>
        <w:spacing w:after="280"/>
        <w:rPr>
          <w:sz w:val="21"/>
          <w:szCs w:val="21"/>
        </w:rPr>
      </w:pPr>
      <w:r w:rsidRPr="00127EC3">
        <w:rPr>
          <w:rFonts w:ascii="Calibri" w:hAnsi="Calibri"/>
          <w:color w:val="4A5568"/>
          <w:sz w:val="21"/>
          <w:szCs w:val="21"/>
        </w:rPr>
        <w:t>Author: Sayemo Harris</w:t>
      </w:r>
      <w:r w:rsidRPr="00127EC3">
        <w:rPr>
          <w:rFonts w:ascii="Calibri" w:hAnsi="Calibri"/>
          <w:color w:val="4A5568"/>
          <w:sz w:val="21"/>
          <w:szCs w:val="21"/>
        </w:rPr>
        <w:t xml:space="preserve">  |  Date: October 2026</w:t>
      </w:r>
      <w:r w:rsidRPr="00127EC3">
        <w:rPr>
          <w:rFonts w:ascii="Calibri" w:hAnsi="Calibri"/>
          <w:color w:val="4A5568"/>
          <w:sz w:val="21"/>
          <w:szCs w:val="21"/>
        </w:rPr>
        <w:br/>
        <w:t>Methodological Framework: Longitudinal Secondary Analysis based on the SVAC 3.3 Dataset (PRIO/Harvard)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1A365D"/>
          <w:sz w:val="28"/>
        </w:rPr>
        <w:t>1. Executive Summary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This policy report provides a systematic evaluation of institutional exposure patterns, longitudinal severit</w:t>
      </w:r>
      <w:r>
        <w:rPr>
          <w:rFonts w:ascii="Calibri" w:hAnsi="Calibri"/>
          <w:color w:val="1E293B"/>
          <w:sz w:val="21"/>
        </w:rPr>
        <w:t>y trajectories, and post-conflict reparation deficits related to Conflict-Related Sexual Violence (CRSV) in Nigeria. Grounded in standardized, longitudinal conflict-actor data from 1995 to 2023, the analysis moves beyond localized case studies to construct</w:t>
      </w:r>
      <w:r>
        <w:rPr>
          <w:rFonts w:ascii="Calibri" w:hAnsi="Calibri"/>
          <w:color w:val="1E293B"/>
          <w:sz w:val="21"/>
        </w:rPr>
        <w:t xml:space="preserve"> an empirical baseline of documented violation frequency and institutional exposure across sovereign security forces and non-state insurgent factions.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Core Analytical Findings</w:t>
      </w:r>
    </w:p>
    <w:p w:rsidR="00CB256F" w:rsidRPr="007C0988" w:rsidRDefault="00BC3ECF">
      <w:pPr>
        <w:spacing w:after="8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color w:val="1E293B"/>
          <w:sz w:val="21"/>
          <w:szCs w:val="21"/>
        </w:rPr>
        <w:t xml:space="preserve">Aggregated Institutional Exposure (33 Cumulative Actor-Violation Years): </w:t>
      </w:r>
      <w:r w:rsidRPr="007C0988">
        <w:rPr>
          <w:rFonts w:ascii="Calibri" w:hAnsi="Calibri"/>
          <w:color w:val="1E293B"/>
          <w:sz w:val="21"/>
          <w:szCs w:val="21"/>
        </w:rPr>
        <w:t>Betwe</w:t>
      </w:r>
      <w:r w:rsidRPr="007C0988">
        <w:rPr>
          <w:rFonts w:ascii="Calibri" w:hAnsi="Calibri"/>
          <w:color w:val="1E293B"/>
          <w:sz w:val="21"/>
          <w:szCs w:val="21"/>
        </w:rPr>
        <w:t>en 1995 and 2023, armed actors in Nigeria accumulated a combined 33 actor-years of active, documented sexual violence. Because state forces and insurgent groups operated concurrently during high-intensity conflict phases, this total reflects additive actor</w:t>
      </w:r>
      <w:r w:rsidRPr="007C0988">
        <w:rPr>
          <w:rFonts w:ascii="Calibri" w:hAnsi="Calibri"/>
          <w:color w:val="1E293B"/>
          <w:sz w:val="21"/>
          <w:szCs w:val="21"/>
        </w:rPr>
        <w:t>-year observations across concurrent forces, rather than 33 unique calendar years of conflict.</w:t>
      </w:r>
    </w:p>
    <w:p w:rsidR="00CB256F" w:rsidRPr="007C0988" w:rsidRDefault="00BC3ECF">
      <w:pPr>
        <w:spacing w:after="8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color w:val="1E293B"/>
          <w:sz w:val="21"/>
          <w:szCs w:val="21"/>
        </w:rPr>
        <w:t xml:space="preserve">Direct State Institutional Footprint (14 Actor-Years / 42.4%): </w:t>
      </w:r>
      <w:r w:rsidRPr="007C0988">
        <w:rPr>
          <w:rFonts w:ascii="Calibri" w:hAnsi="Calibri"/>
          <w:color w:val="1E293B"/>
          <w:sz w:val="21"/>
          <w:szCs w:val="21"/>
        </w:rPr>
        <w:t>Statutory armed forces (incorporating military formations and police commands) account for 14 do</w:t>
      </w:r>
      <w:r w:rsidRPr="007C0988">
        <w:rPr>
          <w:rFonts w:ascii="Calibri" w:hAnsi="Calibri"/>
          <w:color w:val="1E293B"/>
          <w:sz w:val="21"/>
          <w:szCs w:val="21"/>
        </w:rPr>
        <w:t>cumented violation actor-years between 2004 and 2019. Because statutory actors bear positive human rights and international humanitarian law obligations, this substantial empirical footprint provides a compelling imperative for the state to fulfill positiv</w:t>
      </w:r>
      <w:r w:rsidRPr="007C0988">
        <w:rPr>
          <w:rFonts w:ascii="Calibri" w:hAnsi="Calibri"/>
          <w:color w:val="1E293B"/>
          <w:sz w:val="21"/>
          <w:szCs w:val="21"/>
        </w:rPr>
        <w:t>e duties through administrative redress and structural guarantees of non-recurrence.</w:t>
      </w:r>
    </w:p>
    <w:p w:rsidR="00CB256F" w:rsidRPr="007C0988" w:rsidRDefault="00BC3ECF">
      <w:pPr>
        <w:spacing w:after="8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color w:val="1E293B"/>
          <w:sz w:val="21"/>
          <w:szCs w:val="21"/>
        </w:rPr>
        <w:t xml:space="preserve">Protracted Insurgent Severity (19 Actor-Years / 57.6%): </w:t>
      </w:r>
      <w:r w:rsidR="007C0988">
        <w:rPr>
          <w:rFonts w:ascii="Calibri" w:hAnsi="Calibri"/>
          <w:color w:val="1E293B"/>
          <w:sz w:val="21"/>
          <w:szCs w:val="21"/>
        </w:rPr>
        <w:t xml:space="preserve">Non-State Armed Groups, </w:t>
      </w:r>
      <w:r w:rsidRPr="007C0988">
        <w:rPr>
          <w:rFonts w:ascii="Calibri" w:hAnsi="Calibri"/>
          <w:color w:val="1E293B"/>
          <w:sz w:val="21"/>
          <w:szCs w:val="21"/>
        </w:rPr>
        <w:t>specifically Boko Haram (</w:t>
      </w:r>
      <w:proofErr w:type="spellStart"/>
      <w:r w:rsidRPr="007C0988">
        <w:rPr>
          <w:rFonts w:ascii="Calibri" w:hAnsi="Calibri"/>
          <w:color w:val="1E293B"/>
          <w:sz w:val="21"/>
          <w:szCs w:val="21"/>
        </w:rPr>
        <w:t>Jamā'at</w:t>
      </w:r>
      <w:proofErr w:type="spellEnd"/>
      <w:r w:rsidRPr="007C0988">
        <w:rPr>
          <w:rFonts w:ascii="Calibri" w:hAnsi="Calibri"/>
          <w:color w:val="1E293B"/>
          <w:sz w:val="21"/>
          <w:szCs w:val="21"/>
        </w:rPr>
        <w:t xml:space="preserve"> Ahl </w:t>
      </w:r>
      <w:proofErr w:type="gramStart"/>
      <w:r w:rsidRPr="007C0988">
        <w:rPr>
          <w:rFonts w:ascii="Calibri" w:hAnsi="Calibri"/>
          <w:color w:val="1E293B"/>
          <w:sz w:val="21"/>
          <w:szCs w:val="21"/>
        </w:rPr>
        <w:t>as</w:t>
      </w:r>
      <w:proofErr w:type="gramEnd"/>
      <w:r w:rsidRPr="007C0988">
        <w:rPr>
          <w:rFonts w:ascii="Calibri" w:hAnsi="Calibri"/>
          <w:color w:val="1E293B"/>
          <w:sz w:val="21"/>
          <w:szCs w:val="21"/>
        </w:rPr>
        <w:t>-Sunnah lid-Da'wah wa'l-Jihād - JAS) and the Islami</w:t>
      </w:r>
      <w:r w:rsidRPr="007C0988">
        <w:rPr>
          <w:rFonts w:ascii="Calibri" w:hAnsi="Calibri"/>
          <w:color w:val="1E293B"/>
          <w:sz w:val="21"/>
          <w:szCs w:val="21"/>
        </w:rPr>
        <w:t>c Sta</w:t>
      </w:r>
      <w:r w:rsidR="00127EC3">
        <w:rPr>
          <w:rFonts w:ascii="Calibri" w:hAnsi="Calibri"/>
          <w:color w:val="1E293B"/>
          <w:sz w:val="21"/>
          <w:szCs w:val="21"/>
        </w:rPr>
        <w:t xml:space="preserve">te West Africa Province (ISWAP), </w:t>
      </w:r>
      <w:r w:rsidRPr="007C0988">
        <w:rPr>
          <w:rFonts w:ascii="Calibri" w:hAnsi="Calibri"/>
          <w:color w:val="1E293B"/>
          <w:sz w:val="21"/>
          <w:szCs w:val="21"/>
        </w:rPr>
        <w:t>demonstrate sustained violations, maintaining peak systematic severity (prevalence level 3) continuously through 2023.</w:t>
      </w:r>
    </w:p>
    <w:p w:rsidR="00CB256F" w:rsidRPr="007C0988" w:rsidRDefault="00BC3ECF">
      <w:pPr>
        <w:spacing w:after="8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color w:val="1E293B"/>
          <w:sz w:val="21"/>
          <w:szCs w:val="21"/>
        </w:rPr>
        <w:t xml:space="preserve">High-Risk Targeting of Children (19 Actor-Years): </w:t>
      </w:r>
      <w:r w:rsidRPr="007C0988">
        <w:rPr>
          <w:rFonts w:ascii="Calibri" w:hAnsi="Calibri"/>
          <w:color w:val="1E293B"/>
          <w:sz w:val="21"/>
          <w:szCs w:val="21"/>
        </w:rPr>
        <w:t>In 19 actor-years, documented violations against</w:t>
      </w:r>
      <w:r w:rsidRPr="007C0988">
        <w:rPr>
          <w:rFonts w:ascii="Calibri" w:hAnsi="Calibri"/>
          <w:color w:val="1E293B"/>
          <w:sz w:val="21"/>
          <w:szCs w:val="21"/>
        </w:rPr>
        <w:t xml:space="preserve"> children reached massive or systematic proportions (prevalence score ≥ 2), highlighting a protracted vulnerability profile requiring specialized, multi-generational reparative and educational frameworks.</w:t>
      </w:r>
    </w:p>
    <w:p w:rsidR="00CB256F" w:rsidRDefault="00BC3ECF">
      <w:pPr>
        <w:spacing w:after="80"/>
        <w:ind w:left="360"/>
        <w:rPr>
          <w:rFonts w:ascii="Calibri" w:hAnsi="Calibri"/>
          <w:color w:val="1E293B"/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color w:val="1E293B"/>
          <w:sz w:val="21"/>
          <w:szCs w:val="21"/>
        </w:rPr>
        <w:t xml:space="preserve">The Structural Reparations Deficit: </w:t>
      </w:r>
      <w:r w:rsidRPr="007C0988">
        <w:rPr>
          <w:rFonts w:ascii="Calibri" w:hAnsi="Calibri"/>
          <w:color w:val="1E293B"/>
          <w:sz w:val="21"/>
          <w:szCs w:val="21"/>
        </w:rPr>
        <w:t>Despite clear</w:t>
      </w:r>
      <w:r w:rsidRPr="007C0988">
        <w:rPr>
          <w:rFonts w:ascii="Calibri" w:hAnsi="Calibri"/>
          <w:color w:val="1E293B"/>
          <w:sz w:val="21"/>
          <w:szCs w:val="21"/>
        </w:rPr>
        <w:t xml:space="preserve"> empirical evidence of systematic harm spanning decades, victim redress is structurally inaccessible within existing legal frameworks. Because redress is theoretically subordinated to i</w:t>
      </w:r>
      <w:r w:rsidR="007C0988">
        <w:rPr>
          <w:rFonts w:ascii="Calibri" w:hAnsi="Calibri"/>
          <w:color w:val="1E293B"/>
          <w:sz w:val="21"/>
          <w:szCs w:val="21"/>
        </w:rPr>
        <w:t xml:space="preserve">ndividual criminal prosecutions </w:t>
      </w:r>
      <w:r w:rsidRPr="007C0988">
        <w:rPr>
          <w:rFonts w:ascii="Calibri" w:hAnsi="Calibri"/>
          <w:color w:val="1E293B"/>
          <w:sz w:val="21"/>
          <w:szCs w:val="21"/>
        </w:rPr>
        <w:t>where perpetrators are largely unidenti</w:t>
      </w:r>
      <w:r w:rsidRPr="007C0988">
        <w:rPr>
          <w:rFonts w:ascii="Calibri" w:hAnsi="Calibri"/>
          <w:color w:val="1E293B"/>
          <w:sz w:val="21"/>
          <w:szCs w:val="21"/>
        </w:rPr>
        <w:t xml:space="preserve">fiable, </w:t>
      </w:r>
      <w:r w:rsidR="007C0988">
        <w:rPr>
          <w:rFonts w:ascii="Calibri" w:hAnsi="Calibri"/>
          <w:color w:val="1E293B"/>
          <w:sz w:val="21"/>
          <w:szCs w:val="21"/>
        </w:rPr>
        <w:t xml:space="preserve">deceased, or beyond legal reach </w:t>
      </w:r>
      <w:r w:rsidRPr="007C0988">
        <w:rPr>
          <w:rFonts w:ascii="Calibri" w:hAnsi="Calibri"/>
          <w:color w:val="1E293B"/>
          <w:sz w:val="21"/>
          <w:szCs w:val="21"/>
        </w:rPr>
        <w:t xml:space="preserve">and because existing counter-terrorism dockets focus exclusively on state security rather than victim restitution, thousands of survivors receive zero urgent </w:t>
      </w:r>
      <w:r w:rsidRPr="007C0988">
        <w:rPr>
          <w:rFonts w:ascii="Calibri" w:hAnsi="Calibri"/>
          <w:color w:val="1E293B"/>
          <w:sz w:val="21"/>
          <w:szCs w:val="21"/>
        </w:rPr>
        <w:lastRenderedPageBreak/>
        <w:t xml:space="preserve">medical care, fistula repair, or rehabilitation. </w:t>
      </w:r>
      <w:r w:rsidR="00127EC3">
        <w:rPr>
          <w:rFonts w:ascii="Calibri" w:hAnsi="Calibri"/>
          <w:color w:val="1E293B"/>
          <w:sz w:val="21"/>
          <w:szCs w:val="21"/>
        </w:rPr>
        <w:t xml:space="preserve">A policy deficit remains </w:t>
      </w:r>
      <w:r w:rsidRPr="007C0988">
        <w:rPr>
          <w:rFonts w:ascii="Calibri" w:hAnsi="Calibri"/>
          <w:color w:val="1E293B"/>
          <w:sz w:val="21"/>
          <w:szCs w:val="21"/>
        </w:rPr>
        <w:t xml:space="preserve">in dedicated, non-judicial </w:t>
      </w:r>
      <w:bookmarkStart w:id="0" w:name="_GoBack"/>
      <w:bookmarkEnd w:id="0"/>
      <w:r w:rsidRPr="007C0988">
        <w:rPr>
          <w:rFonts w:ascii="Calibri" w:hAnsi="Calibri"/>
          <w:color w:val="1E293B"/>
          <w:sz w:val="21"/>
          <w:szCs w:val="21"/>
        </w:rPr>
        <w:t>administrative reparations and Interim Reparative Measures (IRMs).</w:t>
      </w:r>
    </w:p>
    <w:p w:rsidR="001B0A40" w:rsidRDefault="00920846">
      <w:pPr>
        <w:spacing w:after="80"/>
        <w:ind w:left="360"/>
        <w:rPr>
          <w:rFonts w:ascii="Calibri" w:hAnsi="Calibri"/>
          <w:color w:val="1E293B"/>
          <w:sz w:val="21"/>
          <w:szCs w:val="21"/>
        </w:rPr>
      </w:pPr>
      <w:r>
        <w:rPr>
          <w:b/>
          <w:sz w:val="21"/>
          <w:szCs w:val="21"/>
        </w:rPr>
        <w:t>Fig 1.</w:t>
      </w:r>
      <w:r>
        <w:rPr>
          <w:rFonts w:ascii="Calibri" w:hAnsi="Calibri"/>
          <w:color w:val="1E293B"/>
          <w:sz w:val="21"/>
          <w:szCs w:val="21"/>
        </w:rPr>
        <w:t xml:space="preserve"> Conflict-Related Sexual Violence (CRSV) &amp; Reparation Deficit Analysis</w:t>
      </w:r>
    </w:p>
    <w:p w:rsidR="001B0A40" w:rsidRPr="007C0988" w:rsidRDefault="001B0A40">
      <w:pPr>
        <w:spacing w:after="80"/>
        <w:ind w:left="360"/>
        <w:rPr>
          <w:sz w:val="21"/>
          <w:szCs w:val="21"/>
        </w:rPr>
      </w:pPr>
      <w:r>
        <w:rPr>
          <w:noProof/>
        </w:rPr>
        <w:drawing>
          <wp:inline distT="0" distB="0" distL="0" distR="0" wp14:anchorId="0BC7B5AE" wp14:editId="07917DCD">
            <wp:extent cx="5943600" cy="3350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lict-Related Sexual Violence (CRSV) &amp; Reparation Deficit Analysis-Nigeria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1A365D"/>
          <w:sz w:val="28"/>
        </w:rPr>
        <w:t>2. Methodology &amp; Analytical Framework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2.1 Scope and Unit of Analysis</w:t>
      </w:r>
    </w:p>
    <w:p w:rsidR="00CB256F" w:rsidRPr="00127EC3" w:rsidRDefault="00BC3ECF">
      <w:pPr>
        <w:spacing w:after="60"/>
        <w:ind w:left="360"/>
        <w:rPr>
          <w:sz w:val="21"/>
          <w:szCs w:val="21"/>
        </w:rPr>
      </w:pPr>
      <w:r w:rsidRPr="00127EC3">
        <w:rPr>
          <w:b/>
          <w:sz w:val="21"/>
          <w:szCs w:val="21"/>
        </w:rPr>
        <w:t xml:space="preserve">• </w:t>
      </w:r>
      <w:r w:rsidRPr="00127EC3">
        <w:rPr>
          <w:rFonts w:ascii="Calibri" w:hAnsi="Calibri"/>
          <w:b/>
          <w:sz w:val="21"/>
          <w:szCs w:val="21"/>
        </w:rPr>
        <w:t xml:space="preserve">Temporal Coverage: </w:t>
      </w:r>
      <w:r w:rsidRPr="00127EC3">
        <w:rPr>
          <w:rFonts w:ascii="Calibri" w:hAnsi="Calibri"/>
          <w:sz w:val="21"/>
          <w:szCs w:val="21"/>
        </w:rPr>
        <w:t>1995–2023 conflict actor-years within the territ</w:t>
      </w:r>
      <w:r w:rsidRPr="00127EC3">
        <w:rPr>
          <w:rFonts w:ascii="Calibri" w:hAnsi="Calibri"/>
          <w:sz w:val="21"/>
          <w:szCs w:val="21"/>
        </w:rPr>
        <w:t>orial boundaries of Nigeria.</w:t>
      </w:r>
    </w:p>
    <w:p w:rsidR="00CB256F" w:rsidRPr="00127EC3" w:rsidRDefault="00BC3ECF">
      <w:pPr>
        <w:spacing w:after="60"/>
        <w:ind w:left="360"/>
        <w:rPr>
          <w:sz w:val="21"/>
          <w:szCs w:val="21"/>
        </w:rPr>
      </w:pPr>
      <w:r w:rsidRPr="00127EC3">
        <w:rPr>
          <w:b/>
          <w:sz w:val="21"/>
          <w:szCs w:val="21"/>
        </w:rPr>
        <w:t xml:space="preserve">• </w:t>
      </w:r>
      <w:r w:rsidRPr="00127EC3">
        <w:rPr>
          <w:rFonts w:ascii="Calibri" w:hAnsi="Calibri"/>
          <w:b/>
          <w:sz w:val="21"/>
          <w:szCs w:val="21"/>
        </w:rPr>
        <w:t xml:space="preserve">Analytical Actor Groupings: </w:t>
      </w:r>
      <w:r w:rsidRPr="00127EC3">
        <w:rPr>
          <w:rFonts w:ascii="Calibri" w:hAnsi="Calibri"/>
          <w:sz w:val="21"/>
          <w:szCs w:val="21"/>
        </w:rPr>
        <w:t>1) State Armed Forces (Government of Nigeria: statutory military formations, joint task forces, and national police units); 2) Non-State Armed Groups (Boko Haram/JAS and ISWAP).</w:t>
      </w:r>
    </w:p>
    <w:p w:rsidR="00CB256F" w:rsidRPr="00127EC3" w:rsidRDefault="00BC3ECF">
      <w:pPr>
        <w:spacing w:after="60"/>
        <w:ind w:left="360"/>
        <w:rPr>
          <w:sz w:val="21"/>
          <w:szCs w:val="21"/>
        </w:rPr>
      </w:pPr>
      <w:r w:rsidRPr="00127EC3">
        <w:rPr>
          <w:b/>
          <w:sz w:val="21"/>
          <w:szCs w:val="21"/>
        </w:rPr>
        <w:t xml:space="preserve">• </w:t>
      </w:r>
      <w:r w:rsidRPr="00127EC3">
        <w:rPr>
          <w:rFonts w:ascii="Calibri" w:hAnsi="Calibri"/>
          <w:b/>
          <w:sz w:val="21"/>
          <w:szCs w:val="21"/>
        </w:rPr>
        <w:t>Unit of Measureme</w:t>
      </w:r>
      <w:r w:rsidRPr="00127EC3">
        <w:rPr>
          <w:rFonts w:ascii="Calibri" w:hAnsi="Calibri"/>
          <w:b/>
          <w:sz w:val="21"/>
          <w:szCs w:val="21"/>
        </w:rPr>
        <w:t xml:space="preserve">nt: </w:t>
      </w:r>
      <w:r w:rsidRPr="00127EC3">
        <w:rPr>
          <w:rFonts w:ascii="Calibri" w:hAnsi="Calibri"/>
          <w:sz w:val="21"/>
          <w:szCs w:val="21"/>
        </w:rPr>
        <w:t>The primary quantitative metric is the Actor-Year. Where multiple armed actors commit documented violations in the same calendar year, each actor accumulates an autonomous actor-year observation in the dataset.</w:t>
      </w:r>
    </w:p>
    <w:p w:rsidR="00CB256F" w:rsidRPr="00127EC3" w:rsidRDefault="00BC3ECF">
      <w:pPr>
        <w:spacing w:after="60"/>
        <w:ind w:left="360"/>
        <w:rPr>
          <w:sz w:val="21"/>
          <w:szCs w:val="21"/>
        </w:rPr>
      </w:pPr>
      <w:r w:rsidRPr="00127EC3">
        <w:rPr>
          <w:b/>
          <w:sz w:val="21"/>
          <w:szCs w:val="21"/>
        </w:rPr>
        <w:t xml:space="preserve">• </w:t>
      </w:r>
      <w:r w:rsidRPr="00127EC3">
        <w:rPr>
          <w:rFonts w:ascii="Calibri" w:hAnsi="Calibri"/>
          <w:b/>
          <w:sz w:val="21"/>
          <w:szCs w:val="21"/>
        </w:rPr>
        <w:t xml:space="preserve">Prevalence Scoring Framework: </w:t>
      </w:r>
      <w:r w:rsidRPr="00127EC3">
        <w:rPr>
          <w:rFonts w:ascii="Calibri" w:hAnsi="Calibri"/>
          <w:sz w:val="21"/>
          <w:szCs w:val="21"/>
        </w:rPr>
        <w:t xml:space="preserve">Severity </w:t>
      </w:r>
      <w:r w:rsidRPr="00127EC3">
        <w:rPr>
          <w:rFonts w:ascii="Calibri" w:hAnsi="Calibri"/>
          <w:sz w:val="21"/>
          <w:szCs w:val="21"/>
        </w:rPr>
        <w:t>is benchmarked against international SVAC coding standards: Level 0 (None reported); Level 1 (Isolated, &lt;25 victims); Level 2 (Massive/Widespread, 25 to hundreds of victims); Level 3 (Systematic/Strategic weaponization, mass abductions, or institutionalize</w:t>
      </w:r>
      <w:r w:rsidRPr="00127EC3">
        <w:rPr>
          <w:rFonts w:ascii="Calibri" w:hAnsi="Calibri"/>
          <w:sz w:val="21"/>
          <w:szCs w:val="21"/>
        </w:rPr>
        <w:t>d detention abuse).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2.2 Core Equations &amp; Calculations</w:t>
      </w:r>
    </w:p>
    <w:tbl>
      <w:tblPr>
        <w:tblW w:w="0" w:type="auto"/>
        <w:jc w:val="center"/>
        <w:tblBorders>
          <w:top w:val="single" w:sz="6" w:space="0" w:color="CBD5E1"/>
          <w:left w:val="single" w:sz="18" w:space="0" w:color="1A365D"/>
          <w:bottom w:val="single" w:sz="6" w:space="0" w:color="CBD5E1"/>
          <w:insideH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B256F">
        <w:trPr>
          <w:jc w:val="center"/>
        </w:trPr>
        <w:tc>
          <w:tcPr>
            <w:tcW w:w="93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mbria" w:hAnsi="Cambria"/>
                <w:b/>
                <w:color w:val="1A365D"/>
                <w:sz w:val="19"/>
              </w:rPr>
              <w:t>Cumulative Actor-Violation Years</w:t>
            </w:r>
            <w:r>
              <w:rPr>
                <w:rFonts w:ascii="Cambria Math" w:hAnsi="Cambria Math"/>
                <w:color w:val="1E293B"/>
                <w:sz w:val="19"/>
              </w:rPr>
              <w:t xml:space="preserve"> =  ∑ (Actors) [ Years with max_prevalence ≥ 1 ]  =  33 Actor-Years</w:t>
            </w:r>
          </w:p>
        </w:tc>
      </w:tr>
      <w:tr w:rsidR="00CB256F">
        <w:trPr>
          <w:jc w:val="center"/>
        </w:trPr>
        <w:tc>
          <w:tcPr>
            <w:tcW w:w="93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mbria" w:hAnsi="Cambria"/>
                <w:b/>
                <w:color w:val="1A365D"/>
                <w:sz w:val="19"/>
              </w:rPr>
              <w:t>State Documented Exposure Share</w:t>
            </w:r>
            <w:r>
              <w:rPr>
                <w:rFonts w:ascii="Cambria Math" w:hAnsi="Cambria Math"/>
                <w:color w:val="1E293B"/>
                <w:sz w:val="19"/>
              </w:rPr>
              <w:t xml:space="preserve"> =  (14 State Actor-Years / 33 Cumulative Years)  =  42.4%</w:t>
            </w:r>
          </w:p>
        </w:tc>
      </w:tr>
      <w:tr w:rsidR="00CB256F">
        <w:trPr>
          <w:jc w:val="center"/>
        </w:trPr>
        <w:tc>
          <w:tcPr>
            <w:tcW w:w="93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mbria" w:hAnsi="Cambria"/>
                <w:b/>
                <w:color w:val="1A365D"/>
                <w:sz w:val="19"/>
              </w:rPr>
              <w:lastRenderedPageBreak/>
              <w:t xml:space="preserve">Insurgent </w:t>
            </w:r>
            <w:r>
              <w:rPr>
                <w:rFonts w:ascii="Cambria" w:hAnsi="Cambria"/>
                <w:b/>
                <w:color w:val="1A365D"/>
                <w:sz w:val="19"/>
              </w:rPr>
              <w:t>Exposure Share (JAS / ISWAP)</w:t>
            </w:r>
            <w:r>
              <w:rPr>
                <w:rFonts w:ascii="Cambria Math" w:hAnsi="Cambria Math"/>
                <w:color w:val="1E293B"/>
                <w:sz w:val="19"/>
              </w:rPr>
              <w:t xml:space="preserve"> =  (19 Insurgent Actor-Years / 33 Cumulative Years)  =  57.6%</w:t>
            </w:r>
          </w:p>
        </w:tc>
      </w:tr>
      <w:tr w:rsidR="00CB256F">
        <w:trPr>
          <w:jc w:val="center"/>
        </w:trPr>
        <w:tc>
          <w:tcPr>
            <w:tcW w:w="9360" w:type="dxa"/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mbria" w:hAnsi="Cambria"/>
                <w:b/>
                <w:color w:val="1A365D"/>
                <w:sz w:val="19"/>
              </w:rPr>
              <w:t>High-Risk Child Targeting Exposure</w:t>
            </w:r>
            <w:r>
              <w:rPr>
                <w:rFonts w:ascii="Cambria Math" w:hAnsi="Cambria Math"/>
                <w:color w:val="1E293B"/>
                <w:sz w:val="19"/>
              </w:rPr>
              <w:t xml:space="preserve"> =  ∑ (Actors) [ Years with child_prevalence ≥ 2 ]  =  19 Actor-Years</w:t>
            </w:r>
          </w:p>
        </w:tc>
      </w:tr>
    </w:tbl>
    <w:p w:rsidR="00CB256F" w:rsidRDefault="00CB256F">
      <w:pPr>
        <w:spacing w:after="120"/>
      </w:pP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1A365D"/>
          <w:sz w:val="28"/>
        </w:rPr>
        <w:t>3. Comparative Longitudinal Findings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1A365D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1152"/>
        <w:gridCol w:w="1296"/>
        <w:gridCol w:w="1296"/>
        <w:gridCol w:w="1440"/>
      </w:tblGrid>
      <w:tr w:rsidR="00CB256F">
        <w:trPr>
          <w:cantSplit/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Actor Name</w:t>
            </w:r>
          </w:p>
        </w:tc>
        <w:tc>
          <w:tcPr>
            <w:tcW w:w="216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Analytical</w:t>
            </w:r>
            <w:r>
              <w:rPr>
                <w:rFonts w:ascii="Calibri" w:hAnsi="Calibri"/>
                <w:b/>
                <w:color w:val="FFFFFF"/>
                <w:sz w:val="17"/>
              </w:rPr>
              <w:t xml:space="preserve"> Category</w:t>
            </w:r>
          </w:p>
        </w:tc>
        <w:tc>
          <w:tcPr>
            <w:tcW w:w="1152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Documented Violation Years</w:t>
            </w:r>
          </w:p>
        </w:tc>
        <w:tc>
          <w:tcPr>
            <w:tcW w:w="1296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Peak Severity (0–3)</w:t>
            </w:r>
          </w:p>
        </w:tc>
        <w:tc>
          <w:tcPr>
            <w:tcW w:w="1296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Peak Child Prevalence (0–3)</w:t>
            </w:r>
          </w:p>
        </w:tc>
        <w:tc>
          <w:tcPr>
            <w:tcW w:w="1440" w:type="dxa"/>
            <w:shd w:val="clear" w:color="auto" w:fill="1A365D"/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Documented Active Horizon</w:t>
            </w:r>
          </w:p>
        </w:tc>
      </w:tr>
      <w:tr w:rsidR="00CB256F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Boko Haram (JAS)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Non-State Armed Groups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13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(Systematic)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(Systematic)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2010 – 2023</w:t>
            </w:r>
          </w:p>
        </w:tc>
      </w:tr>
      <w:tr w:rsidR="00CB256F">
        <w:trPr>
          <w:cantSplit/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Islamic State West Africa Province (ISWAP)</w:t>
            </w:r>
          </w:p>
        </w:tc>
        <w:tc>
          <w:tcPr>
            <w:tcW w:w="216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Non-State Armed</w:t>
            </w:r>
            <w:r>
              <w:rPr>
                <w:rFonts w:ascii="Calibri" w:hAnsi="Calibri"/>
                <w:color w:val="1E293B"/>
                <w:sz w:val="17"/>
              </w:rPr>
              <w:t xml:space="preserve"> Groups</w:t>
            </w:r>
          </w:p>
        </w:tc>
        <w:tc>
          <w:tcPr>
            <w:tcW w:w="115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6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(Massive)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(Massive)</w:t>
            </w:r>
          </w:p>
        </w:tc>
        <w:tc>
          <w:tcPr>
            <w:tcW w:w="14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2018 – 2023</w:t>
            </w:r>
          </w:p>
        </w:tc>
      </w:tr>
      <w:tr w:rsidR="00CB256F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Government of Nigeria (Armed Forces / Police)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State Armed Forces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14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3 (Systematic)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 (Massive)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color w:val="1E293B"/>
                <w:sz w:val="17"/>
              </w:rPr>
              <w:t>2004 – 2019</w:t>
            </w:r>
          </w:p>
        </w:tc>
      </w:tr>
      <w:tr w:rsidR="00CB256F">
        <w:trPr>
          <w:cantSplit/>
          <w:jc w:val="center"/>
        </w:trPr>
        <w:tc>
          <w:tcPr>
            <w:tcW w:w="259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Cross-Conflict Aggregation</w:t>
            </w:r>
          </w:p>
        </w:tc>
        <w:tc>
          <w:tcPr>
            <w:tcW w:w="2160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Combined Profile</w:t>
            </w:r>
          </w:p>
        </w:tc>
        <w:tc>
          <w:tcPr>
            <w:tcW w:w="1152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33</w:t>
            </w:r>
          </w:p>
        </w:tc>
        <w:tc>
          <w:tcPr>
            <w:tcW w:w="1296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3</w:t>
            </w:r>
          </w:p>
        </w:tc>
        <w:tc>
          <w:tcPr>
            <w:tcW w:w="1296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3</w:t>
            </w:r>
          </w:p>
        </w:tc>
        <w:tc>
          <w:tcPr>
            <w:tcW w:w="1440" w:type="dxa"/>
            <w:shd w:val="clear" w:color="auto" w:fill="E2E8F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256F" w:rsidRDefault="00BC3ECF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E293B"/>
                <w:sz w:val="17"/>
              </w:rPr>
              <w:t>1995 – 2023</w:t>
            </w:r>
          </w:p>
        </w:tc>
      </w:tr>
    </w:tbl>
    <w:p w:rsidR="00CB256F" w:rsidRDefault="00CB256F">
      <w:pPr>
        <w:spacing w:after="160"/>
      </w:pP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 xml:space="preserve">Analytical Trajectory &amp; </w:t>
      </w:r>
      <w:r>
        <w:rPr>
          <w:rFonts w:ascii="Georgia" w:hAnsi="Georgia"/>
          <w:b/>
          <w:color w:val="9B2C2C"/>
          <w:sz w:val="24"/>
        </w:rPr>
        <w:t>Institutional Exposure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State Force Violations (2004–2019): Documentation covers early internal security operations through counter-insurgency surges around 2014–2016, with recorded incidents in formal operations, screening sites, and displacement settings.</w:t>
      </w:r>
      <w:r>
        <w:rPr>
          <w:rFonts w:ascii="Calibri" w:hAnsi="Calibri"/>
          <w:color w:val="1E293B"/>
          <w:sz w:val="21"/>
        </w:rPr>
        <w:t xml:space="preserve"> Because the state holds sovereign legal obligations under international human rights treaties, these 14 documented actor-years supply an empirical basis for state-funded administrative reparative measures independent of individual criminal trial convictio</w:t>
      </w:r>
      <w:r>
        <w:rPr>
          <w:rFonts w:ascii="Calibri" w:hAnsi="Calibri"/>
          <w:color w:val="1E293B"/>
          <w:sz w:val="21"/>
        </w:rPr>
        <w:t>ns.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Insurgent Dynamics (Post-2015): The bifurcation of Boko Haram into JAS and ISWAP around 2016 decentralized the operational pattern of violence. JAS retained high child-targeting prevalence via abductions and forced marriages, while ISWAP institutionali</w:t>
      </w:r>
      <w:r>
        <w:rPr>
          <w:rFonts w:ascii="Calibri" w:hAnsi="Calibri"/>
          <w:color w:val="1E293B"/>
          <w:sz w:val="21"/>
        </w:rPr>
        <w:t>zed social control across rural operational theaters. Because individual insurgent combatants and commanders are largely unreachable, unidentified, or processed through non-judicial defection tracks, individual criminal prosecution offers no viable pathway</w:t>
      </w:r>
      <w:r>
        <w:rPr>
          <w:rFonts w:ascii="Calibri" w:hAnsi="Calibri"/>
          <w:color w:val="1E293B"/>
          <w:sz w:val="21"/>
        </w:rPr>
        <w:t xml:space="preserve"> for victim compensation. Consequently, the state maintains a positive surrogate obligation to facilitate non-judicial, administrative redress.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1A365D"/>
          <w:sz w:val="28"/>
        </w:rPr>
        <w:t>4. Key Limitations &amp; Strategic Recommendations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4.1 Addressing the Survivor-Centric Evidence Gap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While conflict-a</w:t>
      </w:r>
      <w:r>
        <w:rPr>
          <w:rFonts w:ascii="Calibri" w:hAnsi="Calibri"/>
          <w:color w:val="1E293B"/>
          <w:sz w:val="21"/>
        </w:rPr>
        <w:t>ctor datasets provide an essential empirical baseline of documented perpetrator reporting patterns, they remain inherently perpetrator- and incident-centric. They track the frequency, timing, and severity of violations committed by armed factions, but they</w:t>
      </w:r>
      <w:r>
        <w:rPr>
          <w:rFonts w:ascii="Calibri" w:hAnsi="Calibri"/>
          <w:color w:val="1E293B"/>
          <w:sz w:val="21"/>
        </w:rPr>
        <w:t xml:space="preserve"> do not record survivor agency, post-violation medical needs, or localized priorities for redress. Macro-level accountability metrics must be paired with survivor-centered evidence to develop functional transitional justice programs.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lastRenderedPageBreak/>
        <w:t>4.2 Policy Recommendat</w:t>
      </w:r>
      <w:r>
        <w:rPr>
          <w:rFonts w:ascii="Georgia" w:hAnsi="Georgia"/>
          <w:b/>
          <w:color w:val="9B2C2C"/>
          <w:sz w:val="24"/>
        </w:rPr>
        <w:t>ions</w:t>
      </w:r>
    </w:p>
    <w:p w:rsidR="00CB256F" w:rsidRPr="007C0988" w:rsidRDefault="00BC3ECF">
      <w:pPr>
        <w:spacing w:after="10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sz w:val="21"/>
          <w:szCs w:val="21"/>
        </w:rPr>
        <w:t xml:space="preserve">1. Establish a Standardized, Survivor-Led Reparations Registry: </w:t>
      </w:r>
      <w:r w:rsidRPr="007C0988">
        <w:rPr>
          <w:rFonts w:ascii="Calibri" w:hAnsi="Calibri"/>
          <w:sz w:val="21"/>
          <w:szCs w:val="21"/>
        </w:rPr>
        <w:t>Design a secure, trauma-informed intake mechanism in partnership with local survivor networks and civil society organizations. Intake protocols must disaggregate survivor-demanded forms</w:t>
      </w:r>
      <w:r w:rsidRPr="007C0988">
        <w:rPr>
          <w:rFonts w:ascii="Calibri" w:hAnsi="Calibri"/>
          <w:sz w:val="21"/>
          <w:szCs w:val="21"/>
        </w:rPr>
        <w:t xml:space="preserve"> of redress across key categories: material &amp; economic redress (direct compensation, restitution of land/cattle), clinical &amp; psychosocial care (reconstructive surgery, specialized fistula treatment, clinical trauma support), support for children born of wa</w:t>
      </w:r>
      <w:r w:rsidRPr="007C0988">
        <w:rPr>
          <w:rFonts w:ascii="Calibri" w:hAnsi="Calibri"/>
          <w:sz w:val="21"/>
          <w:szCs w:val="21"/>
        </w:rPr>
        <w:t>r (expedited legal identity documentation, schooling grants), and symbolic reparations (formal state apologies, memorialization).</w:t>
      </w:r>
    </w:p>
    <w:p w:rsidR="00CB256F" w:rsidRPr="007C0988" w:rsidRDefault="00BC3ECF">
      <w:pPr>
        <w:spacing w:after="10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sz w:val="21"/>
          <w:szCs w:val="21"/>
        </w:rPr>
        <w:t xml:space="preserve">2. Operationalize Administrative Interim Reparative Measures (IRMs): </w:t>
      </w:r>
      <w:r w:rsidRPr="007C0988">
        <w:rPr>
          <w:rFonts w:ascii="Calibri" w:hAnsi="Calibri"/>
          <w:sz w:val="21"/>
          <w:szCs w:val="21"/>
        </w:rPr>
        <w:t>Decouple humanitarian assistance and victim compensatio</w:t>
      </w:r>
      <w:r w:rsidRPr="007C0988">
        <w:rPr>
          <w:rFonts w:ascii="Calibri" w:hAnsi="Calibri"/>
          <w:sz w:val="21"/>
          <w:szCs w:val="21"/>
        </w:rPr>
        <w:t>n from judicial court dockets. Given the direct exposure share of statutory forces (14 actor-years), the Federal Government and Northeast State Governments should establish an administrative reparations fund to deliver urgent material relief without waitin</w:t>
      </w:r>
      <w:r w:rsidRPr="007C0988">
        <w:rPr>
          <w:rFonts w:ascii="Calibri" w:hAnsi="Calibri"/>
          <w:sz w:val="21"/>
          <w:szCs w:val="21"/>
        </w:rPr>
        <w:t>g for perpetrator trials or peace settlements.</w:t>
      </w:r>
    </w:p>
    <w:p w:rsidR="00CB256F" w:rsidRPr="007C0988" w:rsidRDefault="00BC3ECF">
      <w:pPr>
        <w:spacing w:after="100"/>
        <w:ind w:left="360"/>
        <w:rPr>
          <w:sz w:val="21"/>
          <w:szCs w:val="21"/>
        </w:rPr>
      </w:pPr>
      <w:r w:rsidRPr="007C0988">
        <w:rPr>
          <w:b/>
          <w:sz w:val="21"/>
          <w:szCs w:val="21"/>
        </w:rPr>
        <w:t xml:space="preserve">• </w:t>
      </w:r>
      <w:r w:rsidRPr="007C0988">
        <w:rPr>
          <w:rFonts w:ascii="Calibri" w:hAnsi="Calibri"/>
          <w:b/>
          <w:sz w:val="21"/>
          <w:szCs w:val="21"/>
        </w:rPr>
        <w:t xml:space="preserve">3. Incorporate Survivor Redress into Regional Security Frameworks: </w:t>
      </w:r>
      <w:r w:rsidRPr="007C0988">
        <w:rPr>
          <w:rFonts w:ascii="Calibri" w:hAnsi="Calibri"/>
          <w:sz w:val="21"/>
          <w:szCs w:val="21"/>
        </w:rPr>
        <w:t>Integrate structured victim consultation and compensation mechanisms into ongoing Disarmament, Demobilization, and Reintegration (DDR) and t</w:t>
      </w:r>
      <w:r w:rsidRPr="007C0988">
        <w:rPr>
          <w:rFonts w:ascii="Calibri" w:hAnsi="Calibri"/>
          <w:sz w:val="21"/>
          <w:szCs w:val="21"/>
        </w:rPr>
        <w:t>ransitional justice programs in Northeast Nigeria to ensure assistance aligns directly with survivor priorities.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1A365D"/>
          <w:sz w:val="28"/>
        </w:rPr>
        <w:t>Appendix A: Data Provenance, Acquisition Pipeline &amp; Licensing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A.1 Primary Data Source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 xml:space="preserve">The quantitative metrics used in this assessment </w:t>
      </w:r>
      <w:r>
        <w:rPr>
          <w:rFonts w:ascii="Calibri" w:hAnsi="Calibri"/>
          <w:color w:val="1E293B"/>
          <w:sz w:val="21"/>
        </w:rPr>
        <w:t>originate from the Sexual Violence in Armed Conflict (SVAC) database, maintained collaboratively by the Peace Research Institute Oslo (PRIO), the University of Gothenburg, and the Harvard Kennedy School.</w:t>
      </w:r>
      <w:r>
        <w:rPr>
          <w:rFonts w:ascii="Calibri" w:hAnsi="Calibri"/>
          <w:color w:val="1E293B"/>
          <w:sz w:val="21"/>
        </w:rPr>
        <w:br/>
        <w:t>• Core Dataset: SVAC Actor-Year Dataset (Version 3.3</w:t>
      </w:r>
      <w:r>
        <w:rPr>
          <w:rFonts w:ascii="Calibri" w:hAnsi="Calibri"/>
          <w:color w:val="1E293B"/>
          <w:sz w:val="21"/>
        </w:rPr>
        <w:t>).</w:t>
      </w:r>
      <w:r>
        <w:rPr>
          <w:rFonts w:ascii="Calibri" w:hAnsi="Calibri"/>
          <w:color w:val="1E293B"/>
          <w:sz w:val="21"/>
        </w:rPr>
        <w:br/>
        <w:t>• Citation Standard: Cohen, Dara Kay, and Ragnhild Nordås. Sexual Violence in Armed Conflict (SVAC) Dataset. Peace Research Institute Oslo (PRIO) &amp; Harvard Kennedy School.</w:t>
      </w:r>
      <w:r>
        <w:rPr>
          <w:rFonts w:ascii="Calibri" w:hAnsi="Calibri"/>
          <w:color w:val="1E293B"/>
          <w:sz w:val="21"/>
        </w:rPr>
        <w:br/>
        <w:t>• Primary Documentation Streams: The dataset triangulates findings from three aut</w:t>
      </w:r>
      <w:r>
        <w:rPr>
          <w:rFonts w:ascii="Calibri" w:hAnsi="Calibri"/>
          <w:color w:val="1E293B"/>
          <w:sz w:val="21"/>
        </w:rPr>
        <w:t>horitative monitoring sources: 1) United Nations Secretary-General Annual Reports on CRSV and CAAC; 2) United States Department of State Country Reports on Human Rights Practices; 3) Authoritative human rights reporting from Amnesty International and Human</w:t>
      </w:r>
      <w:r>
        <w:rPr>
          <w:rFonts w:ascii="Calibri" w:hAnsi="Calibri"/>
          <w:color w:val="1E293B"/>
          <w:sz w:val="21"/>
        </w:rPr>
        <w:t xml:space="preserve"> Rights Watch.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t>A.2 Acquisition &amp; Transformation Pipeline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1. Extraction: The full global SVAC repository was accessed through PRIO’s open data repository and filtered to extract conflict actors operating within Nigeria from 1995 to 2023.</w:t>
      </w:r>
      <w:r>
        <w:rPr>
          <w:rFonts w:ascii="Calibri" w:hAnsi="Calibri"/>
          <w:color w:val="1E293B"/>
          <w:sz w:val="21"/>
        </w:rPr>
        <w:br/>
        <w:t>2. Standardization:</w:t>
      </w:r>
      <w:r>
        <w:rPr>
          <w:rFonts w:ascii="Calibri" w:hAnsi="Calibri"/>
          <w:color w:val="1E293B"/>
          <w:sz w:val="21"/>
        </w:rPr>
        <w:t xml:space="preserve"> Entities were standardized into state statutory forces and non-state insurgent factions (JAS and ISWAP).</w:t>
      </w:r>
      <w:r>
        <w:rPr>
          <w:rFonts w:ascii="Calibri" w:hAnsi="Calibri"/>
          <w:color w:val="1E293B"/>
          <w:sz w:val="21"/>
        </w:rPr>
        <w:br/>
        <w:t xml:space="preserve">3. Metric Calculation: Prevalence scores across all three source streams were evaluated using max-aggregation logic to construct standardized integer </w:t>
      </w:r>
      <w:r>
        <w:rPr>
          <w:rFonts w:ascii="Calibri" w:hAnsi="Calibri"/>
          <w:color w:val="1E293B"/>
          <w:sz w:val="21"/>
        </w:rPr>
        <w:t>variables (max_prevalence and child_prevalence, scaled 0–3). DAX measures were built in Microsoft Power BI Desktop by Sayemo Harris to compute institutional exposure totals and longitudinal trajectories.</w:t>
      </w:r>
    </w:p>
    <w:p w:rsidR="00CB256F" w:rsidRDefault="00BC3ECF">
      <w:pPr>
        <w:keepNext/>
        <w:spacing w:before="240" w:after="80"/>
      </w:pPr>
      <w:r>
        <w:rPr>
          <w:rFonts w:ascii="Georgia" w:hAnsi="Georgia"/>
          <w:b/>
          <w:color w:val="9B2C2C"/>
          <w:sz w:val="24"/>
        </w:rPr>
        <w:lastRenderedPageBreak/>
        <w:t>A.3 Open Data Licensing &amp; Attribution Terms</w:t>
      </w:r>
    </w:p>
    <w:p w:rsidR="00CB256F" w:rsidRDefault="00BC3ECF">
      <w:pPr>
        <w:spacing w:after="120"/>
      </w:pPr>
      <w:r>
        <w:rPr>
          <w:rFonts w:ascii="Calibri" w:hAnsi="Calibri"/>
          <w:color w:val="1E293B"/>
          <w:sz w:val="21"/>
        </w:rPr>
        <w:t>Data Ter</w:t>
      </w:r>
      <w:r>
        <w:rPr>
          <w:rFonts w:ascii="Calibri" w:hAnsi="Calibri"/>
          <w:color w:val="1E293B"/>
          <w:sz w:val="21"/>
        </w:rPr>
        <w:t>ms of Use &amp; Licensing: The underlying SVAC dataset is provided by PRIO / Harvard Kennedy School for open research and policy analysis under standard academic attribution terms.</w:t>
      </w:r>
      <w:r>
        <w:rPr>
          <w:rFonts w:ascii="Calibri" w:hAnsi="Calibri"/>
          <w:color w:val="1E293B"/>
          <w:sz w:val="21"/>
        </w:rPr>
        <w:br/>
        <w:t>Analytical Output License: This derived compilation, analytical model, and repo</w:t>
      </w:r>
      <w:r>
        <w:rPr>
          <w:rFonts w:ascii="Calibri" w:hAnsi="Calibri"/>
          <w:color w:val="1E293B"/>
          <w:sz w:val="21"/>
        </w:rPr>
        <w:t>rt are released under the Creative Commons Attribution 4.0 International (CC BY 4.0) License.</w:t>
      </w:r>
      <w:r>
        <w:rPr>
          <w:rFonts w:ascii="Calibri" w:hAnsi="Calibri"/>
          <w:color w:val="1E293B"/>
          <w:sz w:val="21"/>
        </w:rPr>
        <w:br/>
        <w:t>Permitted Use: Open to sharing, copying, adapting, and redistributing in any medium or format for research, reporting, advocacy, and policy development.</w:t>
      </w:r>
      <w:r>
        <w:rPr>
          <w:rFonts w:ascii="Calibri" w:hAnsi="Calibri"/>
          <w:color w:val="1E293B"/>
          <w:sz w:val="21"/>
        </w:rPr>
        <w:br/>
        <w:t>Attributi</w:t>
      </w:r>
      <w:r>
        <w:rPr>
          <w:rFonts w:ascii="Calibri" w:hAnsi="Calibri"/>
          <w:color w:val="1E293B"/>
          <w:sz w:val="21"/>
        </w:rPr>
        <w:t>on Requirement: Any secondary publication, policy brief, dashboard, or report using these metrics must acknowledge the original data collectors (Cohen &amp; Nordås / PRIO), with citation of this analytical compilation and model adaptation attributed to: Harris</w:t>
      </w:r>
      <w:r>
        <w:rPr>
          <w:rFonts w:ascii="Calibri" w:hAnsi="Calibri"/>
          <w:color w:val="1E293B"/>
          <w:sz w:val="21"/>
        </w:rPr>
        <w:t>, Sayemo. Conflict-Related Sexual Violence (CRSV) &amp; Reparation Deficits in Nigeria: An Empirical Policy Assessment (1995–2023). Analytical Dashboard &amp; Policy Brief, 2026.</w:t>
      </w:r>
    </w:p>
    <w:sectPr w:rsidR="00CB256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7EC3"/>
    <w:rsid w:val="0015074B"/>
    <w:rsid w:val="001B0A40"/>
    <w:rsid w:val="0029639D"/>
    <w:rsid w:val="00326F90"/>
    <w:rsid w:val="00530C11"/>
    <w:rsid w:val="007C0988"/>
    <w:rsid w:val="00920846"/>
    <w:rsid w:val="00AA1D8D"/>
    <w:rsid w:val="00B47730"/>
    <w:rsid w:val="00BC3ECF"/>
    <w:rsid w:val="00CB0664"/>
    <w:rsid w:val="00CB25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548B6"/>
  <w14:defaultImageDpi w14:val="300"/>
  <w15:docId w15:val="{BA5F8335-8C8B-4638-8210-5A0392AD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313555-0198-49AD-A7DC-90A167912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2026-10-04T19:14:00Z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d5d7a0dfe28c8463829901d85f0557d3e9870c3b95b236cd7775eb21e92236b4</vt:lpwstr>
  </property>
</Properties>
</file>