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Pilot the Evidence Trail Before Automating Competitor Research</w:t>
      </w:r>
    </w:p>
    <w:p>
      <w:r>
        <w:rPr>
          <w:b w:val="0"/>
          <w:i w:val="0"/>
        </w:rPr>
      </w:r>
      <w:r>
        <w:rPr>
          <w:b/>
          <w:i w:val="0"/>
        </w:rPr>
        <w:t>As of: 2026-10-10</w:t>
      </w:r>
      <w:r>
        <w:rPr>
          <w:b w:val="0"/>
          <w:i w:val="0"/>
        </w:rPr>
      </w:r>
      <w:r>
        <w:br/>
      </w:r>
      <w:r>
        <w:rPr>
          <w:b w:val="0"/>
          <w:i w:val="0"/>
        </w:rPr>
      </w:r>
      <w:r>
        <w:rPr>
          <w:b w:val="0"/>
          <w:i/>
        </w:rPr>
        <w:t>The Small Business Research Brief</w:t>
      </w:r>
      <w:r>
        <w:rPr>
          <w:b w:val="0"/>
          <w:i w:val="0"/>
        </w:rPr>
      </w:r>
    </w:p>
    <w:p>
      <w:r>
        <w:rPr>
          <w:b w:val="0"/>
          <w:i w:val="0"/>
        </w:rPr>
        <w:t xml:space="preserve">For a small-business researcher, the useful question about connected AI tools is whether they make evidence easier to inspect—and whether keeping that access working consumes the time they promise to free up. The evidence reviewed here supports a bounded pilot of connected competitor research. It does not establish affordable, dependable autonomous research. My interpretation is that the workflow deserves testing as a whole: retrieving material, checking sources, maintaining connections, and controlling what the agent can do. That argument connects </w:t>
      </w:r>
      <w:hyperlink r:id="rId9">
        <w:r>
          <w:rPr>
            <w:color w:val="175D73"/>
            <w:u w:val="single"/>
          </w:rPr>
          <w:t>Crayon’s capability announcement</w:t>
        </w:r>
      </w:hyperlink>
      <w:r>
        <w:rPr>
          <w:b w:val="0"/>
          <w:i w:val="0"/>
        </w:rPr>
        <w:t xml:space="preserve">, </w:t>
      </w:r>
      <w:hyperlink r:id="rId10">
        <w:r>
          <w:rPr>
            <w:color w:val="175D73"/>
            <w:u w:val="single"/>
          </w:rPr>
          <w:t>Nielsen Norman Group’s user research</w:t>
        </w:r>
      </w:hyperlink>
      <w:r>
        <w:rPr>
          <w:b w:val="0"/>
          <w:i w:val="0"/>
        </w:rPr>
        <w:t xml:space="preserve">, and </w:t>
      </w:r>
      <w:hyperlink r:id="rId11">
        <w:r>
          <w:rPr>
            <w:color w:val="175D73"/>
            <w:u w:val="single"/>
          </w:rPr>
          <w:t>TechCrunch’s reporting on agent oversight</w:t>
        </w:r>
      </w:hyperlink>
      <w:r>
        <w:rPr>
          <w:b w:val="0"/>
          <w:i w:val="0"/>
        </w:rPr>
        <w:t>.</w:t>
      </w:r>
    </w:p>
    <w:p>
      <w:pPr>
        <w:pStyle w:val="Heading1"/>
      </w:pPr>
      <w:r>
        <w:rPr>
          <w:b w:val="0"/>
          <w:i w:val="0"/>
        </w:rPr>
        <w:t>What source access changes</w:t>
      </w:r>
    </w:p>
    <w:p>
      <w:r>
        <w:rPr>
          <w:b w:val="0"/>
          <w:i w:val="0"/>
        </w:rPr>
        <w:t xml:space="preserve">Crayon says its Insights API makes collected competitive insights available to AI tools or developers. According to the company, results include metadata such as titles, summaries, dates, and tagged competitors; requesting further detail returns underlying text and source links. This is an attributed commercial capability claim, not independent evidence of effectiveness. </w:t>
      </w:r>
      <w:hyperlink r:id="rId9">
        <w:r>
          <w:rPr>
            <w:color w:val="175D73"/>
            <w:u w:val="single"/>
          </w:rPr>
          <w:t>Source: Crayon</w:t>
        </w:r>
      </w:hyperlink>
      <w:r>
        <w:rPr>
          <w:b w:val="0"/>
          <w:i w:val="0"/>
        </w:rPr>
      </w:r>
    </w:p>
    <w:p>
      <w:r>
        <w:rPr>
          <w:b w:val="0"/>
          <w:i w:val="0"/>
        </w:rPr>
        <w:t xml:space="preserve">For desk research and competitor monitoring, my interpretation is that this capability merits attention because it offers a route from an AI answer back to material a researcher can inspect. A pilot could ask whether a reported competitor update actually supports the summary produced from it. Crayon’s announcement establishes what the vendor says is available; it does not establish that summaries are accurate, coverage is adequate, or the connection fits a small firm’s budget. Pricing, eligibility, geographic coverage, and small-business implementation effort are unspecified in the evidence reviewed here. </w:t>
      </w:r>
      <w:hyperlink r:id="rId9">
        <w:r>
          <w:rPr>
            <w:color w:val="175D73"/>
            <w:u w:val="single"/>
          </w:rPr>
          <w:t>Source: Crayon</w:t>
        </w:r>
      </w:hyperlink>
      <w:r>
        <w:rPr>
          <w:b w:val="0"/>
          <w:i w:val="0"/>
        </w:rPr>
      </w:r>
    </w:p>
    <w:p>
      <w:pPr>
        <w:pStyle w:val="Heading1"/>
      </w:pPr>
      <w:r>
        <w:rPr>
          <w:b w:val="0"/>
          <w:i w:val="0"/>
        </w:rPr>
        <w:t>The work behind the connection</w:t>
      </w:r>
    </w:p>
    <w:p>
      <w:r>
        <w:rPr>
          <w:b w:val="0"/>
          <w:i w:val="0"/>
        </w:rPr>
        <w:t xml:space="preserve">Nielsen Norman Group reports that its study participants spent more effort engineering context libraries than crafting prompts, while files became stale or went missing. Its account describes expert Claude users managing collections of instructions and institutional knowledge, including material reached through external connections. </w:t>
      </w:r>
      <w:hyperlink r:id="rId10">
        <w:r>
          <w:rPr>
            <w:color w:val="175D73"/>
            <w:u w:val="single"/>
          </w:rPr>
          <w:t>Source: NN/g</w:t>
        </w:r>
      </w:hyperlink>
      <w:r>
        <w:rPr>
          <w:b w:val="0"/>
          <w:i w:val="0"/>
        </w:rPr>
      </w:r>
    </w:p>
    <w:p>
      <w:r>
        <w:rPr>
          <w:b w:val="0"/>
          <w:i w:val="0"/>
        </w:rPr>
        <w:t xml:space="preserve">The practical constraint is maintenance. NN/g describes one participant whose Todoist connection repeatedly expired and required manual reconnection. It also reports instructions that no longer matched users’ working practices and context applied to unrelated projects. These observations support asking who will maintain a research workflow, rather than assuming that connecting sources completes the job. They do not measure the maintenance burden for a typical small business: the supplied text gives neither study sample size nor geography. </w:t>
      </w:r>
      <w:hyperlink r:id="rId10">
        <w:r>
          <w:rPr>
            <w:color w:val="175D73"/>
            <w:u w:val="single"/>
          </w:rPr>
          <w:t>Source: NN/g</w:t>
        </w:r>
      </w:hyperlink>
      <w:r>
        <w:rPr>
          <w:b w:val="0"/>
          <w:i w:val="0"/>
        </w:rPr>
      </w:r>
    </w:p>
    <w:p>
      <w:r>
        <w:rPr>
          <w:b w:val="0"/>
          <w:i w:val="0"/>
        </w:rPr>
        <w:t xml:space="preserve">My recommendation, combining these two sources, is to test whether source access stays usable over repeated runs. Include connection repairs and verification effort in that assessment; an available source link alone cannot establish a sustainable workflow. </w:t>
      </w:r>
      <w:hyperlink r:id="rId9">
        <w:r>
          <w:rPr>
            <w:color w:val="175D73"/>
            <w:u w:val="single"/>
          </w:rPr>
          <w:t>Sources: Crayon</w:t>
        </w:r>
      </w:hyperlink>
      <w:r>
        <w:rPr>
          <w:b w:val="0"/>
          <w:i w:val="0"/>
        </w:rPr>
        <w:t xml:space="preserve">, </w:t>
      </w:r>
      <w:hyperlink r:id="rId10">
        <w:r>
          <w:rPr>
            <w:color w:val="175D73"/>
            <w:u w:val="single"/>
          </w:rPr>
          <w:t>NN/g</w:t>
        </w:r>
      </w:hyperlink>
      <w:r>
        <w:rPr>
          <w:b w:val="0"/>
          <w:i w:val="0"/>
        </w:rPr>
      </w:r>
    </w:p>
    <w:p>
      <w:r>
        <w:rPr>
          <w:b w:val="0"/>
          <w:i w:val="0"/>
        </w:rPr>
        <w:t>A practical pilot could use one recurring competitor question and a limited set of material. Require each substantive answer to identify its supporting passage. Record whether the link opens, whether the passage supports the conclusion, what needed correction, and how much human effort retrieval and repair required. These are proposed checks derived from the sources, not a tested implementation recipe or a savings forecast.</w:t>
      </w:r>
    </w:p>
    <w:p>
      <w:pPr>
        <w:pStyle w:val="Heading1"/>
      </w:pPr>
      <w:r>
        <w:rPr>
          <w:b w:val="0"/>
          <w:i w:val="0"/>
        </w:rPr>
        <w:t>Keep oversight proportional to the evidence</w:t>
      </w:r>
    </w:p>
    <w:p>
      <w:r>
        <w:rPr>
          <w:b w:val="0"/>
          <w:i w:val="0"/>
        </w:rPr>
        <w:t xml:space="preserve">TechCrunch reports that Anthropic said it suspended live internet access for its internal evaluations until it could confidently monitor and control its agents. This establishes a reported disclosure, not independent verification of the underlying incidents. </w:t>
      </w:r>
      <w:hyperlink r:id="rId11">
        <w:r>
          <w:rPr>
            <w:color w:val="175D73"/>
            <w:u w:val="single"/>
          </w:rPr>
          <w:t>Source: TechCrunch</w:t>
        </w:r>
      </w:hyperlink>
      <w:r>
        <w:rPr>
          <w:b w:val="0"/>
          <w:i w:val="0"/>
        </w:rPr>
      </w:r>
    </w:p>
    <w:p>
      <w:r>
        <w:rPr>
          <w:b w:val="0"/>
          <w:i w:val="0"/>
        </w:rPr>
        <w:t xml:space="preserve">A meaningful counterargument is that frontier-lab evaluations are a different setting from a small firm’s competitor-summary task. The report supplies no failure rate for deployed research products, so using it to dismiss every connected tool would overreach. My narrower inference is to keep a pilot’s permissions bounded and its outputs reviewable. Similarly, NN/g’s expert-user observations identify constraints worth checking without predicting how every small team will perform. </w:t>
      </w:r>
      <w:hyperlink r:id="rId11">
        <w:r>
          <w:rPr>
            <w:color w:val="175D73"/>
            <w:u w:val="single"/>
          </w:rPr>
          <w:t>Sources: TechCrunch</w:t>
        </w:r>
      </w:hyperlink>
      <w:r>
        <w:rPr>
          <w:b w:val="0"/>
          <w:i w:val="0"/>
        </w:rPr>
        <w:t xml:space="preserve">, </w:t>
      </w:r>
      <w:hyperlink r:id="rId10">
        <w:r>
          <w:rPr>
            <w:color w:val="175D73"/>
            <w:u w:val="single"/>
          </w:rPr>
          <w:t>NN/g</w:t>
        </w:r>
      </w:hyperlink>
      <w:r>
        <w:rPr>
          <w:b w:val="0"/>
          <w:i w:val="0"/>
        </w:rPr>
      </w:r>
    </w:p>
    <w:p>
      <w:r>
        <w:rPr>
          <w:b w:val="0"/>
          <w:i w:val="0"/>
        </w:rPr>
        <w:t>These sources address different settings; together they are not a comparative tool test. They provide no direct small-business user accounts or customer perspectives, leave non-English markets untested, and do not establish geographic transferability. They also support no conclusion about customer-data handling or consent. Extending this pilot to feedback, interviews, or surveys therefore requires separate evidence about those conditions. The decision rule I propose is modest: continue only when your own repeated checks demonstrate inspectable answers and manageable upkeep.</w:t>
      </w:r>
    </w:p>
    <w:p>
      <w:r>
        <w:rPr>
          <w:b w:val="0"/>
          <w:i w:val="0"/>
        </w:rPr>
      </w:r>
      <w:r>
        <w:rPr>
          <w:b/>
          <w:i w:val="0"/>
        </w:rPr>
        <w:t>AI assistance disclosure:</w:t>
      </w:r>
      <w:r>
        <w:rPr>
          <w:b w:val="0"/>
          <w:i w:val="0"/>
        </w:rPr>
        <w:t xml:space="preserve"> This article was drafted with AI assistance using only the supplied brief and evidence. No independent source verification was performed.</w:t>
      </w:r>
    </w:p>
    <w:p>
      <w:r>
        <w:rPr>
          <w:b w:val="0"/>
          <w:i w:val="0"/>
        </w:rPr>
      </w:r>
      <w:r>
        <w:rPr>
          <w:b/>
          <w:i w:val="0"/>
        </w:rPr>
        <w:t>Accompanying video:</w:t>
      </w:r>
      <w:r>
        <w:rPr>
          <w:b w:val="0"/>
          <w:i w:val="0"/>
        </w:rPr>
        <w:t xml:space="preserve"> </w:t>
      </w:r>
      <w:hyperlink r:id="rId12">
        <w:r>
          <w:rPr>
            <w:color w:val="175D73"/>
            <w:u w:val="single"/>
          </w:rPr>
          <w:t>Watch the accompanying video</w:t>
        </w:r>
      </w:hyperlink>
      <w:r>
        <w:rPr>
          <w:b w:val="0"/>
          <w:i w:val="0"/>
        </w:rPr>
      </w:r>
    </w:p>
    <w:p>
      <w:pPr>
        <w:pStyle w:val="Heading1"/>
      </w:pPr>
      <w:r>
        <w:rPr>
          <w:b w:val="0"/>
          <w:i w:val="0"/>
        </w:rPr>
        <w:t>References</w:t>
      </w:r>
    </w:p>
    <w:p>
      <w:pPr>
        <w:pStyle w:val="ListBullet"/>
      </w:pPr>
      <w:r>
        <w:rPr>
          <w:b w:val="0"/>
          <w:i w:val="0"/>
        </w:rPr>
        <w:t xml:space="preserve">Crayon. </w:t>
      </w:r>
      <w:hyperlink r:id="rId9">
        <w:r>
          <w:rPr>
            <w:color w:val="175D73"/>
            <w:u w:val="single"/>
          </w:rPr>
          <w:t>Insights API Blog</w:t>
        </w:r>
      </w:hyperlink>
      <w:r>
        <w:rPr>
          <w:b w:val="0"/>
          <w:i w:val="0"/>
        </w:rPr>
        <w:t>.</w:t>
      </w:r>
    </w:p>
    <w:p>
      <w:pPr>
        <w:pStyle w:val="ListBullet"/>
      </w:pPr>
      <w:r>
        <w:rPr>
          <w:b w:val="0"/>
          <w:i w:val="0"/>
        </w:rPr>
        <w:t xml:space="preserve">Nielsen Norman Group. </w:t>
      </w:r>
      <w:hyperlink r:id="rId10">
        <w:r>
          <w:rPr>
            <w:color w:val="175D73"/>
            <w:u w:val="single"/>
          </w:rPr>
          <w:t>Context Libraries: How AI Power Users Manage Context Engineering</w:t>
        </w:r>
      </w:hyperlink>
      <w:r>
        <w:rPr>
          <w:b w:val="0"/>
          <w:i w:val="0"/>
        </w:rPr>
        <w:t>.</w:t>
      </w:r>
    </w:p>
    <w:p>
      <w:pPr>
        <w:pStyle w:val="ListBullet"/>
      </w:pPr>
      <w:r>
        <w:rPr>
          <w:b w:val="0"/>
          <w:i w:val="0"/>
        </w:rPr>
        <w:t xml:space="preserve">TechCrunch. </w:t>
      </w:r>
      <w:hyperlink r:id="rId11">
        <w:r>
          <w:rPr>
            <w:color w:val="175D73"/>
            <w:u w:val="single"/>
          </w:rPr>
          <w:t>Anthropic can’t reliably control its AI agents. It’s cutting off its internal evals from the live internet instead</w:t>
        </w:r>
      </w:hyperlink>
      <w:r>
        <w:rPr>
          <w:b w:val="0"/>
          <w:i w:val="0"/>
        </w:rPr>
        <w: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rayon.co/blog/insights-api" TargetMode="External"/><Relationship Id="rId10" Type="http://schemas.openxmlformats.org/officeDocument/2006/relationships/hyperlink" Target="https://www.nngroup.com/articles/context-libraries" TargetMode="External"/><Relationship Id="rId11" Type="http://schemas.openxmlformats.org/officeDocument/2006/relationships/hyperlink" Target="https://techcrunch.com/2026/10/09/anthropic-cant-reliably-control-its-ai-agents-its-cutting-off-its-internal-evals-from-the-live-internet-instead" TargetMode="External"/><Relationship Id="rId12" Type="http://schemas.openxmlformats.org/officeDocument/2006/relationships/hyperlink" Target="https://youtu.be/qWxMqmFNnI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Pilot the Evidence Trail Before Automating Competitor Research</dc:title>
  <dc:subject/>
  <dc:creator>The Small Business Research Brief</dc:creator>
  <cp:keywords/>
  <dc:description>generated by python-docx</dc:description>
  <cp:lastModifiedBy/>
  <cp:revision>1</cp:revision>
  <dcterms:created xsi:type="dcterms:W3CDTF">2013-12-23T23:15:00Z</dcterms:created>
  <dcterms:modified xsi:type="dcterms:W3CDTF">2013-12-23T23:15:00Z</dcterms:modified>
  <cp:category/>
</cp:coreProperties>
</file>