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Make AI Research Earn Its Place With Evidence You Can Check</w:t>
      </w:r>
    </w:p>
    <w:p>
      <w:r>
        <w:rPr>
          <w:b w:val="0"/>
          <w:i w:val="0"/>
        </w:rPr>
      </w:r>
      <w:r>
        <w:rPr>
          <w:b/>
          <w:i w:val="0"/>
        </w:rPr>
        <w:t>As of: 2026-10-10</w:t>
      </w:r>
      <w:r>
        <w:rPr>
          <w:b w:val="0"/>
          <w:i w:val="0"/>
        </w:rPr>
      </w:r>
      <w:r>
        <w:br/>
      </w:r>
      <w:r>
        <w:rPr>
          <w:b w:val="0"/>
          <w:i w:val="0"/>
        </w:rPr>
      </w:r>
      <w:r>
        <w:rPr>
          <w:b w:val="0"/>
          <w:i/>
        </w:rPr>
        <w:t>The Small Business Research Brief</w:t>
      </w:r>
      <w:r>
        <w:rPr>
          <w:b w:val="0"/>
          <w:i w:val="0"/>
        </w:rPr>
      </w:r>
    </w:p>
    <w:p>
      <w:r>
        <w:rPr>
          <w:b w:val="0"/>
          <w:i w:val="0"/>
        </w:rPr>
        <w:t>For a small-business researcher, the useful question is whether an AI-assisted finding can survive checking against the material behind it. The evidence reviewed here supports a practical argument: pilot AI on bounded tasks with inspectable outputs, and judge the entire workflow, including preparation and review. These sources describe classification, qualitative synthesis, and document checking. They do not establish comparative accuracy, lower total cost, or dependable time savings.</w:t>
      </w:r>
    </w:p>
    <w:p>
      <w:r>
        <w:rPr>
          <w:b w:val="0"/>
          <w:i w:val="0"/>
        </w:rPr>
        <w:t xml:space="preserve">Christopher Penn says lightweight classification models require users to supply the data and context. His account does not establish that these models generally replace frontier models. In his </w:t>
      </w:r>
      <w:hyperlink r:id="rId9">
        <w:r>
          <w:rPr>
            <w:color w:val="175D73"/>
            <w:u w:val="single"/>
          </w:rPr>
          <w:t>classification article</w:t>
        </w:r>
      </w:hyperlink>
      <w:r>
        <w:rPr>
          <w:b w:val="0"/>
          <w:i w:val="0"/>
        </w:rPr>
        <w:t>, Penn describes systems that return a category, score, or binary answer from supplied information. For sentiment scoring, his example requires both a post and a scoring rubric.</w:t>
      </w:r>
    </w:p>
    <w:p>
      <w:r>
        <w:rPr>
          <w:b w:val="0"/>
          <w:i w:val="0"/>
        </w:rPr>
        <w:t>My interpretation is that this makes classification a candidate for a narrow customer-feedback pilot, provided the researcher can define the categories and supply suitable examples. It also puts preparation inside the evaluation. A model cannot earn credit for simplifying research if the assessment ignores the work needed to make its inputs usable. Penn reports better accuracy from his own tuned model, but supplies no benchmark, sample, or measured cost comparison supporting a general performance conclusion. His consulting and training interests also matter when weighing the recommendation.</w:t>
      </w:r>
    </w:p>
    <w:p>
      <w:r>
        <w:rPr>
          <w:b w:val="0"/>
          <w:i w:val="0"/>
        </w:rPr>
        <w:t xml:space="preserve">For interview and survey synthesis, Nielsen Norman Group offers a more useful acceptance standard than a polished-looking summary. NN/g recommends connecting every empathy-map note to a specific research artifact and labeling unsupported notes as assumptions. Its </w:t>
      </w:r>
      <w:hyperlink r:id="rId10">
        <w:r>
          <w:rPr>
            <w:color w:val="175D73"/>
            <w:u w:val="single"/>
          </w:rPr>
          <w:t>empathy-mapping guidance</w:t>
        </w:r>
      </w:hyperlink>
      <w:r>
        <w:rPr>
          <w:b w:val="0"/>
          <w:i w:val="0"/>
        </w:rPr>
        <w:t xml:space="preserve"> distinguishes organizing existing evidence from generating evidence that the researcher does not possess. It also advises examining outliers, contradictions, and gaps.</w:t>
      </w:r>
    </w:p>
    <w:p>
      <w:r>
        <w:rPr>
          <w:b w:val="0"/>
          <w:i w:val="0"/>
        </w:rPr>
        <w:t>Applied to a small pilot, my recommendation is to require each proposed finding to include its supporting interview passage, survey response, or observation. Check whether the passage supports the finding’s wording and scope. A statement from one participant should remain attributable to that participant unless the supplied research supports a broader interpretation. Keep unresolved contradictions visible. This is a proposed workflow derived from NN/g’s method, not evidence that AI improves qualitative analysis.</w:t>
      </w:r>
    </w:p>
    <w:p>
      <w:r>
        <w:rPr>
          <w:b w:val="0"/>
          <w:i w:val="0"/>
        </w:rPr>
        <w:t xml:space="preserve">The same discipline applies when AI reviews a research memo. </w:t>
      </w:r>
      <w:hyperlink r:id="rId11">
        <w:r>
          <w:rPr>
            <w:color w:val="175D73"/>
            <w:u w:val="single"/>
          </w:rPr>
          <w:t>Marketing AI Institute describes</w:t>
        </w:r>
      </w:hyperlink>
      <w:r>
        <w:rPr>
          <w:b w:val="0"/>
          <w:i w:val="0"/>
        </w:rPr>
        <w:t xml:space="preserve"> a workflow that supplies source material, divides checking across agents, and returns flagged claims with supporting links. The organization says its team still reads primary material and retains human judgment. Crucially, it explicitly cautions that agreement between reviewing agents does not guarantee correctness. A second approving agent therefore cannot settle whether a competitor claim or market finding is supported.</w:t>
      </w:r>
    </w:p>
    <w:p>
      <w:r>
        <w:rPr>
          <w:b w:val="0"/>
          <w:i w:val="0"/>
        </w:rPr>
        <w:t xml:space="preserve">Connecting these sources, my inference is that checking an AI-generated interview or survey finding against its original research artifact is a stronger acceptance rule than relying on agreement between agents. </w:t>
      </w:r>
      <w:hyperlink r:id="rId10">
        <w:r>
          <w:rPr>
            <w:color w:val="175D73"/>
            <w:u w:val="single"/>
          </w:rPr>
          <w:t>NN/g’s traceability requirement</w:t>
        </w:r>
      </w:hyperlink>
      <w:r>
        <w:rPr>
          <w:b w:val="0"/>
          <w:i w:val="0"/>
        </w:rPr>
        <w:t xml:space="preserve"> and </w:t>
      </w:r>
      <w:hyperlink r:id="rId11">
        <w:r>
          <w:rPr>
            <w:color w:val="175D73"/>
            <w:u w:val="single"/>
          </w:rPr>
          <w:t>Marketing AI Institute’s warning about shared errors</w:t>
        </w:r>
      </w:hyperlink>
      <w:r>
        <w:rPr>
          <w:b w:val="0"/>
          <w:i w:val="0"/>
        </w:rPr>
        <w:t xml:space="preserve"> support that rule. They do not quantify how often it catches mistakes. Nor do these different tasks and accounts establish which tool performs best.</w:t>
      </w:r>
    </w:p>
    <w:p>
      <w:r>
        <w:rPr>
          <w:b w:val="0"/>
          <w:i w:val="0"/>
        </w:rPr>
        <w:t>A repeatable pilot could use one bounded batch of existing research material. Define the task and acceptable output first. Preserve the originals, require source references, and record unsupported conclusions and corrections. Track preparation, operation, checking, and rework alongside any tool charges. These are evaluation recommendations: the sources reviewed here do not provide a validated savings estimate or a complete cost comparison. For competitor monitoring or desk research, use the same source-linked acceptance rule, while recognizing that this evidence contains no direct evaluation of those applications.</w:t>
      </w:r>
    </w:p>
    <w:p>
      <w:r>
        <w:rPr>
          <w:b w:val="0"/>
          <w:i w:val="0"/>
        </w:rPr>
        <w:t>The strongest counterargument is practical: checking consumes the same scarce attention that automation is supposed to release. Marketing AI Institute promotes commercial education and provides no controlled evaluation of its workflow; NN/g supplies methodological guidance, not proof of AI effectiveness. Penn’s specialist tuning experience may transfer poorly to a business with little technical support. The net benefit could remain unresolved even when outputs are traceable.</w:t>
      </w:r>
    </w:p>
    <w:p>
      <w:r>
        <w:rPr>
          <w:b w:val="0"/>
          <w:i w:val="0"/>
        </w:rPr>
        <w:t>The evidence also leaves geographic applicability unspecified and non-English performance untested. Direct small-business users, unsuccessful deployments, and customers whose information is analyzed are missing perspectives. Nothing supplied establishes that disclosing customer data to a tool is harmless or appropriately consented to. Synthetic outputs cannot substitute for observed customer evidence. The defensible decision is a bounded pilot whose continuation depends on checked findings and the full effort required to produce them.</w:t>
      </w:r>
    </w:p>
    <w:p>
      <w:r>
        <w:rPr>
          <w:b w:val="0"/>
          <w:i w:val="0"/>
        </w:rPr>
      </w:r>
      <w:r>
        <w:rPr>
          <w:b/>
          <w:i w:val="0"/>
        </w:rPr>
        <w:t>AI assistance disclosure:</w:t>
      </w:r>
      <w:r>
        <w:rPr>
          <w:b w:val="0"/>
          <w:i w:val="0"/>
        </w:rPr>
        <w:t xml:space="preserve"> This article was drafted with Codex using only the supplied brief and evidence. No independent source verification was performed.</w:t>
      </w:r>
    </w:p>
    <w:p>
      <w:r>
        <w:rPr>
          <w:b w:val="0"/>
          <w:i w:val="0"/>
        </w:rPr>
      </w:r>
      <w:r>
        <w:rPr>
          <w:b/>
          <w:i w:val="0"/>
        </w:rPr>
        <w:t>Accompanying video:</w:t>
      </w:r>
      <w:r>
        <w:rPr>
          <w:b w:val="0"/>
          <w:i w:val="0"/>
        </w:rPr>
        <w:t xml:space="preserve"> </w:t>
      </w:r>
      <w:hyperlink r:id="rId12">
        <w:r>
          <w:rPr>
            <w:color w:val="175D73"/>
            <w:u w:val="single"/>
          </w:rPr>
          <w:t>Watch the accompanying video</w:t>
        </w:r>
      </w:hyperlink>
      <w:r>
        <w:rPr>
          <w:b w:val="0"/>
          <w:i w:val="0"/>
        </w:rPr>
      </w:r>
    </w:p>
    <w:p>
      <w:pPr>
        <w:pStyle w:val="Heading1"/>
      </w:pPr>
      <w:r>
        <w:rPr>
          <w:b w:val="0"/>
          <w:i w:val="0"/>
        </w:rPr>
        <w:t>References</w:t>
      </w:r>
    </w:p>
    <w:p>
      <w:pPr>
        <w:pStyle w:val="ListBullet"/>
      </w:pPr>
      <w:r>
        <w:rPr>
          <w:b w:val="0"/>
          <w:i w:val="0"/>
        </w:rPr>
        <w:t xml:space="preserve">Christopher Penn. </w:t>
      </w:r>
      <w:hyperlink r:id="rId9">
        <w:r>
          <w:rPr>
            <w:color w:val="175D73"/>
            <w:u w:val="single"/>
          </w:rPr>
          <w:t>Why Small AI Models Like Jev Are Replacing Frontier LLMs for Classification Tasks</w:t>
        </w:r>
      </w:hyperlink>
      <w:r>
        <w:rPr>
          <w:b w:val="0"/>
          <w:i w:val="0"/>
        </w:rPr>
        <w:t>.</w:t>
      </w:r>
    </w:p>
    <w:p>
      <w:pPr>
        <w:pStyle w:val="ListBullet"/>
      </w:pPr>
      <w:r>
        <w:rPr>
          <w:b w:val="0"/>
          <w:i w:val="0"/>
        </w:rPr>
        <w:t xml:space="preserve">Nielsen Norman Group. </w:t>
      </w:r>
      <w:hyperlink r:id="rId10">
        <w:r>
          <w:rPr>
            <w:color w:val="175D73"/>
            <w:u w:val="single"/>
          </w:rPr>
          <w:t>Empathy Mapping: The First Step in Design Thinking</w:t>
        </w:r>
      </w:hyperlink>
      <w:r>
        <w:rPr>
          <w:b w:val="0"/>
          <w:i w:val="0"/>
        </w:rPr>
        <w:t>.</w:t>
      </w:r>
    </w:p>
    <w:p>
      <w:pPr>
        <w:pStyle w:val="ListBullet"/>
      </w:pPr>
      <w:r>
        <w:rPr>
          <w:b w:val="0"/>
          <w:i w:val="0"/>
        </w:rPr>
        <w:t xml:space="preserve">Marketing AI Institute. </w:t>
      </w:r>
      <w:hyperlink r:id="rId11">
        <w:r>
          <w:rPr>
            <w:color w:val="175D73"/>
            <w:u w:val="single"/>
          </w:rPr>
          <w:t>How to Use AI Agents to Fact-Check and Copy Edit Your Content</w:t>
        </w:r>
      </w:hyperlink>
      <w:r>
        <w:rPr>
          <w:b w:val="0"/>
          <w:i w:val="0"/>
        </w:rPr>
        <w: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hristopherspenn.com/2026/10/why-small-ai-models-like-jev-are-replacing-frontier-llms-for-classification-tasks?pk_campaign=feed&amp;pk_kwd=why-small-ai-models-like-jev-are-replacing-frontier-llms-for-classification-tasks" TargetMode="External"/><Relationship Id="rId10" Type="http://schemas.openxmlformats.org/officeDocument/2006/relationships/hyperlink" Target="https://www.nngroup.com/articles/empathy-mapping" TargetMode="External"/><Relationship Id="rId11" Type="http://schemas.openxmlformats.org/officeDocument/2006/relationships/hyperlink" Target="https://www.marketingaiinstitute.com/blog/ai-agents-as-fact-checkers" TargetMode="External"/><Relationship Id="rId12" Type="http://schemas.openxmlformats.org/officeDocument/2006/relationships/hyperlink" Target="https://youtu.be/Ej1c8o_L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AI Research Earn Its Place With Evidence You Can Check</dc:title>
  <dc:subject/>
  <dc:creator>The Small Business Research Brief</dc:creator>
  <cp:keywords/>
  <dc:description>generated by python-docx</dc:description>
  <cp:lastModifiedBy/>
  <cp:revision>1</cp:revision>
  <dcterms:created xsi:type="dcterms:W3CDTF">2013-12-23T23:15:00Z</dcterms:created>
  <dcterms:modified xsi:type="dcterms:W3CDTF">2013-12-23T23:15:00Z</dcterms:modified>
  <cp:category/>
</cp:coreProperties>
</file>