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Pilot One Customer Question—and Count the Work Needed to Trust the Answer</w:t>
      </w:r>
    </w:p>
    <w:p>
      <w:r>
        <w:rPr>
          <w:b w:val="0"/>
          <w:i w:val="0"/>
        </w:rPr>
      </w:r>
      <w:r>
        <w:rPr>
          <w:b w:val="0"/>
          <w:i/>
        </w:rPr>
        <w:t>The Small Business Research Brief — As of 2026-10-10</w:t>
      </w:r>
      <w:r>
        <w:rPr>
          <w:b w:val="0"/>
          <w:i w:val="0"/>
        </w:rPr>
      </w:r>
    </w:p>
    <w:p>
      <w:r>
        <w:rPr>
          <w:b w:val="0"/>
          <w:i w:val="0"/>
        </w:rPr>
        <w:t>For a small-business researcher deciding where to try AI, the useful starting point is one bounded customer question, retained research material, and a named person responsible for interpreting the result. This article’s argument is that a pilot should measure the work required to produce trustworthy decision support, including preparation, checking, and maintenance. A finished summary is only an intermediate output. The evidence reviewed here supports this evaluation approach; it does not establish that AI will save your business time or money.</w:t>
      </w:r>
    </w:p>
    <w:p>
      <w:r>
        <w:rPr>
          <w:b w:val="0"/>
          <w:i w:val="0"/>
        </w:rPr>
        <w:t xml:space="preserve">Nielsen Norman Group distinguishes asking AI to organize research evidence already collected from asking it to generate evidence the researcher does not possess. Its </w:t>
      </w:r>
      <w:hyperlink r:id="rId9">
        <w:r>
          <w:rPr>
            <w:color w:val="175D73"/>
            <w:u w:val="single"/>
          </w:rPr>
          <w:t>empathy-mapping guidance</w:t>
        </w:r>
      </w:hyperlink>
      <w:r>
        <w:rPr>
          <w:b w:val="0"/>
          <w:i w:val="0"/>
        </w:rPr>
        <w:t xml:space="preserve"> also requires each note to connect to a specific research artifact, with unsupported notes labeled as assumptions. For your pilot, that suggests choosing material you can inspect: interview transcripts, qualitative survey responses, or support records. Ask the tool to organize that material while preserving the route back to it.</w:t>
      </w:r>
    </w:p>
    <w:p>
      <w:r>
        <w:rPr>
          <w:b w:val="0"/>
          <w:i w:val="0"/>
        </w:rPr>
        <w:t xml:space="preserve">The success criterion also needs care. In Greenbook’s interview, WEX practitioner Nadine van Rooyen argues that an insight’s success should not be measured solely by whether its recommendation gets implemented. Her </w:t>
      </w:r>
      <w:hyperlink r:id="rId10">
        <w:r>
          <w:rPr>
            <w:color w:val="175D73"/>
            <w:u w:val="single"/>
          </w:rPr>
          <w:t>discussion of implementation and value</w:t>
        </w:r>
      </w:hyperlink>
      <w:r>
        <w:rPr>
          <w:b w:val="0"/>
          <w:i w:val="0"/>
        </w:rPr>
        <w:t xml:space="preserve"> offers a useful question for the pilot: did the synthesis help someone assess a decision, even if the eventual choice was to wait? That question is an editorial application of her argument, not evidence of AI effectiveness.</w:t>
      </w:r>
    </w:p>
    <w:p>
      <w:r>
        <w:rPr>
          <w:b w:val="0"/>
          <w:i w:val="0"/>
        </w:rPr>
        <w:t xml:space="preserve">Context belongs in the evaluation too. In Insight Platforms’ interview, South African researcher Mpho Mpofu calls for budgets to accommodate language and cultural context. Her remarks about </w:t>
      </w:r>
      <w:hyperlink r:id="rId11">
        <w:r>
          <w:rPr>
            <w:color w:val="175D73"/>
            <w:u w:val="single"/>
          </w:rPr>
          <w:t>language</w:t>
        </w:r>
      </w:hyperlink>
      <w:r>
        <w:rPr>
          <w:b w:val="0"/>
          <w:i w:val="0"/>
        </w:rPr>
        <w:t xml:space="preserve"> and </w:t>
      </w:r>
      <w:hyperlink r:id="rId12">
        <w:r>
          <w:rPr>
            <w:color w:val="175D73"/>
            <w:u w:val="single"/>
          </w:rPr>
          <w:t>cultural context</w:t>
        </w:r>
      </w:hyperlink>
      <w:r>
        <w:rPr>
          <w:b w:val="0"/>
          <w:i w:val="0"/>
        </w:rPr>
        <w:t xml:space="preserve"> challenge a pilot budget that counts only tool access. She also describes </w:t>
      </w:r>
      <w:hyperlink r:id="rId13">
        <w:r>
          <w:rPr>
            <w:color w:val="175D73"/>
            <w:u w:val="single"/>
          </w:rPr>
          <w:t>differences between markets</w:t>
        </w:r>
      </w:hyperlink>
      <w:r>
        <w:rPr>
          <w:b w:val="0"/>
          <w:i w:val="0"/>
        </w:rPr>
        <w:t>. Treat those remarks as a practitioner’s warning to investigate local meaning, rather than a single profile of African customers.</w:t>
      </w:r>
    </w:p>
    <w:p>
      <w:r>
        <w:rPr>
          <w:b w:val="0"/>
          <w:i w:val="0"/>
        </w:rPr>
        <w:t xml:space="preserve">Together, these sources support our inference: a customer-synthesis pilot should assess traceability and local interpretive fit before treating its outputs as decision evidence. Producing a recommendation, or getting one implemented, is insufficient by itself. This connects </w:t>
      </w:r>
      <w:hyperlink r:id="rId9">
        <w:r>
          <w:rPr>
            <w:color w:val="175D73"/>
            <w:u w:val="single"/>
          </w:rPr>
          <w:t>NN/g’s evidence requirement</w:t>
        </w:r>
      </w:hyperlink>
      <w:r>
        <w:rPr>
          <w:b w:val="0"/>
          <w:i w:val="0"/>
        </w:rPr>
        <w:t xml:space="preserve">, </w:t>
      </w:r>
      <w:hyperlink r:id="rId10">
        <w:r>
          <w:rPr>
            <w:color w:val="175D73"/>
            <w:u w:val="single"/>
          </w:rPr>
          <w:t>van Rooyen’s distinction about success</w:t>
        </w:r>
      </w:hyperlink>
      <w:r>
        <w:rPr>
          <w:b w:val="0"/>
          <w:i w:val="0"/>
        </w:rPr>
        <w:t xml:space="preserve">, and </w:t>
      </w:r>
      <w:hyperlink r:id="rId14">
        <w:r>
          <w:rPr>
            <w:color w:val="175D73"/>
            <w:u w:val="single"/>
          </w:rPr>
          <w:t>Mpofu’s contextual caution</w:t>
        </w:r>
      </w:hyperlink>
      <w:r>
        <w:rPr>
          <w:b w:val="0"/>
          <w:i w:val="0"/>
        </w:rPr>
        <w:t>.</w:t>
      </w:r>
    </w:p>
    <w:p>
      <w:r>
        <w:rPr>
          <w:b w:val="0"/>
          <w:i w:val="0"/>
        </w:rPr>
        <w:t>Here is a practical pilot design derived from that synthesis, rather than a tested intervention:</w:t>
      </w:r>
    </w:p>
    <w:p>
      <w:r>
        <w:rPr>
          <w:b w:val="0"/>
          <w:i w:val="0"/>
        </w:rPr>
        <w:t xml:space="preserve">1. </w:t>
      </w:r>
      <w:r>
        <w:rPr>
          <w:b/>
          <w:i w:val="0"/>
        </w:rPr>
        <w:t>Define the decision.</w:t>
      </w:r>
      <w:r>
        <w:rPr>
          <w:b w:val="0"/>
          <w:i w:val="0"/>
        </w:rPr>
        <w:t xml:space="preserve"> Write down the customer question, the segment and market covered, and what the available material cannot answer. Name the person who will interpret the findings.</w:t>
      </w:r>
      <w:r>
        <w:t xml:space="preserve"> </w:t>
      </w:r>
      <w:r>
        <w:rPr>
          <w:b w:val="0"/>
          <w:i w:val="0"/>
        </w:rPr>
        <w:t xml:space="preserve">2. </w:t>
      </w:r>
      <w:r>
        <w:rPr>
          <w:b/>
          <w:i w:val="0"/>
        </w:rPr>
        <w:t>Keep the comparison inspectable.</w:t>
      </w:r>
      <w:r>
        <w:rPr>
          <w:b w:val="0"/>
          <w:i w:val="0"/>
        </w:rPr>
        <w:t xml:space="preserve"> Use the same bounded material for the AI-assisted task and the current manual process. Record preparation, analysis, checking, corrections, and any tool charges separately. Include the effort required to update the output later.</w:t>
      </w:r>
      <w:r>
        <w:t xml:space="preserve"> </w:t>
      </w:r>
      <w:r>
        <w:rPr>
          <w:b w:val="0"/>
          <w:i w:val="0"/>
        </w:rPr>
        <w:t xml:space="preserve">3. </w:t>
      </w:r>
      <w:r>
        <w:rPr>
          <w:b/>
          <w:i w:val="0"/>
        </w:rPr>
        <w:t>Require evidence beside each finding.</w:t>
      </w:r>
      <w:r>
        <w:rPr>
          <w:b w:val="0"/>
          <w:i w:val="0"/>
        </w:rPr>
        <w:t xml:space="preserve"> Request a transcript location or record identifier. Check whether the cited material supports the interpretation. Keep assumptions, contradictions, and unanswered questions visible.</w:t>
      </w:r>
      <w:r>
        <w:t xml:space="preserve"> </w:t>
      </w:r>
      <w:r>
        <w:rPr>
          <w:b w:val="0"/>
          <w:i w:val="0"/>
        </w:rPr>
        <w:t xml:space="preserve">4. </w:t>
      </w:r>
      <w:r>
        <w:rPr>
          <w:b/>
          <w:i w:val="0"/>
        </w:rPr>
        <w:t>Review contextual fit.</w:t>
      </w:r>
      <w:r>
        <w:rPr>
          <w:b w:val="0"/>
          <w:i w:val="0"/>
        </w:rPr>
        <w:t xml:space="preserve"> Ask who can assess language and cultural meaning for the market concerned. Record unresolved interpretation questions rather than accepting a fluent summary as sufficient.</w:t>
      </w:r>
      <w:r>
        <w:t xml:space="preserve"> </w:t>
      </w:r>
      <w:r>
        <w:rPr>
          <w:b w:val="0"/>
          <w:i w:val="0"/>
        </w:rPr>
        <w:t xml:space="preserve">5. </w:t>
      </w:r>
      <w:r>
        <w:rPr>
          <w:b/>
          <w:i w:val="0"/>
        </w:rPr>
        <w:t>Review decision support before expanding.</w:t>
      </w:r>
      <w:r>
        <w:rPr>
          <w:b w:val="0"/>
          <w:i w:val="0"/>
        </w:rPr>
        <w:t xml:space="preserve"> Document what the checked synthesis clarified, what it missed, and whether the total effort compares favorably with the manual process. Set the criteria before judging the result.</w:t>
      </w:r>
    </w:p>
    <w:p>
      <w:r>
        <w:rPr>
          <w:b w:val="0"/>
          <w:i w:val="0"/>
        </w:rPr>
        <w:t>A meaningful counterargument is that this checking may consume the time the pilot was meant to save. The sources reviewed here do not resolve that objection. Recording the entire workflow makes it testable; a polished output alone cannot settle it. Nor does this customer-synthesis evidence validate competitor monitoring or automated desk research.</w:t>
      </w:r>
    </w:p>
    <w:p>
      <w:r>
        <w:rPr>
          <w:b w:val="0"/>
          <w:i w:val="0"/>
        </w:rPr>
        <w:t>Transferability remains limited. WEX is a global enterprise with specialist roles, so its practitioner’s framework cannot establish small-business staffing needs or ROI. These English-language sources do not directly represent non-English customers. Missing evidence includes independently evaluated small-business AI deployments, documented unsuccessful deployments, and customers’ views on data use. Handling and consent require separate evidence before customer material is shared.</w:t>
      </w:r>
    </w:p>
    <w:p>
      <w:r>
        <w:rPr>
          <w:b w:val="0"/>
          <w:i w:val="0"/>
        </w:rPr>
        <w:t>Relevant incentives also deserve attention: Mpofu discusses her book, research business, and training; Greenbook promotes its conference; Insight Platforms describes its directory and conference business. The media excerpts require human audio verification before publication, and their truncation prevents conclusions about unseen content.</w:t>
      </w:r>
    </w:p>
    <w:p>
      <w:r>
        <w:rPr>
          <w:b w:val="0"/>
          <w:i w:val="0"/>
        </w:rPr>
        <w:t>Watch next for independent small-business evaluations disclosing manual baselines, total costs, source coverage, multilingual checks, and failures. Those are the results needed to judge whether a capability merits expansion.</w:t>
      </w:r>
    </w:p>
    <w:p>
      <w:r>
        <w:rPr>
          <w:b w:val="0"/>
          <w:i w:val="0"/>
        </w:rPr>
      </w:r>
      <w:r>
        <w:rPr>
          <w:b w:val="0"/>
          <w:i/>
        </w:rPr>
        <w:t>AI assistance disclosure: This draft was prepared with Codex using only the supplied brief and evidence. No browsing or audio verification was performed.</w:t>
      </w:r>
      <w:r>
        <w:rPr>
          <w:b w:val="0"/>
          <w:i w:val="0"/>
        </w:rPr>
      </w:r>
    </w:p>
    <w:p>
      <w:r>
        <w:rPr>
          <w:b w:val="0"/>
          <w:i w:val="0"/>
        </w:rPr>
      </w:r>
      <w:r>
        <w:rPr>
          <w:b w:val="0"/>
          <w:i/>
        </w:rPr>
        <w:t xml:space="preserve">Accompanying video: </w:t>
      </w:r>
      <w:hyperlink r:id="rId15">
        <w:r>
          <w:rPr>
            <w:color w:val="175D73"/>
            <w:u w:val="single"/>
            <w:i/>
          </w:rPr>
          <w:t>Watch the accompanying video</w:t>
        </w:r>
      </w:hyperlink>
      <w:r>
        <w:rPr>
          <w:b w:val="0"/>
          <w:i/>
        </w:rPr>
      </w:r>
      <w:r>
        <w:rPr>
          <w:b w:val="0"/>
          <w:i w:val="0"/>
        </w:rPr>
      </w:r>
    </w:p>
    <w:p>
      <w:pPr>
        <w:pStyle w:val="Heading1"/>
      </w:pPr>
      <w:r>
        <w:rPr>
          <w:b w:val="0"/>
          <w:i w:val="0"/>
        </w:rPr>
        <w:t>References</w:t>
      </w:r>
    </w:p>
    <w:p>
      <w:pPr>
        <w:pStyle w:val="ListBullet"/>
      </w:pPr>
      <w:r>
        <w:rPr>
          <w:b w:val="0"/>
          <w:i w:val="0"/>
        </w:rPr>
        <w:t xml:space="preserve">Nielsen Norman Group. </w:t>
      </w:r>
      <w:hyperlink r:id="rId9">
        <w:r>
          <w:rPr>
            <w:color w:val="175D73"/>
            <w:u w:val="single"/>
          </w:rPr>
          <w:t>Empathy Mapping: The First Step in Design Thinking</w:t>
        </w:r>
      </w:hyperlink>
      <w:r>
        <w:rPr>
          <w:b w:val="0"/>
          <w:i w:val="0"/>
        </w:rPr>
        <w:t>.</w:t>
      </w:r>
    </w:p>
    <w:p>
      <w:pPr>
        <w:pStyle w:val="ListBullet"/>
      </w:pPr>
      <w:r>
        <w:rPr>
          <w:b w:val="0"/>
          <w:i w:val="0"/>
        </w:rPr>
        <w:t xml:space="preserve">Greenbook. </w:t>
      </w:r>
      <w:hyperlink r:id="rId10">
        <w:r>
          <w:rPr>
            <w:color w:val="175D73"/>
            <w:u w:val="single"/>
          </w:rPr>
          <w:t>Rethinking Insights Impact with Nadine van Rooyen of WEX — relevant audio passage</w:t>
        </w:r>
      </w:hyperlink>
      <w:r>
        <w:rPr>
          <w:b w:val="0"/>
          <w:i w:val="0"/>
        </w:rPr>
        <w:t>.</w:t>
      </w:r>
    </w:p>
    <w:p>
      <w:pPr>
        <w:pStyle w:val="ListBullet"/>
      </w:pPr>
      <w:r>
        <w:rPr>
          <w:b w:val="0"/>
          <w:i w:val="0"/>
        </w:rPr>
        <w:t xml:space="preserve">Insight Platforms. </w:t>
      </w:r>
      <w:hyperlink r:id="rId16">
        <w:r>
          <w:rPr>
            <w:color w:val="175D73"/>
            <w:u w:val="single"/>
          </w:rPr>
          <w:t>Episode 23: Mpho Mpofu, Founder of Masutane – SOUTH AFRICA — language and context passage</w:t>
        </w:r>
      </w:hyperlink>
      <w:r>
        <w:rPr>
          <w:b w:val="0"/>
          <w:i w:val="0"/>
        </w:rPr>
        <w: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ngroup.com/articles/empathy-mapping" TargetMode="External"/><Relationship Id="rId10" Type="http://schemas.openxmlformats.org/officeDocument/2006/relationships/hyperlink" Target="https://episodes.captivate.fm/episode/7343a793-1681-4f1e-903b-04c3d1ca86d3.mp3#t=972.72,979.6" TargetMode="External"/><Relationship Id="rId11" Type="http://schemas.openxmlformats.org/officeDocument/2006/relationships/hyperlink" Target="https://www.youtube.com/watch?v=Z4Coq_GIcpo&amp;t=378s" TargetMode="External"/><Relationship Id="rId12" Type="http://schemas.openxmlformats.org/officeDocument/2006/relationships/hyperlink" Target="https://www.youtube.com/watch?v=Z4Coq_GIcpo&amp;t=380s" TargetMode="External"/><Relationship Id="rId13" Type="http://schemas.openxmlformats.org/officeDocument/2006/relationships/hyperlink" Target="https://www.youtube.com/watch?v=Z4Coq_GIcpo&amp;t=979s" TargetMode="External"/><Relationship Id="rId14" Type="http://schemas.openxmlformats.org/officeDocument/2006/relationships/hyperlink" Target="https://www.youtube.com/watch?v=Z4Coq_GIcpo&amp;t=967s" TargetMode="External"/><Relationship Id="rId15" Type="http://schemas.openxmlformats.org/officeDocument/2006/relationships/hyperlink" Target="https://youtu.be/oUOU5CditYM" TargetMode="External"/><Relationship Id="rId16" Type="http://schemas.openxmlformats.org/officeDocument/2006/relationships/hyperlink" Target="https://www.youtube.com/watch?v=Z4Coq_GIcpo&amp;t=37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One Customer Question—and Count the Work Needed to Trust the Answer</dc:title>
  <dc:subject/>
  <dc:creator>The Small Business Research Brief</dc:creator>
  <cp:keywords/>
  <dc:description>generated by python-docx</dc:description>
  <cp:lastModifiedBy/>
  <cp:revision>1</cp:revision>
  <dcterms:created xsi:type="dcterms:W3CDTF">2013-12-23T23:15:00Z</dcterms:created>
  <dcterms:modified xsi:type="dcterms:W3CDTF">2013-12-23T23:15:00Z</dcterms:modified>
  <cp:category/>
</cp:coreProperties>
</file>