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66"/>
      </w:tblGrid>
      <w:tr>
        <w:tc>
          <w:tcPr>
            <w:tcW w:type="dxa" w:w="9066"/>
            <w:shd w:val="clear" w:color="auto" w:fill="003366"/>
          </w:tcPr>
          <w:p>
            <w:pPr>
              <w:jc w:val="center"/>
            </w:pPr>
            <w:r>
              <w:rPr>
                <w:b/>
                <w:color w:val="FFFFFF"/>
                <w:sz w:val="56"/>
              </w:rPr>
              <w:br/>
              <w:br/>
              <w:t>LTVF Cloud Dashboard</w:t>
              <w:br/>
            </w:r>
          </w:p>
          <w:p>
            <w:pPr>
              <w:jc w:val="center"/>
            </w:pPr>
            <w:r>
              <w:rPr>
                <w:color w:val="B3D1FF"/>
                <w:sz w:val="28"/>
              </w:rPr>
              <w:t>Technical Architecture &amp; Implementation Reference</w:t>
              <w:br/>
              <w:br/>
            </w:r>
          </w:p>
        </w:tc>
      </w:tr>
    </w:tbl>
    <w:p/>
    <w:p>
      <w:pPr>
        <w:jc w:val="center"/>
      </w:pPr>
      <w:r>
        <w:rPr>
          <w:color w:val="333333"/>
          <w:sz w:val="22"/>
        </w:rPr>
        <w:t>SAP CNVLTVF3 Migration Test Results Dashboard</w:t>
        <w:br/>
      </w:r>
      <w:r>
        <w:rPr>
          <w:color w:val="333333"/>
          <w:sz w:val="22"/>
        </w:rPr>
        <w:t>Date: 14 July 2026</w:t>
        <w:br/>
      </w:r>
      <w:r>
        <w:rPr>
          <w:color w:val="333333"/>
          <w:sz w:val="22"/>
        </w:rPr>
        <w:t>Version: 2.0</w:t>
        <w:br/>
      </w:r>
      <w:r>
        <w:rPr>
          <w:color w:val="333333"/>
          <w:sz w:val="22"/>
        </w:rPr>
        <w:t>Classification: Business Confidential</w:t>
        <w:br/>
      </w:r>
    </w:p>
    <w:p>
      <w:r>
        <w:br w:type="page"/>
      </w:r>
    </w:p>
    <w:p>
      <w:pPr>
        <w:spacing w:before="360" w:after="120"/>
        <w:pBdr>
          <w:bottom w:val="single" w:sz="6" w:space="1" w:color="003366"/>
        </w:pBdr>
      </w:pPr>
      <w:r>
        <w:rPr>
          <w:b/>
          <w:color w:val="003366"/>
          <w:sz w:val="32"/>
        </w:rPr>
        <w:t>Table of Contents</w:t>
      </w:r>
    </w:p>
    <w:p>
      <w:pPr>
        <w:pStyle w:val="ListBullet"/>
        <w:spacing w:after="40"/>
        <w:ind w:left="454"/>
      </w:pPr>
      <w:r>
        <w:rPr>
          <w:color w:val="333333"/>
          <w:sz w:val="21"/>
        </w:rPr>
        <w:t>1.  Executive Summary</w:t>
      </w:r>
    </w:p>
    <w:p>
      <w:pPr>
        <w:pStyle w:val="ListBullet"/>
        <w:spacing w:after="40"/>
        <w:ind w:left="454"/>
      </w:pPr>
      <w:r>
        <w:rPr>
          <w:color w:val="333333"/>
          <w:sz w:val="21"/>
        </w:rPr>
        <w:t>2.  Project Overview &amp; Purpose</w:t>
      </w:r>
    </w:p>
    <w:p>
      <w:pPr>
        <w:pStyle w:val="ListBullet"/>
        <w:spacing w:after="40"/>
        <w:ind w:left="454"/>
      </w:pPr>
      <w:r>
        <w:rPr>
          <w:color w:val="333333"/>
          <w:sz w:val="21"/>
        </w:rPr>
        <w:t>3.  Solution Architecture</w:t>
      </w:r>
    </w:p>
    <w:p>
      <w:pPr>
        <w:pStyle w:val="ListBullet"/>
        <w:spacing w:after="40"/>
        <w:ind w:left="454"/>
      </w:pPr>
      <w:r>
        <w:rPr>
          <w:color w:val="333333"/>
          <w:sz w:val="21"/>
        </w:rPr>
        <w:t>4.  Frontend Architecture (React + TypeScript)</w:t>
      </w:r>
    </w:p>
    <w:p>
      <w:pPr>
        <w:pStyle w:val="ListBullet"/>
        <w:spacing w:after="40"/>
        <w:ind w:left="454"/>
      </w:pPr>
      <w:r>
        <w:rPr>
          <w:color w:val="333333"/>
          <w:sz w:val="21"/>
        </w:rPr>
        <w:t>5.  Backend Architecture (Python FastAPI)</w:t>
      </w:r>
    </w:p>
    <w:p>
      <w:pPr>
        <w:pStyle w:val="ListBullet"/>
        <w:spacing w:after="40"/>
        <w:ind w:left="454"/>
      </w:pPr>
      <w:r>
        <w:rPr>
          <w:color w:val="333333"/>
          <w:sz w:val="21"/>
        </w:rPr>
        <w:t>6.  Excel Parser — Core Logic</w:t>
      </w:r>
    </w:p>
    <w:p>
      <w:pPr>
        <w:pStyle w:val="ListBullet"/>
        <w:spacing w:after="40"/>
        <w:ind w:left="454"/>
      </w:pPr>
      <w:r>
        <w:rPr>
          <w:color w:val="333333"/>
          <w:sz w:val="21"/>
        </w:rPr>
        <w:t>7.  Data Models</w:t>
      </w:r>
    </w:p>
    <w:p>
      <w:pPr>
        <w:pStyle w:val="ListBullet"/>
        <w:spacing w:after="40"/>
        <w:ind w:left="454"/>
      </w:pPr>
      <w:r>
        <w:rPr>
          <w:color w:val="333333"/>
          <w:sz w:val="21"/>
        </w:rPr>
        <w:t>8.  API Reference</w:t>
      </w:r>
    </w:p>
    <w:p>
      <w:pPr>
        <w:pStyle w:val="ListBullet"/>
        <w:spacing w:after="40"/>
        <w:ind w:left="454"/>
      </w:pPr>
      <w:r>
        <w:rPr>
          <w:color w:val="333333"/>
          <w:sz w:val="21"/>
        </w:rPr>
        <w:t>9.  Deployment Architecture</w:t>
      </w:r>
    </w:p>
    <w:p>
      <w:pPr>
        <w:pStyle w:val="ListBullet"/>
        <w:spacing w:after="40"/>
        <w:ind w:left="454"/>
      </w:pPr>
      <w:r>
        <w:rPr>
          <w:color w:val="333333"/>
          <w:sz w:val="21"/>
        </w:rPr>
        <w:t>10. Security Design</w:t>
      </w:r>
    </w:p>
    <w:p>
      <w:pPr>
        <w:pStyle w:val="ListBullet"/>
        <w:spacing w:after="40"/>
        <w:ind w:left="454"/>
      </w:pPr>
      <w:r>
        <w:rPr>
          <w:color w:val="333333"/>
          <w:sz w:val="21"/>
        </w:rPr>
        <w:t>11. Configuration &amp; Environment Variables</w:t>
      </w:r>
    </w:p>
    <w:p>
      <w:pPr>
        <w:pStyle w:val="ListBullet"/>
        <w:spacing w:after="40"/>
        <w:ind w:left="454"/>
      </w:pPr>
      <w:r>
        <w:rPr>
          <w:color w:val="333333"/>
          <w:sz w:val="21"/>
        </w:rPr>
        <w:t>12. Local Development Setup</w:t>
      </w:r>
    </w:p>
    <w:p>
      <w:pPr>
        <w:pStyle w:val="ListBullet"/>
        <w:spacing w:after="40"/>
        <w:ind w:left="454"/>
      </w:pPr>
      <w:r>
        <w:rPr>
          <w:color w:val="333333"/>
          <w:sz w:val="21"/>
        </w:rPr>
        <w:t>13. Production Deployment</w:t>
      </w:r>
    </w:p>
    <w:p>
      <w:pPr>
        <w:pStyle w:val="ListBullet"/>
        <w:spacing w:after="40"/>
        <w:ind w:left="454"/>
      </w:pPr>
      <w:r>
        <w:rPr>
          <w:color w:val="333333"/>
          <w:sz w:val="21"/>
        </w:rPr>
        <w:t>14. Glossary</w:t>
      </w:r>
    </w:p>
    <w:p>
      <w:r>
        <w:br w:type="page"/>
      </w:r>
    </w:p>
    <w:p>
      <w:pPr>
        <w:spacing w:before="360" w:after="120"/>
        <w:pBdr>
          <w:bottom w:val="single" w:sz="6" w:space="1" w:color="003366"/>
        </w:pBdr>
      </w:pPr>
      <w:r>
        <w:rPr>
          <w:b/>
          <w:color w:val="003366"/>
          <w:sz w:val="32"/>
        </w:rPr>
        <w:t>1.  Executive Summary</w:t>
      </w:r>
    </w:p>
    <w:p>
      <w:pPr>
        <w:spacing w:after="80"/>
      </w:pPr>
      <w:r>
        <w:rPr>
          <w:color w:val="333333"/>
          <w:sz w:val="21"/>
        </w:rPr>
        <w:t>The LTVF Cloud Dashboard is a full-stack web application built to visualise the output of SAP transaction CNVLTVF3 — the Long-Term Value Forecast test framework used during SAP S/4HANA system conversions. Users upload the Excel export produced by CNVLTVF3 and immediately receive an interactive, browser-based dashboard showing test case match rates, pass/warn/fail breakdowns, hierarchical treemaps, and a filterable detail table.</w:t>
      </w:r>
    </w:p>
    <w:p>
      <w:pPr>
        <w:spacing w:after="80"/>
      </w:pPr>
      <w:r>
        <w:rPr>
          <w:color w:val="333333"/>
          <w:sz w:val="21"/>
        </w:rPr>
        <w:t>The application is stateless — no database is used. All data is parsed on the fly from the uploaded file, returned to the browser as JSON, and optionally cached in browser localStorage for quick reload. The frontend is deployed on Vercel; the backend on Render.com. Local development uses Docker Compose.</w:t>
      </w:r>
    </w:p>
    <w:tbl>
      <w:tblPr>
        <w:tblStyle w:val="TableGrid"/>
        <w:tblW w:type="auto" w:w="0"/>
        <w:tblLook w:firstColumn="1" w:firstRow="1" w:lastColumn="0" w:lastRow="0" w:noHBand="0" w:noVBand="1" w:val="04A0"/>
      </w:tblPr>
      <w:tblGrid>
        <w:gridCol w:w="9066"/>
      </w:tblGrid>
      <w:tr>
        <w:tc>
          <w:tcPr>
            <w:tcW w:type="dxa" w:w="9066"/>
            <w:shd w:val="clear" w:color="auto" w:fill="E8F0FE"/>
            <w:tcBorders>
              <w:top w:val="single" w:sz="4" w:space="0" w:color="003366"/>
              <w:left w:val="single" w:sz="4" w:space="0" w:color="003366"/>
              <w:bottom w:val="single" w:sz="4" w:space="0" w:color="003366"/>
              <w:right w:val="single" w:sz="4" w:space="0" w:color="003366"/>
            </w:tcBorders>
          </w:tcPr>
          <w:p>
            <w:r>
              <w:rPr>
                <w:b/>
                <w:color w:val="003366"/>
                <w:sz w:val="21"/>
              </w:rPr>
              <w:t>Key Facts</w:t>
            </w:r>
          </w:p>
          <w:p>
            <w:r>
              <w:rPr>
                <w:color w:val="333333"/>
                <w:sz w:val="20"/>
              </w:rPr>
              <w:t xml:space="preserve">  •  Frontend:  React 18 + TypeScript + Vite + Tailwind CSS + Recharts + AG Grid</w:t>
            </w:r>
          </w:p>
          <w:p>
            <w:r>
              <w:rPr>
                <w:color w:val="333333"/>
                <w:sz w:val="20"/>
              </w:rPr>
              <w:t xml:space="preserve">  •  Backend:   Python 3.12 + FastAPI 0.111 + pandas + openpyxl</w:t>
            </w:r>
          </w:p>
          <w:p>
            <w:r>
              <w:rPr>
                <w:color w:val="333333"/>
                <w:sz w:val="20"/>
              </w:rPr>
              <w:t xml:space="preserve">  •  Database:  None — stateless, file-upload-only model</w:t>
            </w:r>
          </w:p>
          <w:p>
            <w:r>
              <w:rPr>
                <w:color w:val="333333"/>
                <w:sz w:val="20"/>
              </w:rPr>
              <w:t xml:space="preserve">  •  Deployment: Vercel (frontend)  +  Render.com (backend)</w:t>
            </w:r>
          </w:p>
          <w:p>
            <w:r>
              <w:rPr>
                <w:color w:val="333333"/>
                <w:sz w:val="20"/>
              </w:rPr>
              <w:t xml:space="preserve">  •  Local dev:  Docker Compose (frontend :3000, backend :8000)</w:t>
            </w:r>
          </w:p>
          <w:p>
            <w:r>
              <w:rPr>
                <w:color w:val="333333"/>
                <w:sz w:val="20"/>
              </w:rPr>
              <w:t xml:space="preserve">  •  Source:     C:\Users\I750407\ltvf-dashboard</w:t>
            </w:r>
          </w:p>
        </w:tc>
      </w:tr>
    </w:tbl>
    <w:p/>
    <w:p>
      <w:r>
        <w:br w:type="page"/>
      </w:r>
    </w:p>
    <w:p>
      <w:pPr>
        <w:spacing w:before="360" w:after="120"/>
        <w:pBdr>
          <w:bottom w:val="single" w:sz="6" w:space="1" w:color="003366"/>
        </w:pBdr>
      </w:pPr>
      <w:r>
        <w:rPr>
          <w:b/>
          <w:color w:val="003366"/>
          <w:sz w:val="32"/>
        </w:rPr>
        <w:t>2.  Project Overview &amp; Purpose</w:t>
      </w:r>
    </w:p>
    <w:p>
      <w:pPr>
        <w:spacing w:before="240" w:after="80"/>
      </w:pPr>
      <w:r>
        <w:rPr>
          <w:b/>
          <w:color w:val="005A9C"/>
          <w:sz w:val="26"/>
        </w:rPr>
        <w:t>2.1  Business Context</w:t>
      </w:r>
    </w:p>
    <w:p>
      <w:pPr>
        <w:spacing w:after="80"/>
      </w:pPr>
      <w:r>
        <w:rPr>
          <w:color w:val="333333"/>
          <w:sz w:val="21"/>
        </w:rPr>
        <w:t>During an SAP system conversion (e.g. ECC to S/4HANA), the CNVLTVF3 test framework runs thousands of test cases that compare source and target data records. Each test case produces a match rate (%) — how closely the target data aligns with the source. The raw output is an Excel file with a fixed 20-column layout and a hierarchical row structure using '&gt;&gt; path &gt; subpath &gt;' prefixes for group rows.</w:t>
      </w:r>
    </w:p>
    <w:p>
      <w:pPr>
        <w:spacing w:after="80"/>
      </w:pPr>
      <w:r>
        <w:rPr>
          <w:color w:val="333333"/>
          <w:sz w:val="21"/>
        </w:rPr>
        <w:t>This dashboard replaces the need to manually read the Excel file. It parses the file server-side and renders the results as an interactive, colour-coded web application accessible from any browser without SAP GUI.</w:t>
      </w:r>
    </w:p>
    <w:p>
      <w:pPr>
        <w:spacing w:before="240" w:after="80"/>
      </w:pPr>
      <w:r>
        <w:rPr>
          <w:b/>
          <w:color w:val="005A9C"/>
          <w:sz w:val="26"/>
        </w:rPr>
        <w:t>2.2  Thresholds &amp; Traffic Light System</w:t>
      </w:r>
    </w:p>
    <w:tbl>
      <w:tblPr>
        <w:tblStyle w:val="TableGrid"/>
        <w:tblW w:type="auto" w:w="0"/>
        <w:jc w:val="left"/>
        <w:tblLook w:firstColumn="1" w:firstRow="1" w:lastColumn="0" w:lastRow="0" w:noHBand="0" w:noVBand="1" w:val="04A0"/>
      </w:tblPr>
      <w:tblGrid>
        <w:gridCol w:w="3022"/>
        <w:gridCol w:w="3022"/>
        <w:gridCol w:w="3022"/>
      </w:tblGrid>
      <w:tr>
        <w:tc>
          <w:tcPr>
            <w:tcW w:type="dxa" w:w="1728"/>
            <w:shd w:val="clear" w:color="auto" w:fill="003366"/>
            <w:vAlign w:val="center"/>
          </w:tcPr>
          <w:p>
            <w:pPr>
              <w:jc w:val="center"/>
            </w:pPr>
            <w:r>
              <w:rPr>
                <w:b/>
                <w:color w:val="FFFFFF"/>
                <w:sz w:val="20"/>
              </w:rPr>
              <w:t>Status</w:t>
            </w:r>
          </w:p>
        </w:tc>
        <w:tc>
          <w:tcPr>
            <w:tcW w:type="dxa" w:w="4032"/>
            <w:shd w:val="clear" w:color="auto" w:fill="003366"/>
            <w:vAlign w:val="center"/>
          </w:tcPr>
          <w:p>
            <w:pPr>
              <w:jc w:val="center"/>
            </w:pPr>
            <w:r>
              <w:rPr>
                <w:b/>
                <w:color w:val="FFFFFF"/>
                <w:sz w:val="20"/>
              </w:rPr>
              <w:t>Condition</w:t>
            </w:r>
          </w:p>
        </w:tc>
        <w:tc>
          <w:tcPr>
            <w:tcW w:type="dxa" w:w="1728"/>
            <w:shd w:val="clear" w:color="auto" w:fill="003366"/>
            <w:vAlign w:val="center"/>
          </w:tcPr>
          <w:p>
            <w:pPr>
              <w:jc w:val="center"/>
            </w:pPr>
            <w:r>
              <w:rPr>
                <w:b/>
                <w:color w:val="FFFFFF"/>
                <w:sz w:val="20"/>
              </w:rPr>
              <w:t>Colour</w:t>
            </w:r>
          </w:p>
        </w:tc>
      </w:tr>
      <w:tr>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Pass</w:t>
            </w:r>
          </w:p>
        </w:tc>
        <w:tc>
          <w:tcPr>
            <w:tcW w:type="dxa" w:w="403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match rate &gt;= 95%  (default)</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Green</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Warn</w:t>
            </w:r>
          </w:p>
        </w:tc>
        <w:tc>
          <w:tcPr>
            <w:tcW w:type="dxa" w:w="403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80% &lt;= match rate &lt; 95%</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Amber</w:t>
            </w:r>
          </w:p>
        </w:tc>
      </w:tr>
      <w:tr>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Fail</w:t>
            </w:r>
          </w:p>
        </w:tc>
        <w:tc>
          <w:tcPr>
            <w:tcW w:type="dxa" w:w="403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match rate &lt; 80%</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Red</w:t>
            </w:r>
          </w:p>
        </w:tc>
      </w:tr>
    </w:tbl>
    <w:p/>
    <w:p>
      <w:pPr>
        <w:spacing w:after="80"/>
      </w:pPr>
      <w:r>
        <w:rPr>
          <w:color w:val="333333"/>
          <w:sz w:val="21"/>
        </w:rPr>
        <w:t>Both thresholds are configurable at runtime via the Threshold Panel in the dashboard header — no code change required.</w:t>
      </w:r>
    </w:p>
    <w:p>
      <w:pPr>
        <w:spacing w:before="240" w:after="80"/>
      </w:pPr>
      <w:r>
        <w:rPr>
          <w:b/>
          <w:color w:val="005A9C"/>
          <w:sz w:val="26"/>
        </w:rPr>
        <w:t>2.3  Repository Structure</w:t>
      </w:r>
    </w:p>
    <w:p>
      <w:r>
        <w:rPr>
          <w:rFonts w:ascii="Courier New" w:hAnsi="Courier New"/>
          <w:color w:val="333333"/>
          <w:sz w:val="17"/>
        </w:rPr>
        <w:t>ltvf-dashboard/</w:t>
        <w:br/>
        <w:t>├── frontend/                 React + TypeScript SPA (Vite)</w:t>
        <w:br/>
        <w:t>│   ├── src/</w:t>
        <w:br/>
        <w:t>│   │   ├── App.tsx           Root component — tab state, upload logic, theme</w:t>
        <w:br/>
        <w:t>│   │   ├── api/</w:t>
        <w:br/>
        <w:t>│   │   │   └── sapApi.ts     uploadLTVF() — posts file to /api/upload</w:t>
        <w:br/>
        <w:t>│   │   ├── components/       All UI components (12 files)</w:t>
        <w:br/>
        <w:t>│   │   ├── hooks/</w:t>
        <w:br/>
        <w:t>│   │   │   └── useCountUp.ts Animated number count-up hook</w:t>
        <w:br/>
        <w:t>│   │   ├── types/</w:t>
        <w:br/>
        <w:t>│   │   │   └── ltvf.ts       TypeScript interfaces mirroring Pydantic models</w:t>
        <w:br/>
        <w:t>│   │   └── utils/</w:t>
        <w:br/>
        <w:t>│   │       └── history.ts    localStorage upload history (max 5 entries)</w:t>
        <w:br/>
        <w:t>│   ├── vite.config.ts        Dev server port 3000, /api proxy to :8000</w:t>
        <w:br/>
        <w:t>│   ├── tailwind.config.js    darkMode: 'class'</w:t>
        <w:br/>
        <w:t>│   ├── vercel.json           Vercel deployment + SPA rewrites</w:t>
        <w:br/>
        <w:t>│   ├── Dockerfile            Multi-stage: node build → nginx:alpine serve</w:t>
        <w:br/>
        <w:t>│   └── nginx.conf            SPA fallback + /api/ reverse proxy to backend</w:t>
        <w:br/>
        <w:t>├── backend/</w:t>
        <w:br/>
        <w:t>│   ├── main.py               FastAPI app — CORS + 2 routes</w:t>
        <w:br/>
        <w:t>│   ├── excel_parser.py       Core parser — Pydantic models + parse_excel()</w:t>
        <w:br/>
        <w:t>│   ├── models.py             Legacy Pydantic models (OData era, unused)</w:t>
        <w:br/>
        <w:t>│   ├── mock_data.py          Legacy mock data (unused)</w:t>
        <w:br/>
        <w:t>│   ├── sap_client.py         Legacy SAP OData client (not wired, reserved)</w:t>
        <w:br/>
        <w:t>│   ├── requirements.txt      Python dependencies</w:t>
        <w:br/>
        <w:t>│   ├── Dockerfile            python:3.12-slim + uvicorn</w:t>
        <w:br/>
        <w:t>│   ├── render.yaml           Render.com deployment config</w:t>
        <w:br/>
        <w:t>│   └── .env.example          Environment variable template</w:t>
        <w:br/>
        <w:t>├── docker-compose.yml        Local orchestration (backend :8000, frontend :3000)</w:t>
        <w:br/>
        <w:t>├── generate_doc.py           This document generator</w:t>
        <w:br/>
        <w:t>├── LTVF_Cloud_Dashboard_Architecture.docx   Generated output</w:t>
        <w:br/>
        <w:t>└── .gitignore</w:t>
      </w:r>
    </w:p>
    <w:p/>
    <w:p>
      <w:r>
        <w:br w:type="page"/>
      </w:r>
    </w:p>
    <w:p>
      <w:pPr>
        <w:spacing w:before="360" w:after="120"/>
        <w:pBdr>
          <w:bottom w:val="single" w:sz="6" w:space="1" w:color="003366"/>
        </w:pBdr>
      </w:pPr>
      <w:r>
        <w:rPr>
          <w:b/>
          <w:color w:val="003366"/>
          <w:sz w:val="32"/>
        </w:rPr>
        <w:t>3.  Solution Architecture</w:t>
      </w:r>
    </w:p>
    <w:p>
      <w:pPr>
        <w:spacing w:before="240" w:after="80"/>
      </w:pPr>
      <w:r>
        <w:rPr>
          <w:b/>
          <w:color w:val="005A9C"/>
          <w:sz w:val="26"/>
        </w:rPr>
        <w:t>3.1  Architecture Diagram</w:t>
      </w:r>
    </w:p>
    <w:p>
      <w:r>
        <w:rPr>
          <w:rFonts w:ascii="Courier New" w:hAnsi="Courier New"/>
          <w:color w:val="333333"/>
          <w:sz w:val="17"/>
        </w:rPr>
        <w:t>┌─────────────────────────────────────────────────────────────────────┐</w:t>
        <w:br/>
        <w:t>│                    USER BROWSER (any device)                        │</w:t>
        <w:br/>
        <w:t>│                                                                     │</w:t>
        <w:br/>
        <w:t>│   React SPA  ──  Tab: Overview | Treemap | Detail Table | Compare  │</w:t>
        <w:br/>
        <w:t>│   Recharts  ·  AG Grid  ·  Tailwind CSS  ·  Dark / Light mode      │</w:t>
        <w:br/>
        <w:t>└────────────────────────────┬────────────────────────────────────────┘</w:t>
        <w:br/>
        <w:t xml:space="preserve">                             │  HTTPS  POST /api/upload  (.xlsx/.xls) </w:t>
        <w:br/>
        <w:t xml:space="preserve">                             │  HTTPS  GET  /api/health               </w:t>
        <w:br/>
        <w:t>┌────────────────────────────▼────────────────────────────────────────┐</w:t>
        <w:br/>
        <w:t>│                 FASTAPI BACKEND  (Render.com)                       │</w:t>
        <w:br/>
        <w:t>│                                                                     │</w:t>
        <w:br/>
        <w:t>│   main.py          ──  CORS middleware + route definitions          │</w:t>
        <w:br/>
        <w:t>│   excel_parser.py  ──  pandas parse → hierarchy build → Pydantic   │</w:t>
        <w:br/>
        <w:t>│                                                                     │</w:t>
        <w:br/>
        <w:t>│   Stateless — no database, no session, no file storage             │</w:t>
        <w:br/>
        <w:t>└─────────────────────────────────────────────────────────────────────┘</w:t>
        <w:br/>
        <w:br/>
        <w:t xml:space="preserve">  Data flow:</w:t>
        <w:br/>
        <w:t xml:space="preserve">  1. User drags .xlsx onto UploadZone (or clicks to browse)</w:t>
        <w:br/>
        <w:t xml:space="preserve">  2. Browser POSTs file to POST /api/upload via axios</w:t>
        <w:br/>
        <w:t xml:space="preserve">  3. FastAPI reads file bytes → passes to parse_excel()</w:t>
        <w:br/>
        <w:t xml:space="preserve">  4. parse_excel() builds hierarchy, classifies pass/warn/fail</w:t>
        <w:br/>
        <w:t xml:space="preserve">  5. Returns LTVFParseResult JSON to browser</w:t>
        <w:br/>
        <w:t xml:space="preserve">  6. React renders charts, cards, table from the JSON</w:t>
        <w:br/>
        <w:t xml:space="preserve">  7. Result cached in localStorage for history (max 5 entries)</w:t>
      </w:r>
    </w:p>
    <w:p/>
    <w:p>
      <w:pPr>
        <w:spacing w:before="240" w:after="80"/>
      </w:pPr>
      <w:r>
        <w:rPr>
          <w:b/>
          <w:color w:val="005A9C"/>
          <w:sz w:val="26"/>
        </w:rPr>
        <w:t>3.2  Key Design Decisions</w:t>
      </w:r>
    </w:p>
    <w:tbl>
      <w:tblPr>
        <w:tblStyle w:val="TableGrid"/>
        <w:tblW w:type="auto" w:w="0"/>
        <w:jc w:val="left"/>
        <w:tblLook w:firstColumn="1" w:firstRow="1" w:lastColumn="0" w:lastRow="0" w:noHBand="0" w:noVBand="1" w:val="04A0"/>
      </w:tblPr>
      <w:tblGrid>
        <w:gridCol w:w="3022"/>
        <w:gridCol w:w="3022"/>
        <w:gridCol w:w="3022"/>
      </w:tblGrid>
      <w:tr>
        <w:tc>
          <w:tcPr>
            <w:tcW w:type="dxa" w:w="2304"/>
            <w:shd w:val="clear" w:color="auto" w:fill="003366"/>
            <w:vAlign w:val="center"/>
          </w:tcPr>
          <w:p>
            <w:pPr>
              <w:jc w:val="center"/>
            </w:pPr>
            <w:r>
              <w:rPr>
                <w:b/>
                <w:color w:val="FFFFFF"/>
                <w:sz w:val="20"/>
              </w:rPr>
              <w:t>Decision</w:t>
            </w:r>
          </w:p>
        </w:tc>
        <w:tc>
          <w:tcPr>
            <w:tcW w:type="dxa" w:w="2304"/>
            <w:shd w:val="clear" w:color="auto" w:fill="003366"/>
            <w:vAlign w:val="center"/>
          </w:tcPr>
          <w:p>
            <w:pPr>
              <w:jc w:val="center"/>
            </w:pPr>
            <w:r>
              <w:rPr>
                <w:b/>
                <w:color w:val="FFFFFF"/>
                <w:sz w:val="20"/>
              </w:rPr>
              <w:t>Choice</w:t>
            </w:r>
          </w:p>
        </w:tc>
        <w:tc>
          <w:tcPr>
            <w:tcW w:type="dxa" w:w="5040"/>
            <w:shd w:val="clear" w:color="auto" w:fill="003366"/>
            <w:vAlign w:val="center"/>
          </w:tcPr>
          <w:p>
            <w:pPr>
              <w:jc w:val="center"/>
            </w:pPr>
            <w:r>
              <w:rPr>
                <w:b/>
                <w:color w:val="FFFFFF"/>
                <w:sz w:val="20"/>
              </w:rPr>
              <w:t>Rationale</w:t>
            </w:r>
          </w:p>
        </w:tc>
      </w:tr>
      <w:tr>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No database</w:t>
            </w:r>
          </w:p>
        </w:tc>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Stateless file upload</w:t>
            </w:r>
          </w:p>
        </w:tc>
        <w:tc>
          <w:tcPr>
            <w:tcW w:type="dxa" w:w="50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CNVLTVF3 results are point-in-time snapshots; no persistence needed. Eliminates DB ops overhead.</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No URL router</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Tab state in App.tsx</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Single-page with 4 tabs; no bookmarkable views needed. Keeps bundle small.</w:t>
            </w:r>
          </w:p>
        </w:tc>
      </w:tr>
      <w:tr>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localStorage history</w:t>
            </w:r>
          </w:p>
        </w:tc>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Up to 5 recent uploads</w:t>
            </w:r>
          </w:p>
        </w:tc>
        <w:tc>
          <w:tcPr>
            <w:tcW w:type="dxa" w:w="50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Allows quick reload of recent files without re-uploading, survives page refresh.</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Configurable thresholds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Runtime sliders</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Pass/warn cutoffs vary by project; no redeploy needed to adjust.</w:t>
            </w:r>
          </w:p>
        </w:tc>
      </w:tr>
      <w:tr>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Dark mode</w:t>
            </w:r>
          </w:p>
        </w:tc>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Tailwind class strategy</w:t>
            </w:r>
          </w:p>
        </w:tc>
        <w:tc>
          <w:tcPr>
            <w:tcW w:type="dxa" w:w="50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User preference persisted in localStorage; respects OS prefers-color-scheme on first load.</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Excel column mapping</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Position-based (not by name)</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CNVLTVF3 export has no guaranteed header names; mapping by column index is robust.</w:t>
            </w:r>
          </w:p>
        </w:tc>
      </w:tr>
    </w:tbl>
    <w:p/>
    <w:p>
      <w:r>
        <w:br w:type="page"/>
      </w:r>
    </w:p>
    <w:p>
      <w:pPr>
        <w:spacing w:before="360" w:after="120"/>
        <w:pBdr>
          <w:bottom w:val="single" w:sz="6" w:space="1" w:color="003366"/>
        </w:pBdr>
      </w:pPr>
      <w:r>
        <w:rPr>
          <w:b/>
          <w:color w:val="003366"/>
          <w:sz w:val="32"/>
        </w:rPr>
        <w:t>4.  Frontend Architecture</w:t>
      </w:r>
    </w:p>
    <w:p>
      <w:pPr>
        <w:spacing w:before="240" w:after="80"/>
      </w:pPr>
      <w:r>
        <w:rPr>
          <w:b/>
          <w:color w:val="005A9C"/>
          <w:sz w:val="26"/>
        </w:rPr>
        <w:t>4.1  Technology Stack</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003366"/>
            <w:vAlign w:val="center"/>
          </w:tcPr>
          <w:p>
            <w:pPr>
              <w:jc w:val="center"/>
            </w:pPr>
            <w:r>
              <w:rPr>
                <w:b/>
                <w:color w:val="FFFFFF"/>
                <w:sz w:val="20"/>
              </w:rPr>
              <w:t>Package</w:t>
            </w:r>
          </w:p>
        </w:tc>
        <w:tc>
          <w:tcPr>
            <w:tcW w:type="dxa" w:w="1440"/>
            <w:shd w:val="clear" w:color="auto" w:fill="003366"/>
            <w:vAlign w:val="center"/>
          </w:tcPr>
          <w:p>
            <w:pPr>
              <w:jc w:val="center"/>
            </w:pPr>
            <w:r>
              <w:rPr>
                <w:b/>
                <w:color w:val="FFFFFF"/>
                <w:sz w:val="20"/>
              </w:rPr>
              <w:t>Version</w:t>
            </w:r>
          </w:p>
        </w:tc>
        <w:tc>
          <w:tcPr>
            <w:tcW w:type="dxa" w:w="5328"/>
            <w:shd w:val="clear" w:color="auto" w:fill="003366"/>
            <w:vAlign w:val="center"/>
          </w:tcPr>
          <w:p>
            <w:pPr>
              <w:jc w:val="center"/>
            </w:pPr>
            <w:r>
              <w:rPr>
                <w:b/>
                <w:color w:val="FFFFFF"/>
                <w:sz w:val="20"/>
              </w:rPr>
              <w:t>Role</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react</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18.3.1</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UI library — component rendering</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react-dom</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18.3.1</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DOM renderer</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typescript</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5.4.5</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Static typing across all source files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vite</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5.3.1</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Dev server (port 3000) + production bundler</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tailwindcss</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3.4.4</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Utility-first CSS, dark mode via class strategy</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recharts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2.12.7</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Charts: PieChart, BarChart, Treemap</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ag-grid-react</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31.3.2</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Detail table with search, column toggle, CSV export</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ag-grid-community</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31.3.2</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AG Grid core (community edition)</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axios</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1.7.2</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HTTP client for /api/upload calls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lucide-react</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0.395.0</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Icons: Database, Upload, Sun, Moon, GitCompare, Clock, Printer</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autoprefixer</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10.4.19</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PostCSS plugin for Tailwind</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@vitejs/plugin-react</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4.3.1</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Vite React/JSX transform plugin</w:t>
            </w:r>
          </w:p>
        </w:tc>
      </w:tr>
    </w:tbl>
    <w:p/>
    <w:p>
      <w:pPr>
        <w:spacing w:before="240" w:after="80"/>
      </w:pPr>
      <w:r>
        <w:rPr>
          <w:b/>
          <w:color w:val="005A9C"/>
          <w:sz w:val="26"/>
        </w:rPr>
        <w:t>4.2  Tab Navigation</w:t>
      </w:r>
    </w:p>
    <w:p>
      <w:pPr>
        <w:spacing w:after="80"/>
      </w:pPr>
      <w:r>
        <w:rPr>
          <w:color w:val="333333"/>
          <w:sz w:val="21"/>
        </w:rPr>
        <w:t>Navigation is managed entirely by a tab state variable in App.tsx — there is no URL router. Tab buttons are rendered in the sticky header bar once a file is loaded.</w:t>
      </w:r>
    </w:p>
    <w:tbl>
      <w:tblPr>
        <w:tblStyle w:val="TableGrid"/>
        <w:tblW w:type="auto" w:w="0"/>
        <w:jc w:val="left"/>
        <w:tblLook w:firstColumn="1" w:firstRow="1" w:lastColumn="0" w:lastRow="0" w:noHBand="0" w:noVBand="1" w:val="04A0"/>
      </w:tblPr>
      <w:tblGrid>
        <w:gridCol w:w="3022"/>
        <w:gridCol w:w="3022"/>
        <w:gridCol w:w="3022"/>
      </w:tblGrid>
      <w:tr>
        <w:tc>
          <w:tcPr>
            <w:tcW w:type="dxa" w:w="1728"/>
            <w:shd w:val="clear" w:color="auto" w:fill="003366"/>
            <w:vAlign w:val="center"/>
          </w:tcPr>
          <w:p>
            <w:pPr>
              <w:jc w:val="center"/>
            </w:pPr>
            <w:r>
              <w:rPr>
                <w:b/>
                <w:color w:val="FFFFFF"/>
                <w:sz w:val="20"/>
              </w:rPr>
              <w:t>Tab key</w:t>
            </w:r>
          </w:p>
        </w:tc>
        <w:tc>
          <w:tcPr>
            <w:tcW w:type="dxa" w:w="1728"/>
            <w:shd w:val="clear" w:color="auto" w:fill="003366"/>
            <w:vAlign w:val="center"/>
          </w:tcPr>
          <w:p>
            <w:pPr>
              <w:jc w:val="center"/>
            </w:pPr>
            <w:r>
              <w:rPr>
                <w:b/>
                <w:color w:val="FFFFFF"/>
                <w:sz w:val="20"/>
              </w:rPr>
              <w:t>Label</w:t>
            </w:r>
          </w:p>
        </w:tc>
        <w:tc>
          <w:tcPr>
            <w:tcW w:type="dxa" w:w="6192"/>
            <w:shd w:val="clear" w:color="auto" w:fill="003366"/>
            <w:vAlign w:val="center"/>
          </w:tcPr>
          <w:p>
            <w:pPr>
              <w:jc w:val="center"/>
            </w:pPr>
            <w:r>
              <w:rPr>
                <w:b/>
                <w:color w:val="FFFFFF"/>
                <w:sz w:val="20"/>
              </w:rPr>
              <w:t>Content</w:t>
            </w:r>
          </w:p>
        </w:tc>
      </w:tr>
      <w:tr>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overview</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Overview</w:t>
            </w:r>
          </w:p>
        </w:tc>
        <w:tc>
          <w:tcPr>
            <w:tcW w:type="dxa" w:w="61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SummaryCards + RateDonut + SectionChart + VolumeChart + FailChart</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treemap</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Treemap</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TreemapChart — Recharts Treemap colored by pass/warn/fail rate</w:t>
            </w:r>
          </w:p>
        </w:tc>
      </w:tr>
      <w:tr>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table</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Detail Table</w:t>
            </w:r>
          </w:p>
        </w:tc>
        <w:tc>
          <w:tcPr>
            <w:tcW w:type="dxa" w:w="61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LTVFTable — AG Grid with search, column visibility toggle, CSV export</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compare</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Compare</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ComparePanel — side-by-side two-file comparison with delta table</w:t>
            </w:r>
          </w:p>
        </w:tc>
      </w:tr>
    </w:tbl>
    <w:p/>
    <w:p>
      <w:pPr>
        <w:spacing w:before="240" w:after="80"/>
      </w:pPr>
      <w:r>
        <w:rPr>
          <w:b/>
          <w:color w:val="005A9C"/>
          <w:sz w:val="26"/>
        </w:rPr>
        <w:t>4.3  Component Catalogue</w:t>
      </w:r>
    </w:p>
    <w:tbl>
      <w:tblPr>
        <w:tblStyle w:val="TableGrid"/>
        <w:tblW w:type="auto" w:w="0"/>
        <w:jc w:val="left"/>
        <w:tblLook w:firstColumn="1" w:firstRow="1" w:lastColumn="0" w:lastRow="0" w:noHBand="0" w:noVBand="1" w:val="04A0"/>
      </w:tblPr>
      <w:tblGrid>
        <w:gridCol w:w="4533"/>
        <w:gridCol w:w="4533"/>
      </w:tblGrid>
      <w:tr>
        <w:tc>
          <w:tcPr>
            <w:tcW w:type="dxa" w:w="3024"/>
            <w:shd w:val="clear" w:color="auto" w:fill="003366"/>
            <w:vAlign w:val="center"/>
          </w:tcPr>
          <w:p>
            <w:pPr>
              <w:jc w:val="center"/>
            </w:pPr>
            <w:r>
              <w:rPr>
                <w:b/>
                <w:color w:val="FFFFFF"/>
                <w:sz w:val="20"/>
              </w:rPr>
              <w:t>Component file</w:t>
            </w:r>
          </w:p>
        </w:tc>
        <w:tc>
          <w:tcPr>
            <w:tcW w:type="dxa" w:w="6624"/>
            <w:shd w:val="clear" w:color="auto" w:fill="003366"/>
            <w:vAlign w:val="center"/>
          </w:tcPr>
          <w:p>
            <w:pPr>
              <w:jc w:val="center"/>
            </w:pPr>
            <w:r>
              <w:rPr>
                <w:b/>
                <w:color w:val="FFFFFF"/>
                <w:sz w:val="20"/>
              </w:rPr>
              <w:t>Purpose</w:t>
            </w:r>
          </w:p>
        </w:tc>
      </w:tr>
      <w:tr>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UploadZone.tsx</w:t>
            </w:r>
          </w:p>
        </w:tc>
        <w:tc>
          <w:tcPr>
            <w:tcW w:type="dxa" w:w="66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Landing screen — drag-and-drop or click-to-browse for .xlsx/.xls files</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SummaryCards.tsx</w:t>
            </w:r>
          </w:p>
        </w:tc>
        <w:tc>
          <w:tcPr>
            <w:tcW w:type="dxa" w:w="66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8 animated KPI cards: Overall Rate, Equal, Differences, Missing, Unexpected, Source Volume, Target Volume, Test Cases</w:t>
            </w:r>
          </w:p>
        </w:tc>
      </w:tr>
      <w:tr>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RateDonut.tsx</w:t>
            </w:r>
          </w:p>
        </w:tc>
        <w:tc>
          <w:tcPr>
            <w:tcW w:type="dxa" w:w="66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Recharts PieChart donut — pass/warn/fail test case counts with overall % in centre</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SectionChart.tsx</w:t>
            </w:r>
          </w:p>
        </w:tc>
        <w:tc>
          <w:tcPr>
            <w:tcW w:type="dxa" w:w="66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Horizontal Recharts BarChart — match rate per section; clickable to set section filter</w:t>
            </w:r>
          </w:p>
        </w:tc>
      </w:tr>
      <w:tr>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VolumeChart.tsx</w:t>
            </w:r>
          </w:p>
        </w:tc>
        <w:tc>
          <w:tcPr>
            <w:tcW w:type="dxa" w:w="66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Grouped bar chart — Equal / Diff / Missing / Unexpected record counts</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FailChart.tsx</w:t>
            </w:r>
          </w:p>
        </w:tc>
        <w:tc>
          <w:tcPr>
            <w:tcW w:type="dxa" w:w="66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Horizontal bar chart — 15 lowest-performing test cases</w:t>
            </w:r>
          </w:p>
        </w:tc>
      </w:tr>
      <w:tr>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LTVFTable.tsx</w:t>
            </w:r>
          </w:p>
        </w:tc>
        <w:tc>
          <w:tcPr>
            <w:tcW w:type="dxa" w:w="66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AG Grid table — hierarchical rows, quick-search, column visibility toggle, CSV export</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TreemapChart.tsx</w:t>
            </w:r>
          </w:p>
        </w:tc>
        <w:tc>
          <w:tcPr>
            <w:tcW w:type="dxa" w:w="66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Recharts Treemap with custom SVG content renderer, coloured by match rate</w:t>
            </w:r>
          </w:p>
        </w:tc>
      </w:tr>
      <w:tr>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ComparePanel.tsx</w:t>
            </w:r>
          </w:p>
        </w:tc>
        <w:tc>
          <w:tcPr>
            <w:tcW w:type="dxa" w:w="66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Two-file comparison: delta table + side-by-side donuts + side-by-side summary cards</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ThresholdPanel.tsx</w:t>
            </w:r>
          </w:p>
        </w:tc>
        <w:tc>
          <w:tcPr>
            <w:tcW w:type="dxa" w:w="66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Popover with range sliders to configure Pass (default 95%) and Warn (default 80%) cutoffs</w:t>
            </w:r>
          </w:p>
        </w:tc>
      </w:tr>
      <w:tr>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FilterChips.tsx</w:t>
            </w:r>
          </w:p>
        </w:tc>
        <w:tc>
          <w:tcPr>
            <w:tcW w:type="dxa" w:w="66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Section-level filter chips shown above all chart tabs — click to filter all charts</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UploadHistory.tsx</w:t>
            </w:r>
          </w:p>
        </w:tc>
        <w:tc>
          <w:tcPr>
            <w:tcW w:type="dxa" w:w="66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Dropdown panel listing up to 5 recent uploads from localStorage</w:t>
            </w:r>
          </w:p>
        </w:tc>
      </w:tr>
    </w:tbl>
    <w:p/>
    <w:p>
      <w:pPr>
        <w:spacing w:before="240" w:after="80"/>
      </w:pPr>
      <w:r>
        <w:rPr>
          <w:b/>
          <w:color w:val="005A9C"/>
          <w:sz w:val="26"/>
        </w:rPr>
        <w:t>4.4  Key Utilities &amp; Hooks</w:t>
      </w:r>
    </w:p>
    <w:tbl>
      <w:tblPr>
        <w:tblStyle w:val="TableGrid"/>
        <w:tblW w:type="auto" w:w="0"/>
        <w:jc w:val="left"/>
        <w:tblLook w:firstColumn="1" w:firstRow="1" w:lastColumn="0" w:lastRow="0" w:noHBand="0" w:noVBand="1" w:val="04A0"/>
      </w:tblPr>
      <w:tblGrid>
        <w:gridCol w:w="4533"/>
        <w:gridCol w:w="4533"/>
      </w:tblGrid>
      <w:tr>
        <w:tc>
          <w:tcPr>
            <w:tcW w:type="dxa" w:w="3024"/>
            <w:shd w:val="clear" w:color="auto" w:fill="003366"/>
            <w:vAlign w:val="center"/>
          </w:tcPr>
          <w:p>
            <w:pPr>
              <w:jc w:val="center"/>
            </w:pPr>
            <w:r>
              <w:rPr>
                <w:b/>
                <w:color w:val="FFFFFF"/>
                <w:sz w:val="20"/>
              </w:rPr>
              <w:t>File</w:t>
            </w:r>
          </w:p>
        </w:tc>
        <w:tc>
          <w:tcPr>
            <w:tcW w:type="dxa" w:w="6624"/>
            <w:shd w:val="clear" w:color="auto" w:fill="003366"/>
            <w:vAlign w:val="center"/>
          </w:tcPr>
          <w:p>
            <w:pPr>
              <w:jc w:val="center"/>
            </w:pPr>
            <w:r>
              <w:rPr>
                <w:b/>
                <w:color w:val="FFFFFF"/>
                <w:sz w:val="20"/>
              </w:rPr>
              <w:t>Purpose</w:t>
            </w:r>
          </w:p>
        </w:tc>
      </w:tr>
      <w:tr>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src/api/sapApi.ts</w:t>
            </w:r>
          </w:p>
        </w:tc>
        <w:tc>
          <w:tcPr>
            <w:tcW w:type="dxa" w:w="66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uploadLTVF(file: File): Promise&lt;LTVFParseResult&gt; — POSTs multipart form to /api/upload. In dev, Vite proxy rewrites /api to http://localhost:8000. In production reads VITE_API_URL env var.</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src/types/ltvf.ts</w:t>
            </w:r>
          </w:p>
        </w:tc>
        <w:tc>
          <w:tcPr>
            <w:tcW w:type="dxa" w:w="66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TypeScript interfaces LTVFRow, LTVFSummary, LTVFParseResult — mirror the backend Pydantic models exactly.</w:t>
            </w:r>
          </w:p>
        </w:tc>
      </w:tr>
      <w:tr>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src/utils/history.ts</w:t>
            </w:r>
          </w:p>
        </w:tc>
        <w:tc>
          <w:tcPr>
            <w:tcW w:type="dxa" w:w="66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localStorage-backed upload history (max 5). Functions: loadHistory(), saveToHistory(), deleteFromHistory(). Each entry stores: filename, timestamp, systemTag, full LTVFParseResult.</w:t>
            </w:r>
          </w:p>
        </w:tc>
      </w:tr>
      <w:tr>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src/hooks/useCountUp.ts</w:t>
            </w:r>
          </w:p>
        </w:tc>
        <w:tc>
          <w:tcPr>
            <w:tcW w:type="dxa" w:w="66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Custom hook for animated number count-up using requestAnimationFrame with ease-out cubic easing (900ms duration).</w:t>
            </w:r>
          </w:p>
        </w:tc>
      </w:tr>
    </w:tbl>
    <w:p/>
    <w:p>
      <w:pPr>
        <w:spacing w:before="240" w:after="80"/>
      </w:pPr>
      <w:r>
        <w:rPr>
          <w:b/>
          <w:color w:val="005A9C"/>
          <w:sz w:val="26"/>
        </w:rPr>
        <w:t>4.5  App-level State (App.tsx)</w:t>
      </w:r>
    </w:p>
    <w:tbl>
      <w:tblPr>
        <w:tblStyle w:val="TableGrid"/>
        <w:tblW w:type="auto" w:w="0"/>
        <w:jc w:val="left"/>
        <w:tblLook w:firstColumn="1" w:firstRow="1" w:lastColumn="0" w:lastRow="0" w:noHBand="0" w:noVBand="1" w:val="04A0"/>
      </w:tblPr>
      <w:tblGrid>
        <w:gridCol w:w="3022"/>
        <w:gridCol w:w="3022"/>
        <w:gridCol w:w="3022"/>
      </w:tblGrid>
      <w:tr>
        <w:tc>
          <w:tcPr>
            <w:tcW w:type="dxa" w:w="2736"/>
            <w:shd w:val="clear" w:color="auto" w:fill="003366"/>
            <w:vAlign w:val="center"/>
          </w:tcPr>
          <w:p>
            <w:pPr>
              <w:jc w:val="center"/>
            </w:pPr>
            <w:r>
              <w:rPr>
                <w:b/>
                <w:color w:val="FFFFFF"/>
                <w:sz w:val="20"/>
              </w:rPr>
              <w:t>State variable</w:t>
            </w:r>
          </w:p>
        </w:tc>
        <w:tc>
          <w:tcPr>
            <w:tcW w:type="dxa" w:w="3024"/>
            <w:shd w:val="clear" w:color="auto" w:fill="003366"/>
            <w:vAlign w:val="center"/>
          </w:tcPr>
          <w:p>
            <w:pPr>
              <w:jc w:val="center"/>
            </w:pPr>
            <w:r>
              <w:rPr>
                <w:b/>
                <w:color w:val="FFFFFF"/>
                <w:sz w:val="20"/>
              </w:rPr>
              <w:t>Type</w:t>
            </w:r>
          </w:p>
        </w:tc>
        <w:tc>
          <w:tcPr>
            <w:tcW w:type="dxa" w:w="3888"/>
            <w:shd w:val="clear" w:color="auto" w:fill="003366"/>
            <w:vAlign w:val="center"/>
          </w:tcPr>
          <w:p>
            <w:pPr>
              <w:jc w:val="center"/>
            </w:pPr>
            <w:r>
              <w:rPr>
                <w:b/>
                <w:color w:val="FFFFFF"/>
                <w:sz w:val="20"/>
              </w:rPr>
              <w:t>Purpose</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data</w:t>
            </w:r>
          </w:p>
        </w:tc>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LTVFParseResult | null</w:t>
            </w:r>
          </w:p>
        </w:tc>
        <w:tc>
          <w:tcPr>
            <w:tcW w:type="dxa" w:w="38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Current uploaded file parse result</w:t>
            </w:r>
          </w:p>
        </w:tc>
      </w:tr>
      <w:tr>
        <w:tc>
          <w:tcPr>
            <w:tcW w:type="dxa" w:w="273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compareData</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LTVFParseResult | null</w:t>
            </w:r>
          </w:p>
        </w:tc>
        <w:tc>
          <w:tcPr>
            <w:tcW w:type="dxa" w:w="38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Second file for Compare tab</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loading</w:t>
            </w:r>
          </w:p>
        </w:tc>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boolean</w:t>
            </w:r>
          </w:p>
        </w:tc>
        <w:tc>
          <w:tcPr>
            <w:tcW w:type="dxa" w:w="38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Primary upload in progress</w:t>
            </w:r>
          </w:p>
        </w:tc>
      </w:tr>
      <w:tr>
        <w:tc>
          <w:tcPr>
            <w:tcW w:type="dxa" w:w="273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compareLoading</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boolean</w:t>
            </w:r>
          </w:p>
        </w:tc>
        <w:tc>
          <w:tcPr>
            <w:tcW w:type="dxa" w:w="38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Compare upload in progress</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error</w:t>
            </w:r>
          </w:p>
        </w:tc>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string | null</w:t>
            </w:r>
          </w:p>
        </w:tc>
        <w:tc>
          <w:tcPr>
            <w:tcW w:type="dxa" w:w="38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Error banner message</w:t>
            </w:r>
          </w:p>
        </w:tc>
      </w:tr>
      <w:tr>
        <w:tc>
          <w:tcPr>
            <w:tcW w:type="dxa" w:w="273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tab</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Tab</w:t>
            </w:r>
          </w:p>
        </w:tc>
        <w:tc>
          <w:tcPr>
            <w:tcW w:type="dxa" w:w="38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Active tab: overview | table | treemap | compare</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selectedSection</w:t>
            </w:r>
          </w:p>
        </w:tc>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string | null</w:t>
            </w:r>
          </w:p>
        </w:tc>
        <w:tc>
          <w:tcPr>
            <w:tcW w:type="dxa" w:w="38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Active section filter — applied to all charts</w:t>
            </w:r>
          </w:p>
        </w:tc>
      </w:tr>
      <w:tr>
        <w:tc>
          <w:tcPr>
            <w:tcW w:type="dxa" w:w="273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thresholds</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 pass: 95, warn: 80 }</w:t>
            </w:r>
          </w:p>
        </w:tc>
        <w:tc>
          <w:tcPr>
            <w:tcW w:type="dxa" w:w="38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Pass/warn cutoff percentages</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systemTag</w:t>
            </w:r>
          </w:p>
        </w:tc>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string</w:t>
            </w:r>
          </w:p>
        </w:tc>
        <w:tc>
          <w:tcPr>
            <w:tcW w:type="dxa" w:w="38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Optional label (e.g. QSL, PRD) shown in header</w:t>
            </w:r>
          </w:p>
        </w:tc>
      </w:tr>
      <w:tr>
        <w:tc>
          <w:tcPr>
            <w:tcW w:type="dxa" w:w="273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history</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HistoryEntry[]</w:t>
            </w:r>
          </w:p>
        </w:tc>
        <w:tc>
          <w:tcPr>
            <w:tcW w:type="dxa" w:w="38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Up to 5 recent uploads from localStorage</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uploadedAt</w:t>
            </w:r>
          </w:p>
        </w:tc>
        <w:tc>
          <w:tcPr>
            <w:tcW w:type="dxa" w:w="302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Date | null</w:t>
            </w:r>
          </w:p>
        </w:tc>
        <w:tc>
          <w:tcPr>
            <w:tcW w:type="dxa" w:w="38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Timestamp of current upload shown in header</w:t>
            </w:r>
          </w:p>
        </w:tc>
      </w:tr>
      <w:tr>
        <w:tc>
          <w:tcPr>
            <w:tcW w:type="dxa" w:w="273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dark</w:t>
            </w:r>
          </w:p>
        </w:tc>
        <w:tc>
          <w:tcPr>
            <w:tcW w:type="dxa" w:w="302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boolean</w:t>
            </w:r>
          </w:p>
        </w:tc>
        <w:tc>
          <w:tcPr>
            <w:tcW w:type="dxa" w:w="38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Theme state — persisted in localStorage</w:t>
            </w:r>
          </w:p>
        </w:tc>
      </w:tr>
    </w:tbl>
    <w:p/>
    <w:p>
      <w:pPr>
        <w:spacing w:before="240" w:after="80"/>
      </w:pPr>
      <w:r>
        <w:rPr>
          <w:b/>
          <w:color w:val="005A9C"/>
          <w:sz w:val="26"/>
        </w:rPr>
        <w:t>4.6  Theme System</w:t>
      </w:r>
    </w:p>
    <w:p>
      <w:pPr>
        <w:spacing w:after="80"/>
      </w:pPr>
      <w:r>
        <w:rPr>
          <w:color w:val="333333"/>
          <w:sz w:val="21"/>
        </w:rPr>
        <w:t>Dark mode is implemented via Tailwind's 'class' strategy. The root &lt;div&gt; receives the class 'dark' when dark mode is active. The useTheme hook reads/writes 'ltvf-theme' in localStorage and falls back to window.matchMedia('(prefers-color-scheme: dark)') on first load. All components receive a 'dark: boolean' prop and apply conditional Tailwind classes accordingly.</w:t>
      </w:r>
    </w:p>
    <w:p>
      <w:pPr>
        <w:spacing w:before="240" w:after="80"/>
      </w:pPr>
      <w:r>
        <w:rPr>
          <w:b/>
          <w:color w:val="005A9C"/>
          <w:sz w:val="26"/>
        </w:rPr>
        <w:t>4.7  Print / PDF Export</w:t>
      </w:r>
    </w:p>
    <w:p>
      <w:pPr>
        <w:spacing w:after="80"/>
      </w:pPr>
      <w:r>
        <w:rPr>
          <w:color w:val="333333"/>
          <w:sz w:val="21"/>
        </w:rPr>
        <w:t>A Printer icon in the header calls window.print(). A 'no-print' CSS class is applied to the sticky header and error banner so they are excluded from the print layout, leaving only the dashboard content.</w:t>
      </w:r>
    </w:p>
    <w:p>
      <w:r>
        <w:br w:type="page"/>
      </w:r>
    </w:p>
    <w:p>
      <w:pPr>
        <w:spacing w:before="360" w:after="120"/>
        <w:pBdr>
          <w:bottom w:val="single" w:sz="6" w:space="1" w:color="003366"/>
        </w:pBdr>
      </w:pPr>
      <w:r>
        <w:rPr>
          <w:b/>
          <w:color w:val="003366"/>
          <w:sz w:val="32"/>
        </w:rPr>
        <w:t>5.  Backend Architecture</w:t>
      </w:r>
    </w:p>
    <w:p>
      <w:pPr>
        <w:spacing w:before="240" w:after="80"/>
      </w:pPr>
      <w:r>
        <w:rPr>
          <w:b/>
          <w:color w:val="005A9C"/>
          <w:sz w:val="26"/>
        </w:rPr>
        <w:t>5.1  Technology Stack</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003366"/>
            <w:vAlign w:val="center"/>
          </w:tcPr>
          <w:p>
            <w:pPr>
              <w:jc w:val="center"/>
            </w:pPr>
            <w:r>
              <w:rPr>
                <w:b/>
                <w:color w:val="FFFFFF"/>
                <w:sz w:val="20"/>
              </w:rPr>
              <w:t>Package</w:t>
            </w:r>
          </w:p>
        </w:tc>
        <w:tc>
          <w:tcPr>
            <w:tcW w:type="dxa" w:w="1440"/>
            <w:shd w:val="clear" w:color="auto" w:fill="003366"/>
            <w:vAlign w:val="center"/>
          </w:tcPr>
          <w:p>
            <w:pPr>
              <w:jc w:val="center"/>
            </w:pPr>
            <w:r>
              <w:rPr>
                <w:b/>
                <w:color w:val="FFFFFF"/>
                <w:sz w:val="20"/>
              </w:rPr>
              <w:t>Version</w:t>
            </w:r>
          </w:p>
        </w:tc>
        <w:tc>
          <w:tcPr>
            <w:tcW w:type="dxa" w:w="5328"/>
            <w:shd w:val="clear" w:color="auto" w:fill="003366"/>
            <w:vAlign w:val="center"/>
          </w:tcPr>
          <w:p>
            <w:pPr>
              <w:jc w:val="center"/>
            </w:pPr>
            <w:r>
              <w:rPr>
                <w:b/>
                <w:color w:val="FFFFFF"/>
                <w:sz w:val="20"/>
              </w:rPr>
              <w:t>Role</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fastapi</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0.111.0</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Web framework — routing, dependency injection, OpenAPI docs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uvicorn[standard]</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0.30.0</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ASGI server (production: guarded by Render.com proxy)</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pydantic</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2.7.1</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Data validation and serialisation for request/response models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pandas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2.2.2</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Excel file reading and dataframe manipulation</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openpyxl</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3.1.4</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pandas Excel engine for .xlsx files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python-multipart</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0.0.9</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Multipart form data support (required for UploadFile)</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python-dotenv</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1.0.1</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Loads .env file into os.environ at startup</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httpx</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0.27.0</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Async HTTP client (reserved for SAP OData client)</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requests</w:t>
            </w:r>
          </w:p>
        </w:tc>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2.32.3</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Sync HTTP client (legacy sap_client.py)</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zeep</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4.2.1</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SOAP client (legacy sap_client.py, not wired to main)</w:t>
            </w:r>
          </w:p>
        </w:tc>
      </w:tr>
    </w:tbl>
    <w:p/>
    <w:p>
      <w:pPr>
        <w:spacing w:before="240" w:after="80"/>
      </w:pPr>
      <w:r>
        <w:rPr>
          <w:b/>
          <w:color w:val="005A9C"/>
          <w:sz w:val="26"/>
        </w:rPr>
        <w:t>5.2  Application Entry Point (main.py)</w:t>
      </w:r>
    </w:p>
    <w:p>
      <w:pPr>
        <w:spacing w:after="80"/>
      </w:pPr>
      <w:r>
        <w:rPr>
          <w:color w:val="333333"/>
          <w:sz w:val="21"/>
        </w:rPr>
        <w:t>main.py creates the FastAPI application, configures CORS middleware, and declares two routes. It imports parse_excel and LTVFParseResult from excel_parser.py — these are the only runtime dependencies.</w:t>
      </w:r>
    </w:p>
    <w:p>
      <w:r>
        <w:rPr>
          <w:rFonts w:ascii="Courier New" w:hAnsi="Courier New"/>
          <w:color w:val="333333"/>
          <w:sz w:val="17"/>
        </w:rPr>
        <w:t># CORS configuration</w:t>
        <w:br/>
        <w:t>_origins_env = os.getenv('ALLOWED_ORIGINS', '*')</w:t>
        <w:br/>
        <w:t>_origins = [o.strip() for o in _origins_env.split(',')]</w:t>
        <w:br/>
        <w:t xml:space="preserve">  if _origins_env != '*' else ['*']</w:t>
        <w:br/>
        <w:br/>
        <w:t># Routes</w:t>
        <w:br/>
        <w:t>POST  /api/upload  — accepts UploadFile (.xlsx/.xls), calls parse_excel(), returns LTVFParseResult</w:t>
        <w:br/>
        <w:t>GET   /api/health  — returns {'status': 'ok', 'version': '2.0.0'}</w:t>
      </w:r>
    </w:p>
    <w:p/>
    <w:p>
      <w:pPr>
        <w:spacing w:before="240" w:after="80"/>
      </w:pPr>
      <w:r>
        <w:rPr>
          <w:b/>
          <w:color w:val="005A9C"/>
          <w:sz w:val="26"/>
        </w:rPr>
        <w:t>5.3  CORS Policy</w:t>
      </w:r>
    </w:p>
    <w:p>
      <w:pPr>
        <w:spacing w:after="80"/>
      </w:pPr>
      <w:r>
        <w:rPr>
          <w:color w:val="333333"/>
          <w:sz w:val="21"/>
        </w:rPr>
        <w:t>In local development ALLOWED_ORIGINS defaults to '*' (wildcard). In production on Render.com, set ALLOWED_ORIGINS to the Vercel frontend URL (e.g. https://ltvf-dashboard.vercel.app) to restrict API access to the known origin only.</w:t>
      </w:r>
    </w:p>
    <w:p>
      <w:pPr>
        <w:spacing w:before="240" w:after="80"/>
      </w:pPr>
      <w:r>
        <w:rPr>
          <w:b/>
          <w:color w:val="005A9C"/>
          <w:sz w:val="26"/>
        </w:rPr>
        <w:t>5.4  Error Handling</w:t>
      </w:r>
    </w:p>
    <w:p>
      <w:pPr>
        <w:spacing w:after="80"/>
      </w:pPr>
      <w:r>
        <w:rPr>
          <w:color w:val="333333"/>
          <w:sz w:val="21"/>
        </w:rPr>
        <w:t>The /api/upload endpoint has two explicit error paths:</w:t>
      </w:r>
    </w:p>
    <w:p>
      <w:pPr>
        <w:pStyle w:val="ListBullet"/>
        <w:spacing w:after="40"/>
        <w:ind w:left="454"/>
      </w:pPr>
      <w:r>
        <w:rPr>
          <w:color w:val="333333"/>
          <w:sz w:val="21"/>
        </w:rPr>
        <w:t>HTTP 400 — file extension is not .xlsx or .xls</w:t>
      </w:r>
    </w:p>
    <w:p>
      <w:pPr>
        <w:pStyle w:val="ListBullet"/>
        <w:spacing w:after="40"/>
        <w:ind w:left="454"/>
      </w:pPr>
      <w:r>
        <w:rPr>
          <w:color w:val="333333"/>
          <w:sz w:val="21"/>
        </w:rPr>
        <w:t>HTTP 422 — parse_excel() raises any exception; full traceback included in the detail field for debugging</w:t>
      </w:r>
    </w:p>
    <w:p>
      <w:pPr>
        <w:spacing w:before="240" w:after="80"/>
      </w:pPr>
      <w:r>
        <w:rPr>
          <w:b/>
          <w:color w:val="005A9C"/>
          <w:sz w:val="26"/>
        </w:rPr>
        <w:t>5.5  Legacy Modules (not wired to main.py)</w:t>
      </w:r>
    </w:p>
    <w:tbl>
      <w:tblPr>
        <w:tblStyle w:val="TableGrid"/>
        <w:tblW w:type="auto" w:w="0"/>
        <w:jc w:val="left"/>
        <w:tblLook w:firstColumn="1" w:firstRow="1" w:lastColumn="0" w:lastRow="0" w:noHBand="0" w:noVBand="1" w:val="04A0"/>
      </w:tblPr>
      <w:tblGrid>
        <w:gridCol w:w="3022"/>
        <w:gridCol w:w="3022"/>
        <w:gridCol w:w="3022"/>
      </w:tblGrid>
      <w:tr>
        <w:tc>
          <w:tcPr>
            <w:tcW w:type="dxa" w:w="2016"/>
            <w:shd w:val="clear" w:color="auto" w:fill="003366"/>
            <w:vAlign w:val="center"/>
          </w:tcPr>
          <w:p>
            <w:pPr>
              <w:jc w:val="center"/>
            </w:pPr>
            <w:r>
              <w:rPr>
                <w:b/>
                <w:color w:val="FFFFFF"/>
                <w:sz w:val="20"/>
              </w:rPr>
              <w:t>File</w:t>
            </w:r>
          </w:p>
        </w:tc>
        <w:tc>
          <w:tcPr>
            <w:tcW w:type="dxa" w:w="2304"/>
            <w:shd w:val="clear" w:color="auto" w:fill="003366"/>
            <w:vAlign w:val="center"/>
          </w:tcPr>
          <w:p>
            <w:pPr>
              <w:jc w:val="center"/>
            </w:pPr>
            <w:r>
              <w:rPr>
                <w:b/>
                <w:color w:val="FFFFFF"/>
                <w:sz w:val="20"/>
              </w:rPr>
              <w:t>Status</w:t>
            </w:r>
          </w:p>
        </w:tc>
        <w:tc>
          <w:tcPr>
            <w:tcW w:type="dxa" w:w="5328"/>
            <w:shd w:val="clear" w:color="auto" w:fill="003366"/>
            <w:vAlign w:val="center"/>
          </w:tcPr>
          <w:p>
            <w:pPr>
              <w:jc w:val="center"/>
            </w:pPr>
            <w:r>
              <w:rPr>
                <w:b/>
                <w:color w:val="FFFFFF"/>
                <w:sz w:val="20"/>
              </w:rPr>
              <w:t>Description</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sap_client.py</w:t>
            </w:r>
          </w:p>
        </w:tc>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Preserved, not used</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SAP OData client — calls /sap/opu/odata/sap/CNVLTVF3_SRV/LTVFResultSet with HTTP Basic Auth. Was the original data source before the Excel-upload model was adopted.</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models.py</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Preserved, not used</w:t>
            </w:r>
          </w:p>
        </w:tc>
        <w:tc>
          <w:tcPr>
            <w:tcW w:type="dxa" w:w="53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Older Pydantic models from the OData era (LTVFItem with gl_account, cost_center, delta fields).</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mock_data.py</w:t>
            </w:r>
          </w:p>
        </w:tc>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Preserved, not used</w:t>
            </w:r>
          </w:p>
        </w:tc>
        <w:tc>
          <w:tcPr>
            <w:tcW w:type="dxa" w:w="53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Static mock dataset with SAP GL accounts, cost centres, business partners — used during early development.</w:t>
            </w:r>
          </w:p>
        </w:tc>
      </w:tr>
    </w:tbl>
    <w:p/>
    <w:p>
      <w:r>
        <w:br w:type="page"/>
      </w:r>
    </w:p>
    <w:p>
      <w:pPr>
        <w:spacing w:before="360" w:after="120"/>
        <w:pBdr>
          <w:bottom w:val="single" w:sz="6" w:space="1" w:color="003366"/>
        </w:pBdr>
      </w:pPr>
      <w:r>
        <w:rPr>
          <w:b/>
          <w:color w:val="003366"/>
          <w:sz w:val="32"/>
        </w:rPr>
        <w:t>6.  Excel Parser — Core Logic</w:t>
      </w:r>
    </w:p>
    <w:p>
      <w:pPr>
        <w:spacing w:before="240" w:after="80"/>
      </w:pPr>
      <w:r>
        <w:rPr>
          <w:b/>
          <w:color w:val="005A9C"/>
          <w:sz w:val="26"/>
        </w:rPr>
        <w:t>6.1  Input Format</w:t>
      </w:r>
    </w:p>
    <w:p>
      <w:pPr>
        <w:spacing w:after="80"/>
      </w:pPr>
      <w:r>
        <w:rPr>
          <w:color w:val="333333"/>
          <w:sz w:val="21"/>
        </w:rPr>
        <w:t>The parser expects the Excel file produced by SAP transaction CNVLTVF3. The file has a fixed 20-column layout. Column names are not reliable — the parser maps by position:</w:t>
      </w:r>
    </w:p>
    <w:tbl>
      <w:tblPr>
        <w:tblStyle w:val="TableGrid"/>
        <w:tblW w:type="auto" w:w="0"/>
        <w:jc w:val="left"/>
        <w:tblLook w:firstColumn="1" w:firstRow="1" w:lastColumn="0" w:lastRow="0" w:noHBand="0" w:noVBand="1" w:val="04A0"/>
      </w:tblPr>
      <w:tblGrid>
        <w:gridCol w:w="3022"/>
        <w:gridCol w:w="3022"/>
        <w:gridCol w:w="3022"/>
      </w:tblGrid>
      <w:tr>
        <w:tc>
          <w:tcPr>
            <w:tcW w:type="dxa" w:w="864"/>
            <w:shd w:val="clear" w:color="auto" w:fill="003366"/>
            <w:vAlign w:val="center"/>
          </w:tcPr>
          <w:p>
            <w:pPr>
              <w:jc w:val="center"/>
            </w:pPr>
            <w:r>
              <w:rPr>
                <w:b/>
                <w:color w:val="FFFFFF"/>
                <w:sz w:val="20"/>
              </w:rPr>
              <w:t>Index</w:t>
            </w:r>
          </w:p>
        </w:tc>
        <w:tc>
          <w:tcPr>
            <w:tcW w:type="dxa" w:w="1872"/>
            <w:shd w:val="clear" w:color="auto" w:fill="003366"/>
            <w:vAlign w:val="center"/>
          </w:tcPr>
          <w:p>
            <w:pPr>
              <w:jc w:val="center"/>
            </w:pPr>
            <w:r>
              <w:rPr>
                <w:b/>
                <w:color w:val="FFFFFF"/>
                <w:sz w:val="20"/>
              </w:rPr>
              <w:t>Internal name</w:t>
            </w:r>
          </w:p>
        </w:tc>
        <w:tc>
          <w:tcPr>
            <w:tcW w:type="dxa" w:w="6912"/>
            <w:shd w:val="clear" w:color="auto" w:fill="003366"/>
            <w:vAlign w:val="center"/>
          </w:tcPr>
          <w:p>
            <w:pPr>
              <w:jc w:val="center"/>
            </w:pPr>
            <w:r>
              <w:rPr>
                <w:b/>
                <w:color w:val="FFFFFF"/>
                <w:sz w:val="20"/>
              </w:rPr>
              <w:t>Description</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0</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test_name</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Test case or group name. Groups start with '&gt;&gt;'</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1</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rate_pct</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Match rate percentage (0–100)</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2</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eval</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Evaluation flag (unused in current UI)</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3</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diff</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Count of differing records</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4</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accept</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Count of accepted differences</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5</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missing</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Records in source but not in target</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6</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unexpected</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Records in target but not in source</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7</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equal</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Records that match exactly</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8</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oos_src</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Out-of-scope — source</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9</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oos_trg</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Out-of-scope — target</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10</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_local_lbl</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Label column (skipped)</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11</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local</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Local record count</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12</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_src_lbl</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Label column (skipped)</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13</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 volume</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14</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_src1_lbl</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Label column (skipped)</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15</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source1</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Source1 volume</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16</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_src2_lbl</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Label column (skipped)</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17</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source2</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Source2 volume</w:t>
            </w:r>
          </w:p>
        </w:tc>
      </w:tr>
      <w:tr>
        <w:tc>
          <w:tcPr>
            <w:tcW w:type="dxa" w:w="86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18</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_tgt_lbl</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Label column (skipped)</w:t>
            </w:r>
          </w:p>
        </w:tc>
      </w:tr>
      <w:tr>
        <w:tc>
          <w:tcPr>
            <w:tcW w:type="dxa" w:w="86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19</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target</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Target volume</w:t>
            </w:r>
          </w:p>
        </w:tc>
      </w:tr>
    </w:tbl>
    <w:p/>
    <w:p>
      <w:pPr>
        <w:spacing w:before="240" w:after="80"/>
      </w:pPr>
      <w:r>
        <w:rPr>
          <w:b/>
          <w:color w:val="005A9C"/>
          <w:sz w:val="26"/>
        </w:rPr>
        <w:t>6.2  Parsing Algorithm</w:t>
      </w:r>
    </w:p>
    <w:p>
      <w:pPr>
        <w:spacing w:after="80"/>
      </w:pPr>
      <w:r>
        <w:rPr>
          <w:color w:val="333333"/>
          <w:sz w:val="21"/>
        </w:rPr>
        <w:t>The parse_excel() function follows these steps in order:</w:t>
      </w:r>
    </w:p>
    <w:p>
      <w:pPr>
        <w:pStyle w:val="ListBullet"/>
        <w:spacing w:after="40"/>
        <w:ind w:left="454"/>
      </w:pPr>
      <w:r>
        <w:rPr>
          <w:color w:val="333333"/>
          <w:sz w:val="21"/>
        </w:rPr>
        <w:t>1.  Read file bytes into a pandas DataFrame using header=0 (first row as header).</w:t>
      </w:r>
    </w:p>
    <w:p>
      <w:pPr>
        <w:pStyle w:val="ListBullet"/>
        <w:spacing w:after="40"/>
        <w:ind w:left="454"/>
      </w:pPr>
      <w:r>
        <w:rPr>
          <w:color w:val="333333"/>
          <w:sz w:val="21"/>
        </w:rPr>
        <w:t>2.  Rename columns by position using the 20-element _col_names list. Columns beyond index 19 are ignored.</w:t>
      </w:r>
    </w:p>
    <w:p>
      <w:pPr>
        <w:pStyle w:val="ListBullet"/>
        <w:spacing w:after="40"/>
        <w:ind w:left="454"/>
      </w:pPr>
      <w:r>
        <w:rPr>
          <w:color w:val="333333"/>
          <w:sz w:val="21"/>
        </w:rPr>
        <w:t>3.  Ensure all expected numeric columns exist; fill missing ones with None.</w:t>
      </w:r>
    </w:p>
    <w:p>
      <w:pPr>
        <w:pStyle w:val="ListBullet"/>
        <w:spacing w:after="40"/>
        <w:ind w:left="454"/>
      </w:pPr>
      <w:r>
        <w:rPr>
          <w:color w:val="333333"/>
          <w:sz w:val="21"/>
        </w:rPr>
        <w:t>4.  Extract row 0 as the grand-total summary row (overall rate, totals for equal/diff/missing/unexpected/source/target). Drop row 0 from the DataFrame.</w:t>
      </w:r>
    </w:p>
    <w:p>
      <w:pPr>
        <w:pStyle w:val="ListBullet"/>
        <w:spacing w:after="40"/>
        <w:ind w:left="454"/>
      </w:pPr>
      <w:r>
        <w:rPr>
          <w:color w:val="333333"/>
          <w:sz w:val="21"/>
        </w:rPr>
        <w:t>5.  Drop any rows where test_name is NaN.</w:t>
      </w:r>
    </w:p>
    <w:p>
      <w:pPr>
        <w:pStyle w:val="ListBullet"/>
        <w:spacing w:after="40"/>
        <w:ind w:left="454"/>
      </w:pPr>
      <w:r>
        <w:rPr>
          <w:color w:val="333333"/>
          <w:sz w:val="21"/>
        </w:rPr>
        <w:t>6.  Iterate remaining rows. For each row:</w:t>
      </w:r>
    </w:p>
    <w:p>
      <w:pPr>
        <w:pStyle w:val="ListBullet"/>
        <w:spacing w:after="40"/>
        <w:ind w:left="794"/>
      </w:pPr>
      <w:r>
        <w:rPr>
          <w:color w:val="333333"/>
          <w:sz w:val="21"/>
        </w:rPr>
        <w:t>a.  If test_name starts with '&gt;&gt;' → it is a group/hierarchy row.</w:t>
      </w:r>
    </w:p>
    <w:p>
      <w:pPr>
        <w:pStyle w:val="ListBullet"/>
        <w:spacing w:after="40"/>
        <w:ind w:left="794"/>
      </w:pPr>
      <w:r>
        <w:rPr>
          <w:color w:val="333333"/>
          <w:sz w:val="21"/>
        </w:rPr>
        <w:t>Parse path segments by splitting on '&gt;': e.g. '&gt;&gt; 02. Test Cases &gt; 1 MASTER DATA &gt; 1.2 FI-GL &gt;'</w:t>
      </w:r>
    </w:p>
    <w:p>
      <w:pPr>
        <w:pStyle w:val="ListBullet"/>
        <w:spacing w:after="40"/>
        <w:ind w:left="794"/>
      </w:pPr>
      <w:r>
        <w:rPr>
          <w:color w:val="333333"/>
          <w:sz w:val="21"/>
        </w:rPr>
        <w:t>Trim the path_stack to match the depth of the new group.</w:t>
      </w:r>
    </w:p>
    <w:p>
      <w:pPr>
        <w:pStyle w:val="ListBullet"/>
        <w:spacing w:after="40"/>
        <w:ind w:left="794"/>
      </w:pPr>
      <w:r>
        <w:rPr>
          <w:color w:val="333333"/>
          <w:sz w:val="21"/>
        </w:rPr>
        <w:t>Assign parent_id from top of path_stack. level = len(path_parts) - 1.</w:t>
      </w:r>
    </w:p>
    <w:p>
      <w:pPr>
        <w:pStyle w:val="ListBullet"/>
        <w:spacing w:after="40"/>
        <w:ind w:left="794"/>
      </w:pPr>
      <w:r>
        <w:rPr>
          <w:color w:val="333333"/>
          <w:sz w:val="21"/>
        </w:rPr>
        <w:t>Push this group onto path_stack.</w:t>
      </w:r>
    </w:p>
    <w:p>
      <w:pPr>
        <w:pStyle w:val="ListBullet"/>
        <w:spacing w:after="40"/>
        <w:ind w:left="794"/>
      </w:pPr>
      <w:r>
        <w:rPr>
          <w:color w:val="333333"/>
          <w:sz w:val="21"/>
        </w:rPr>
        <w:t>Collect top-level path segments into the sections list.</w:t>
      </w:r>
    </w:p>
    <w:p>
      <w:pPr>
        <w:pStyle w:val="ListBullet"/>
        <w:spacing w:after="40"/>
        <w:ind w:left="794"/>
      </w:pPr>
      <w:r>
        <w:rPr>
          <w:color w:val="333333"/>
          <w:sz w:val="21"/>
        </w:rPr>
        <w:t>b.  If not a group → leaf test case row.</w:t>
      </w:r>
    </w:p>
    <w:p>
      <w:pPr>
        <w:pStyle w:val="ListBullet"/>
        <w:spacing w:after="40"/>
        <w:ind w:left="794"/>
      </w:pPr>
      <w:r>
        <w:rPr>
          <w:color w:val="333333"/>
          <w:sz w:val="21"/>
        </w:rPr>
        <w:t>parent_id from top of path_stack. level = len(path_stack).</w:t>
      </w:r>
    </w:p>
    <w:p>
      <w:pPr>
        <w:pStyle w:val="ListBullet"/>
        <w:spacing w:after="40"/>
        <w:ind w:left="794"/>
      </w:pPr>
      <w:r>
        <w:rPr>
          <w:color w:val="333333"/>
          <w:sz w:val="21"/>
        </w:rPr>
        <w:t>Classify: rate &gt;= 95 → pass, &gt;= 80 → warn, else fail.</w:t>
      </w:r>
    </w:p>
    <w:p>
      <w:pPr>
        <w:pStyle w:val="ListBullet"/>
        <w:spacing w:after="40"/>
        <w:ind w:left="454"/>
      </w:pPr>
      <w:r>
        <w:rPr>
          <w:color w:val="333333"/>
          <w:sz w:val="21"/>
        </w:rPr>
        <w:t>7.  Return LTVFParseResult with summary + flat rows list + sections list.</w:t>
      </w:r>
    </w:p>
    <w:p>
      <w:pPr>
        <w:spacing w:before="240" w:after="80"/>
      </w:pPr>
      <w:r>
        <w:rPr>
          <w:b/>
          <w:color w:val="005A9C"/>
          <w:sz w:val="26"/>
        </w:rPr>
        <w:t>6.3  Hierarchy Example</w:t>
      </w:r>
    </w:p>
    <w:p>
      <w:r>
        <w:rPr>
          <w:rFonts w:ascii="Courier New" w:hAnsi="Courier New"/>
          <w:color w:val="333333"/>
          <w:sz w:val="17"/>
        </w:rPr>
        <w:t>Excel rows (raw test_name column):</w:t>
        <w:br/>
        <w:br/>
        <w:t>&gt;&gt; 02. Test Cases &gt; 1 MASTER DATA &gt;            ← group, level 0, id=row_1, parent=None</w:t>
        <w:br/>
        <w:t>&gt;&gt; 02. Test Cases &gt; 1 MASTER DATA &gt; 1.1 FI-GL &gt; ← group, level 1, id=row_2, parent=row_1</w:t>
        <w:br/>
        <w:t>GL Account 100000                               ← leaf,  level 2, id=row_3, parent=row_2</w:t>
        <w:br/>
        <w:t>GL Account 100010                               ← leaf,  level 2, id=row_4, parent=row_2</w:t>
        <w:br/>
        <w:t>&gt;&gt; 02. Test Cases &gt; 1 MASTER DATA &gt; 1.2 CO &gt;   ← group, level 1, id=row_5, parent=row_1</w:t>
        <w:br/>
        <w:t>Cost Centre 1000                                ← leaf,  level 2, id=row_6, parent=row_5</w:t>
      </w:r>
    </w:p>
    <w:p/>
    <w:p>
      <w:r>
        <w:br w:type="page"/>
      </w:r>
    </w:p>
    <w:p>
      <w:pPr>
        <w:spacing w:before="360" w:after="120"/>
        <w:pBdr>
          <w:bottom w:val="single" w:sz="6" w:space="1" w:color="003366"/>
        </w:pBdr>
      </w:pPr>
      <w:r>
        <w:rPr>
          <w:b/>
          <w:color w:val="003366"/>
          <w:sz w:val="32"/>
        </w:rPr>
        <w:t>7.  Data Models</w:t>
      </w:r>
    </w:p>
    <w:p>
      <w:pPr>
        <w:spacing w:before="240" w:after="80"/>
      </w:pPr>
      <w:r>
        <w:rPr>
          <w:b/>
          <w:color w:val="005A9C"/>
          <w:sz w:val="26"/>
        </w:rPr>
        <w:t>7.1  LTVFRow</w:t>
      </w:r>
    </w:p>
    <w:p>
      <w:pPr>
        <w:spacing w:after="80"/>
      </w:pPr>
      <w:r>
        <w:rPr>
          <w:color w:val="333333"/>
          <w:sz w:val="21"/>
        </w:rPr>
        <w:t>Represents a single row from the parsed Excel file — either a group header or a leaf test case.</w:t>
      </w:r>
    </w:p>
    <w:tbl>
      <w:tblPr>
        <w:tblStyle w:val="TableGrid"/>
        <w:tblW w:type="auto" w:w="0"/>
        <w:jc w:val="left"/>
        <w:tblLook w:firstColumn="1" w:firstRow="1" w:lastColumn="0" w:lastRow="0" w:noHBand="0" w:noVBand="1" w:val="04A0"/>
      </w:tblPr>
      <w:tblGrid>
        <w:gridCol w:w="3022"/>
        <w:gridCol w:w="3022"/>
        <w:gridCol w:w="3022"/>
      </w:tblGrid>
      <w:tr>
        <w:tc>
          <w:tcPr>
            <w:tcW w:type="dxa" w:w="2016"/>
            <w:shd w:val="clear" w:color="auto" w:fill="003366"/>
            <w:vAlign w:val="center"/>
          </w:tcPr>
          <w:p>
            <w:pPr>
              <w:jc w:val="center"/>
            </w:pPr>
            <w:r>
              <w:rPr>
                <w:b/>
                <w:color w:val="FFFFFF"/>
                <w:sz w:val="20"/>
              </w:rPr>
              <w:t>Field</w:t>
            </w:r>
          </w:p>
        </w:tc>
        <w:tc>
          <w:tcPr>
            <w:tcW w:type="dxa" w:w="1728"/>
            <w:shd w:val="clear" w:color="auto" w:fill="003366"/>
            <w:vAlign w:val="center"/>
          </w:tcPr>
          <w:p>
            <w:pPr>
              <w:jc w:val="center"/>
            </w:pPr>
            <w:r>
              <w:rPr>
                <w:b/>
                <w:color w:val="FFFFFF"/>
                <w:sz w:val="20"/>
              </w:rPr>
              <w:t>Type</w:t>
            </w:r>
          </w:p>
        </w:tc>
        <w:tc>
          <w:tcPr>
            <w:tcW w:type="dxa" w:w="5904"/>
            <w:shd w:val="clear" w:color="auto" w:fill="003366"/>
            <w:vAlign w:val="center"/>
          </w:tcPr>
          <w:p>
            <w:pPr>
              <w:jc w:val="center"/>
            </w:pPr>
            <w:r>
              <w:rPr>
                <w:b/>
                <w:color w:val="FFFFFF"/>
                <w:sz w:val="20"/>
              </w:rPr>
              <w:t>Description</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id</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str</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Unique row identifier (e.g. 'row_42')</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parent_id</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str | None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ID of the parent group row; None for top-level groups</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level</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Depth in the hierarchy (0 = top-level group)</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test_name</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str</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Display name of the test case or group</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full_path</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str</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Full '&gt;' separated path (e.g. '02. Test Cases &gt; 1 MASTER DATA &gt; GL Account 100000')</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is_group</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bool</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True for group/hierarchy rows (&gt;&gt; prefix); False for leaf test cases</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rate_pct</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float | None</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Match rate percentage</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diff</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Count of differing records</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accept</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Count of accepted differences</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missing</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Records in source but not in target</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unexpected</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Records in target but not in source</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equal</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Records matching exactly</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oos_src</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Out-of-scope source records</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oos_trg</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Out-of-scope target records</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local</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Local record count</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 volume</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source1</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Source1 volume</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source2</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Source2 volume</w:t>
            </w:r>
          </w:p>
        </w:tc>
      </w:tr>
      <w:tr>
        <w:tc>
          <w:tcPr>
            <w:tcW w:type="dxa" w:w="20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target</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 | None</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Target volume</w:t>
            </w:r>
          </w:p>
        </w:tc>
      </w:tr>
    </w:tbl>
    <w:p/>
    <w:p>
      <w:pPr>
        <w:spacing w:before="240" w:after="80"/>
      </w:pPr>
      <w:r>
        <w:rPr>
          <w:b/>
          <w:color w:val="005A9C"/>
          <w:sz w:val="26"/>
        </w:rPr>
        <w:t>7.2  LTVFSummary</w:t>
      </w:r>
    </w:p>
    <w:p>
      <w:pPr>
        <w:spacing w:after="80"/>
      </w:pPr>
      <w:r>
        <w:rPr>
          <w:color w:val="333333"/>
          <w:sz w:val="21"/>
        </w:rPr>
        <w:t>Grand-total row extracted from the first row of the Excel file.</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003366"/>
            <w:vAlign w:val="center"/>
          </w:tcPr>
          <w:p>
            <w:pPr>
              <w:jc w:val="center"/>
            </w:pPr>
            <w:r>
              <w:rPr>
                <w:b/>
                <w:color w:val="FFFFFF"/>
                <w:sz w:val="20"/>
              </w:rPr>
              <w:t>Field</w:t>
            </w:r>
          </w:p>
        </w:tc>
        <w:tc>
          <w:tcPr>
            <w:tcW w:type="dxa" w:w="1152"/>
            <w:shd w:val="clear" w:color="auto" w:fill="003366"/>
            <w:vAlign w:val="center"/>
          </w:tcPr>
          <w:p>
            <w:pPr>
              <w:jc w:val="center"/>
            </w:pPr>
            <w:r>
              <w:rPr>
                <w:b/>
                <w:color w:val="FFFFFF"/>
                <w:sz w:val="20"/>
              </w:rPr>
              <w:t>Type</w:t>
            </w:r>
          </w:p>
        </w:tc>
        <w:tc>
          <w:tcPr>
            <w:tcW w:type="dxa" w:w="5904"/>
            <w:shd w:val="clear" w:color="auto" w:fill="003366"/>
            <w:vAlign w:val="center"/>
          </w:tcPr>
          <w:p>
            <w:pPr>
              <w:jc w:val="center"/>
            </w:pPr>
            <w:r>
              <w:rPr>
                <w:b/>
                <w:color w:val="FFFFFF"/>
                <w:sz w:val="20"/>
              </w:rPr>
              <w:t>Description</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overall_rate</w:t>
            </w:r>
          </w:p>
        </w:tc>
        <w:tc>
          <w:tcPr>
            <w:tcW w:type="dxa" w:w="115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float</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Overall match rate from grand-total row</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total_equal</w:t>
            </w:r>
          </w:p>
        </w:tc>
        <w:tc>
          <w:tcPr>
            <w:tcW w:type="dxa" w:w="115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Total equal records across all test cases</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total_diff</w:t>
            </w:r>
          </w:p>
        </w:tc>
        <w:tc>
          <w:tcPr>
            <w:tcW w:type="dxa" w:w="115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Total differing records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total_missing</w:t>
            </w:r>
          </w:p>
        </w:tc>
        <w:tc>
          <w:tcPr>
            <w:tcW w:type="dxa" w:w="115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Total missing records</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total_unexpected</w:t>
            </w:r>
          </w:p>
        </w:tc>
        <w:tc>
          <w:tcPr>
            <w:tcW w:type="dxa" w:w="115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Total unexpected records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total_source</w:t>
            </w:r>
          </w:p>
        </w:tc>
        <w:tc>
          <w:tcPr>
            <w:tcW w:type="dxa" w:w="115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Total source volume</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total_target</w:t>
            </w:r>
          </w:p>
        </w:tc>
        <w:tc>
          <w:tcPr>
            <w:tcW w:type="dxa" w:w="115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Total target volume</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total_rows</w:t>
            </w:r>
          </w:p>
        </w:tc>
        <w:tc>
          <w:tcPr>
            <w:tcW w:type="dxa" w:w="115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Count of leaf test cases (pass + warn + fail)</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pass_count</w:t>
            </w:r>
          </w:p>
        </w:tc>
        <w:tc>
          <w:tcPr>
            <w:tcW w:type="dxa" w:w="115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Test cases with rate &gt;= 95%</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warn_count</w:t>
            </w:r>
          </w:p>
        </w:tc>
        <w:tc>
          <w:tcPr>
            <w:tcW w:type="dxa" w:w="115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Test cases with 80% &lt;= rate &lt; 95%</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fail_count</w:t>
            </w:r>
          </w:p>
        </w:tc>
        <w:tc>
          <w:tcPr>
            <w:tcW w:type="dxa" w:w="115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int</w:t>
            </w:r>
          </w:p>
        </w:tc>
        <w:tc>
          <w:tcPr>
            <w:tcW w:type="dxa" w:w="59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Test cases with rate &lt; 80%</w:t>
            </w:r>
          </w:p>
        </w:tc>
      </w:tr>
    </w:tbl>
    <w:p/>
    <w:p>
      <w:pPr>
        <w:spacing w:before="240" w:after="80"/>
      </w:pPr>
      <w:r>
        <w:rPr>
          <w:b/>
          <w:color w:val="005A9C"/>
          <w:sz w:val="26"/>
        </w:rPr>
        <w:t>7.3  LTVFParseResult  (API response root)</w:t>
      </w:r>
    </w:p>
    <w:tbl>
      <w:tblPr>
        <w:tblStyle w:val="TableGrid"/>
        <w:tblW w:type="auto" w:w="0"/>
        <w:jc w:val="left"/>
        <w:tblLook w:firstColumn="1" w:firstRow="1" w:lastColumn="0" w:lastRow="0" w:noHBand="0" w:noVBand="1" w:val="04A0"/>
      </w:tblPr>
      <w:tblGrid>
        <w:gridCol w:w="3022"/>
        <w:gridCol w:w="3022"/>
        <w:gridCol w:w="3022"/>
      </w:tblGrid>
      <w:tr>
        <w:tc>
          <w:tcPr>
            <w:tcW w:type="dxa" w:w="1728"/>
            <w:shd w:val="clear" w:color="auto" w:fill="003366"/>
            <w:vAlign w:val="center"/>
          </w:tcPr>
          <w:p>
            <w:pPr>
              <w:jc w:val="center"/>
            </w:pPr>
            <w:r>
              <w:rPr>
                <w:b/>
                <w:color w:val="FFFFFF"/>
                <w:sz w:val="20"/>
              </w:rPr>
              <w:t>Field</w:t>
            </w:r>
          </w:p>
        </w:tc>
        <w:tc>
          <w:tcPr>
            <w:tcW w:type="dxa" w:w="2304"/>
            <w:shd w:val="clear" w:color="auto" w:fill="003366"/>
            <w:vAlign w:val="center"/>
          </w:tcPr>
          <w:p>
            <w:pPr>
              <w:jc w:val="center"/>
            </w:pPr>
            <w:r>
              <w:rPr>
                <w:b/>
                <w:color w:val="FFFFFF"/>
                <w:sz w:val="20"/>
              </w:rPr>
              <w:t>Type</w:t>
            </w:r>
          </w:p>
        </w:tc>
        <w:tc>
          <w:tcPr>
            <w:tcW w:type="dxa" w:w="5616"/>
            <w:shd w:val="clear" w:color="auto" w:fill="003366"/>
            <w:vAlign w:val="center"/>
          </w:tcPr>
          <w:p>
            <w:pPr>
              <w:jc w:val="center"/>
            </w:pPr>
            <w:r>
              <w:rPr>
                <w:b/>
                <w:color w:val="FFFFFF"/>
                <w:sz w:val="20"/>
              </w:rPr>
              <w:t>Description</w:t>
            </w:r>
          </w:p>
        </w:tc>
      </w:tr>
      <w:tr>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filename</w:t>
            </w:r>
          </w:p>
        </w:tc>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str</w:t>
            </w:r>
          </w:p>
        </w:tc>
        <w:tc>
          <w:tcPr>
            <w:tcW w:type="dxa" w:w="56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Original uploaded filename</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summary</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LTVFSummary</w:t>
            </w:r>
          </w:p>
        </w:tc>
        <w:tc>
          <w:tcPr>
            <w:tcW w:type="dxa" w:w="56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Grand-total summary object</w:t>
            </w:r>
          </w:p>
        </w:tc>
      </w:tr>
      <w:tr>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rows</w:t>
            </w:r>
          </w:p>
        </w:tc>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list[LTVFRow]</w:t>
            </w:r>
          </w:p>
        </w:tc>
        <w:tc>
          <w:tcPr>
            <w:tcW w:type="dxa" w:w="561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Flat list of all rows in document order (groups + leaves)</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sections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list[str]</w:t>
            </w:r>
          </w:p>
        </w:tc>
        <w:tc>
          <w:tcPr>
            <w:tcW w:type="dxa" w:w="561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Ordered list of unique top-level path segments for filter chips</w:t>
            </w:r>
          </w:p>
        </w:tc>
      </w:tr>
    </w:tbl>
    <w:p/>
    <w:p>
      <w:r>
        <w:br w:type="page"/>
      </w:r>
    </w:p>
    <w:p>
      <w:pPr>
        <w:spacing w:before="360" w:after="120"/>
        <w:pBdr>
          <w:bottom w:val="single" w:sz="6" w:space="1" w:color="003366"/>
        </w:pBdr>
      </w:pPr>
      <w:r>
        <w:rPr>
          <w:b/>
          <w:color w:val="003366"/>
          <w:sz w:val="32"/>
        </w:rPr>
        <w:t>8.  API Reference</w:t>
      </w:r>
    </w:p>
    <w:p>
      <w:pPr>
        <w:spacing w:before="240" w:after="80"/>
      </w:pPr>
      <w:r>
        <w:rPr>
          <w:b/>
          <w:color w:val="005A9C"/>
          <w:sz w:val="26"/>
        </w:rPr>
        <w:t>8.1  POST /api/upload</w:t>
      </w:r>
    </w:p>
    <w:p>
      <w:pPr>
        <w:spacing w:after="80"/>
      </w:pPr>
      <w:r>
        <w:rPr>
          <w:color w:val="333333"/>
          <w:sz w:val="21"/>
        </w:rPr>
        <w:t>Accepts a multipart file upload, parses the Excel file, and returns the structured result.</w:t>
      </w:r>
    </w:p>
    <w:tbl>
      <w:tblPr>
        <w:tblStyle w:val="TableGrid"/>
        <w:tblW w:type="auto" w:w="0"/>
        <w:jc w:val="left"/>
        <w:tblLook w:firstColumn="1" w:firstRow="1" w:lastColumn="0" w:lastRow="0" w:noHBand="0" w:noVBand="1" w:val="04A0"/>
      </w:tblPr>
      <w:tblGrid>
        <w:gridCol w:w="4533"/>
        <w:gridCol w:w="4533"/>
      </w:tblGrid>
      <w:tr>
        <w:tc>
          <w:tcPr>
            <w:tcW w:type="dxa" w:w="2592"/>
            <w:shd w:val="clear" w:color="auto" w:fill="003366"/>
            <w:vAlign w:val="center"/>
          </w:tcPr>
          <w:p>
            <w:pPr>
              <w:jc w:val="center"/>
            </w:pPr>
            <w:r>
              <w:rPr>
                <w:b/>
                <w:color w:val="FFFFFF"/>
                <w:sz w:val="20"/>
              </w:rPr>
              <w:t>Property</w:t>
            </w:r>
          </w:p>
        </w:tc>
        <w:tc>
          <w:tcPr>
            <w:tcW w:type="dxa" w:w="7056"/>
            <w:shd w:val="clear" w:color="auto" w:fill="003366"/>
            <w:vAlign w:val="center"/>
          </w:tcPr>
          <w:p>
            <w:pPr>
              <w:jc w:val="center"/>
            </w:pPr>
            <w:r>
              <w:rPr>
                <w:b/>
                <w:color w:val="FFFFFF"/>
                <w:sz w:val="20"/>
              </w:rPr>
              <w:t>Value</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URL</w:t>
            </w:r>
          </w:p>
        </w:tc>
        <w:tc>
          <w:tcPr>
            <w:tcW w:type="dxa" w:w="705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/api/upload</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Method</w:t>
            </w:r>
          </w:p>
        </w:tc>
        <w:tc>
          <w:tcPr>
            <w:tcW w:type="dxa" w:w="705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POST</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Content-Type</w:t>
            </w:r>
          </w:p>
        </w:tc>
        <w:tc>
          <w:tcPr>
            <w:tcW w:type="dxa" w:w="705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multipart/form-data</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Field name</w:t>
            </w:r>
          </w:p>
        </w:tc>
        <w:tc>
          <w:tcPr>
            <w:tcW w:type="dxa" w:w="705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file</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Accepted types</w:t>
            </w:r>
          </w:p>
        </w:tc>
        <w:tc>
          <w:tcPr>
            <w:tcW w:type="dxa" w:w="705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.xlsx, .xls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Response</w:t>
            </w:r>
          </w:p>
        </w:tc>
        <w:tc>
          <w:tcPr>
            <w:tcW w:type="dxa" w:w="705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200 OK — LTVFParseResult JSON</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Error 400</w:t>
            </w:r>
          </w:p>
        </w:tc>
        <w:tc>
          <w:tcPr>
            <w:tcW w:type="dxa" w:w="705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File extension not .xlsx or .xls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Error 422</w:t>
            </w:r>
          </w:p>
        </w:tc>
        <w:tc>
          <w:tcPr>
            <w:tcW w:type="dxa" w:w="705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Excel parsing failed — detail includes traceback</w:t>
            </w:r>
          </w:p>
        </w:tc>
      </w:tr>
    </w:tbl>
    <w:p/>
    <w:p>
      <w:pPr>
        <w:spacing w:before="240" w:after="80"/>
      </w:pPr>
      <w:r>
        <w:rPr>
          <w:b/>
          <w:color w:val="005A9C"/>
          <w:sz w:val="26"/>
        </w:rPr>
        <w:t>8.2  GET /api/health</w:t>
      </w:r>
    </w:p>
    <w:p>
      <w:pPr>
        <w:spacing w:after="80"/>
      </w:pPr>
      <w:r>
        <w:rPr>
          <w:color w:val="333333"/>
          <w:sz w:val="21"/>
        </w:rPr>
        <w:t>Health check endpoint used by Render.com and monitoring tools.</w:t>
      </w:r>
    </w:p>
    <w:tbl>
      <w:tblPr>
        <w:tblStyle w:val="TableGrid"/>
        <w:tblW w:type="auto" w:w="0"/>
        <w:jc w:val="left"/>
        <w:tblLook w:firstColumn="1" w:firstRow="1" w:lastColumn="0" w:lastRow="0" w:noHBand="0" w:noVBand="1" w:val="04A0"/>
      </w:tblPr>
      <w:tblGrid>
        <w:gridCol w:w="4533"/>
        <w:gridCol w:w="4533"/>
      </w:tblGrid>
      <w:tr>
        <w:tc>
          <w:tcPr>
            <w:tcW w:type="dxa" w:w="2592"/>
            <w:shd w:val="clear" w:color="auto" w:fill="003366"/>
            <w:vAlign w:val="center"/>
          </w:tcPr>
          <w:p>
            <w:pPr>
              <w:jc w:val="center"/>
            </w:pPr>
            <w:r>
              <w:rPr>
                <w:b/>
                <w:color w:val="FFFFFF"/>
                <w:sz w:val="20"/>
              </w:rPr>
              <w:t>Property</w:t>
            </w:r>
          </w:p>
        </w:tc>
        <w:tc>
          <w:tcPr>
            <w:tcW w:type="dxa" w:w="7056"/>
            <w:shd w:val="clear" w:color="auto" w:fill="003366"/>
            <w:vAlign w:val="center"/>
          </w:tcPr>
          <w:p>
            <w:pPr>
              <w:jc w:val="center"/>
            </w:pPr>
            <w:r>
              <w:rPr>
                <w:b/>
                <w:color w:val="FFFFFF"/>
                <w:sz w:val="20"/>
              </w:rPr>
              <w:t>Value</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URL</w:t>
            </w:r>
          </w:p>
        </w:tc>
        <w:tc>
          <w:tcPr>
            <w:tcW w:type="dxa" w:w="705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/api/health</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Method</w:t>
            </w:r>
          </w:p>
        </w:tc>
        <w:tc>
          <w:tcPr>
            <w:tcW w:type="dxa" w:w="705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GET</w:t>
            </w:r>
          </w:p>
        </w:tc>
      </w:tr>
      <w:tr>
        <w:tc>
          <w:tcPr>
            <w:tcW w:type="dxa" w:w="259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Response</w:t>
            </w:r>
          </w:p>
        </w:tc>
        <w:tc>
          <w:tcPr>
            <w:tcW w:type="dxa" w:w="705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200 OK — {"status": "ok", "version": "2.0.0"}</w:t>
            </w:r>
          </w:p>
        </w:tc>
      </w:tr>
    </w:tbl>
    <w:p/>
    <w:p>
      <w:pPr>
        <w:spacing w:before="240" w:after="80"/>
      </w:pPr>
      <w:r>
        <w:rPr>
          <w:b/>
          <w:color w:val="005A9C"/>
          <w:sz w:val="26"/>
        </w:rPr>
        <w:t>8.3  Auto-generated Docs</w:t>
      </w:r>
    </w:p>
    <w:p>
      <w:pPr>
        <w:spacing w:after="80"/>
      </w:pPr>
      <w:r>
        <w:rPr>
          <w:color w:val="333333"/>
          <w:sz w:val="21"/>
        </w:rPr>
        <w:t>FastAPI automatically generates interactive API documentation at /docs (Swagger UI) and /redoc (ReDoc). Available in both development and production unless explicitly disabled.</w:t>
      </w:r>
    </w:p>
    <w:p>
      <w:r>
        <w:br w:type="page"/>
      </w:r>
    </w:p>
    <w:p>
      <w:pPr>
        <w:spacing w:before="360" w:after="120"/>
        <w:pBdr>
          <w:bottom w:val="single" w:sz="6" w:space="1" w:color="003366"/>
        </w:pBdr>
      </w:pPr>
      <w:r>
        <w:rPr>
          <w:b/>
          <w:color w:val="003366"/>
          <w:sz w:val="32"/>
        </w:rPr>
        <w:t>9.  Deployment Architecture</w:t>
      </w:r>
    </w:p>
    <w:p>
      <w:pPr>
        <w:spacing w:before="240" w:after="80"/>
      </w:pPr>
      <w:r>
        <w:rPr>
          <w:b/>
          <w:color w:val="005A9C"/>
          <w:sz w:val="26"/>
        </w:rPr>
        <w:t>9.1  Docker Compose (Local Development)</w:t>
      </w:r>
    </w:p>
    <w:p>
      <w:pPr>
        <w:spacing w:after="80"/>
      </w:pPr>
      <w:r>
        <w:rPr>
          <w:color w:val="333333"/>
          <w:sz w:val="21"/>
        </w:rPr>
        <w:t>docker-compose.yml orchestrates both services locally: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584"/>
            <w:shd w:val="clear" w:color="auto" w:fill="003366"/>
            <w:vAlign w:val="center"/>
          </w:tcPr>
          <w:p>
            <w:pPr>
              <w:jc w:val="center"/>
            </w:pPr>
            <w:r>
              <w:rPr>
                <w:b/>
                <w:color w:val="FFFFFF"/>
                <w:sz w:val="20"/>
              </w:rPr>
              <w:t>Service</w:t>
            </w:r>
          </w:p>
        </w:tc>
        <w:tc>
          <w:tcPr>
            <w:tcW w:type="dxa" w:w="2160"/>
            <w:shd w:val="clear" w:color="auto" w:fill="003366"/>
            <w:vAlign w:val="center"/>
          </w:tcPr>
          <w:p>
            <w:pPr>
              <w:jc w:val="center"/>
            </w:pPr>
            <w:r>
              <w:rPr>
                <w:b/>
                <w:color w:val="FFFFFF"/>
                <w:sz w:val="20"/>
              </w:rPr>
              <w:t>Build context</w:t>
            </w:r>
          </w:p>
        </w:tc>
        <w:tc>
          <w:tcPr>
            <w:tcW w:type="dxa" w:w="1872"/>
            <w:shd w:val="clear" w:color="auto" w:fill="003366"/>
            <w:vAlign w:val="center"/>
          </w:tcPr>
          <w:p>
            <w:pPr>
              <w:jc w:val="center"/>
            </w:pPr>
            <w:r>
              <w:rPr>
                <w:b/>
                <w:color w:val="FFFFFF"/>
                <w:sz w:val="20"/>
              </w:rPr>
              <w:t>Port</w:t>
            </w:r>
          </w:p>
        </w:tc>
        <w:tc>
          <w:tcPr>
            <w:tcW w:type="dxa" w:w="4032"/>
            <w:shd w:val="clear" w:color="auto" w:fill="003366"/>
            <w:vAlign w:val="center"/>
          </w:tcPr>
          <w:p>
            <w:pPr>
              <w:jc w:val="center"/>
            </w:pPr>
            <w:r>
              <w:rPr>
                <w:b/>
                <w:color w:val="FFFFFF"/>
                <w:sz w:val="20"/>
              </w:rPr>
              <w:t>Notes</w:t>
            </w:r>
          </w:p>
        </w:tc>
      </w:tr>
      <w:tr>
        <w:tc>
          <w:tcPr>
            <w:tcW w:type="dxa" w:w="158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backend</w:t>
            </w:r>
          </w:p>
        </w:tc>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./backend</w:t>
            </w:r>
          </w:p>
        </w:tc>
        <w:tc>
          <w:tcPr>
            <w:tcW w:type="dxa" w:w="187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8000:8000</w:t>
            </w:r>
          </w:p>
        </w:tc>
        <w:tc>
          <w:tcPr>
            <w:tcW w:type="dxa" w:w="403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Loads ./backend/.env; sets USE_MOCK=true by default</w:t>
            </w:r>
          </w:p>
        </w:tc>
      </w:tr>
      <w:tr>
        <w:tc>
          <w:tcPr>
            <w:tcW w:type="dxa" w:w="1584"/>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frontend</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./frontend</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3000:80</w:t>
            </w:r>
          </w:p>
        </w:tc>
        <w:tc>
          <w:tcPr>
            <w:tcW w:type="dxa" w:w="403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Multi-stage build: node:20-alpine builds Vite bundle → nginx:alpine serves it</w:t>
            </w:r>
          </w:p>
        </w:tc>
      </w:tr>
    </w:tbl>
    <w:p/>
    <w:p>
      <w:r>
        <w:rPr>
          <w:rFonts w:ascii="Courier New" w:hAnsi="Courier New"/>
          <w:color w:val="333333"/>
          <w:sz w:val="17"/>
        </w:rPr>
        <w:t># Start local dev environment</w:t>
        <w:br/>
        <w:t>docker-compose up --build</w:t>
        <w:br/>
        <w:br/>
        <w:t># Frontend available at:  http://localhost:3000</w:t>
        <w:br/>
        <w:t># Backend API at:         http://localhost:8000</w:t>
        <w:br/>
        <w:t># Swagger docs at:        http://localhost:8000/docs</w:t>
      </w:r>
    </w:p>
    <w:p/>
    <w:p>
      <w:pPr>
        <w:spacing w:before="240" w:after="80"/>
      </w:pPr>
      <w:r>
        <w:rPr>
          <w:b/>
          <w:color w:val="005A9C"/>
          <w:sz w:val="26"/>
        </w:rPr>
        <w:t>9.2  Backend Dockerfile</w:t>
      </w:r>
    </w:p>
    <w:p>
      <w:r>
        <w:rPr>
          <w:rFonts w:ascii="Courier New" w:hAnsi="Courier New"/>
          <w:color w:val="333333"/>
          <w:sz w:val="17"/>
        </w:rPr>
        <w:t>FROM python:3.12-slim</w:t>
        <w:br/>
        <w:t>WORKDIR /app</w:t>
        <w:br/>
        <w:t>COPY requirements.txt .</w:t>
        <w:br/>
        <w:t>RUN pip install --no-cache-dir -r requirements.txt</w:t>
        <w:br/>
        <w:t>COPY . .</w:t>
        <w:br/>
        <w:t>CMD ["uvicorn", "main:app", "--host", "0.0.0.0", "--port", "8000"]</w:t>
      </w:r>
    </w:p>
    <w:p/>
    <w:p>
      <w:pPr>
        <w:spacing w:before="240" w:after="80"/>
      </w:pPr>
      <w:r>
        <w:rPr>
          <w:b/>
          <w:color w:val="005A9C"/>
          <w:sz w:val="26"/>
        </w:rPr>
        <w:t>9.3  Frontend Dockerfile (Multi-stage)</w:t>
      </w:r>
    </w:p>
    <w:p>
      <w:r>
        <w:rPr>
          <w:rFonts w:ascii="Courier New" w:hAnsi="Courier New"/>
          <w:color w:val="333333"/>
          <w:sz w:val="17"/>
        </w:rPr>
        <w:t># Stage 1 — Build</w:t>
        <w:br/>
        <w:t>FROM node:20-alpine AS builder</w:t>
        <w:br/>
        <w:t>WORKDIR /app</w:t>
        <w:br/>
        <w:t>COPY package*.json ./</w:t>
        <w:br/>
        <w:t>RUN npm install</w:t>
        <w:br/>
        <w:t>COPY . .</w:t>
        <w:br/>
        <w:t>RUN npm run build           # produces /app/dist/</w:t>
        <w:br/>
        <w:br/>
        <w:t># Stage 2 — Serve</w:t>
        <w:br/>
        <w:t>FROM nginx:alpine</w:t>
        <w:br/>
        <w:t>COPY --from=builder /app/dist /usr/share/nginx/html</w:t>
        <w:br/>
        <w:t>COPY nginx.conf /etc/nginx/conf.d/default.conf</w:t>
        <w:br/>
        <w:t>EXPOSE 80</w:t>
      </w:r>
    </w:p>
    <w:p/>
    <w:p>
      <w:pPr>
        <w:spacing w:before="240" w:after="80"/>
      </w:pPr>
      <w:r>
        <w:rPr>
          <w:b/>
          <w:color w:val="005A9C"/>
          <w:sz w:val="26"/>
        </w:rPr>
        <w:t>9.4  nginx.conf (Production)</w:t>
      </w:r>
    </w:p>
    <w:p>
      <w:r>
        <w:rPr>
          <w:rFonts w:ascii="Courier New" w:hAnsi="Courier New"/>
          <w:color w:val="333333"/>
          <w:sz w:val="17"/>
        </w:rPr>
        <w:t>server {</w:t>
        <w:br/>
        <w:t xml:space="preserve">  listen 80;</w:t>
        <w:br/>
        <w:t xml:space="preserve">  root /usr/share/nginx/html;</w:t>
        <w:br/>
        <w:t xml:space="preserve">  index index.html;</w:t>
        <w:br/>
        <w:br/>
        <w:t xml:space="preserve">  # SPA fallback — all unknown paths serve index.html</w:t>
        <w:br/>
        <w:t xml:space="preserve">  location / {</w:t>
        <w:br/>
        <w:t xml:space="preserve">    try_files $uri /index.html;</w:t>
        <w:br/>
        <w:t xml:space="preserve">  }</w:t>
        <w:br/>
        <w:br/>
        <w:t xml:space="preserve">  # Reverse-proxy API calls to backend container</w:t>
        <w:br/>
        <w:t xml:space="preserve">  location /api/ {</w:t>
        <w:br/>
        <w:t xml:space="preserve">    proxy_pass http://backend:8000/api/;</w:t>
        <w:br/>
        <w:t xml:space="preserve">  }</w:t>
        <w:br/>
        <w:t>}</w:t>
      </w:r>
    </w:p>
    <w:p/>
    <w:p>
      <w:pPr>
        <w:spacing w:before="240" w:after="80"/>
      </w:pPr>
      <w:r>
        <w:rPr>
          <w:b/>
          <w:color w:val="005A9C"/>
          <w:sz w:val="26"/>
        </w:rPr>
        <w:t>9.5  Cloud Deployment — Production</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440"/>
            <w:shd w:val="clear" w:color="auto" w:fill="003366"/>
            <w:vAlign w:val="center"/>
          </w:tcPr>
          <w:p>
            <w:pPr>
              <w:jc w:val="center"/>
            </w:pPr>
            <w:r>
              <w:rPr>
                <w:b/>
                <w:color w:val="FFFFFF"/>
                <w:sz w:val="20"/>
              </w:rPr>
              <w:t>Layer</w:t>
            </w:r>
          </w:p>
        </w:tc>
        <w:tc>
          <w:tcPr>
            <w:tcW w:type="dxa" w:w="1728"/>
            <w:shd w:val="clear" w:color="auto" w:fill="003366"/>
            <w:vAlign w:val="center"/>
          </w:tcPr>
          <w:p>
            <w:pPr>
              <w:jc w:val="center"/>
            </w:pPr>
            <w:r>
              <w:rPr>
                <w:b/>
                <w:color w:val="FFFFFF"/>
                <w:sz w:val="20"/>
              </w:rPr>
              <w:t>Platform</w:t>
            </w:r>
          </w:p>
        </w:tc>
        <w:tc>
          <w:tcPr>
            <w:tcW w:type="dxa" w:w="3168"/>
            <w:shd w:val="clear" w:color="auto" w:fill="003366"/>
            <w:vAlign w:val="center"/>
          </w:tcPr>
          <w:p>
            <w:pPr>
              <w:jc w:val="center"/>
            </w:pPr>
            <w:r>
              <w:rPr>
                <w:b/>
                <w:color w:val="FFFFFF"/>
                <w:sz w:val="20"/>
              </w:rPr>
              <w:t>Config file</w:t>
            </w:r>
          </w:p>
        </w:tc>
        <w:tc>
          <w:tcPr>
            <w:tcW w:type="dxa" w:w="3312"/>
            <w:shd w:val="clear" w:color="auto" w:fill="003366"/>
            <w:vAlign w:val="center"/>
          </w:tcPr>
          <w:p>
            <w:pPr>
              <w:jc w:val="center"/>
            </w:pPr>
            <w:r>
              <w:rPr>
                <w:b/>
                <w:color w:val="FFFFFF"/>
                <w:sz w:val="20"/>
              </w:rPr>
              <w:t>Key env var</w:t>
            </w:r>
          </w:p>
        </w:tc>
      </w:tr>
      <w:tr>
        <w:tc>
          <w:tcPr>
            <w:tcW w:type="dxa" w:w="14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Frontend</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Vercel</w:t>
            </w:r>
          </w:p>
        </w:tc>
        <w:tc>
          <w:tcPr>
            <w:tcW w:type="dxa" w:w="316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frontend/vercel.json</w:t>
            </w:r>
          </w:p>
        </w:tc>
        <w:tc>
          <w:tcPr>
            <w:tcW w:type="dxa" w:w="33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VITE_API_URL — set to Render backend URL</w:t>
            </w:r>
          </w:p>
        </w:tc>
      </w:tr>
      <w:tr>
        <w:tc>
          <w:tcPr>
            <w:tcW w:type="dxa" w:w="14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Backend</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Render.com</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backend/render.yaml</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ALLOWED_ORIGINS — set to Vercel app URL</w:t>
            </w:r>
          </w:p>
        </w:tc>
      </w:tr>
    </w:tbl>
    <w:p/>
    <w:p>
      <w:pPr>
        <w:spacing w:after="80"/>
      </w:pPr>
      <w:r>
        <w:rPr>
          <w:color w:val="333333"/>
          <w:sz w:val="21"/>
        </w:rPr>
        <w:t>vercel.json configures the Vite framework preset and SPA rewrites (all routes → /index.html).</w:t>
      </w:r>
    </w:p>
    <w:p>
      <w:pPr>
        <w:spacing w:after="80"/>
      </w:pPr>
      <w:r>
        <w:rPr>
          <w:color w:val="333333"/>
          <w:sz w:val="21"/>
        </w:rPr>
        <w:t>render.yaml configures: pip install -r requirements.txt; uvicorn main:app --host 0.0.0.0 --port $PORT.</w:t>
      </w:r>
    </w:p>
    <w:p>
      <w:r>
        <w:br w:type="page"/>
      </w:r>
    </w:p>
    <w:p>
      <w:pPr>
        <w:spacing w:before="360" w:after="120"/>
        <w:pBdr>
          <w:bottom w:val="single" w:sz="6" w:space="1" w:color="003366"/>
        </w:pBdr>
      </w:pPr>
      <w:r>
        <w:rPr>
          <w:b/>
          <w:color w:val="003366"/>
          <w:sz w:val="32"/>
        </w:rPr>
        <w:t>10.  Security Design</w:t>
      </w:r>
    </w:p>
    <w:tbl>
      <w:tblPr>
        <w:tblStyle w:val="TableGrid"/>
        <w:tblW w:type="auto" w:w="0"/>
        <w:jc w:val="left"/>
        <w:tblLook w:firstColumn="1" w:firstRow="1" w:lastColumn="0" w:lastRow="0" w:noHBand="0" w:noVBand="1" w:val="04A0"/>
      </w:tblPr>
      <w:tblGrid>
        <w:gridCol w:w="4533"/>
        <w:gridCol w:w="4533"/>
      </w:tblGrid>
      <w:tr>
        <w:tc>
          <w:tcPr>
            <w:tcW w:type="dxa" w:w="2736"/>
            <w:shd w:val="clear" w:color="auto" w:fill="003366"/>
            <w:vAlign w:val="center"/>
          </w:tcPr>
          <w:p>
            <w:pPr>
              <w:jc w:val="center"/>
            </w:pPr>
            <w:r>
              <w:rPr>
                <w:b/>
                <w:color w:val="FFFFFF"/>
                <w:sz w:val="20"/>
              </w:rPr>
              <w:t>Control</w:t>
            </w:r>
          </w:p>
        </w:tc>
        <w:tc>
          <w:tcPr>
            <w:tcW w:type="dxa" w:w="6912"/>
            <w:shd w:val="clear" w:color="auto" w:fill="003366"/>
            <w:vAlign w:val="center"/>
          </w:tcPr>
          <w:p>
            <w:pPr>
              <w:jc w:val="center"/>
            </w:pPr>
            <w:r>
              <w:rPr>
                <w:b/>
                <w:color w:val="FFFFFF"/>
                <w:sz w:val="20"/>
              </w:rPr>
              <w:t>Implementation</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CORS restriction</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Backend restricts API access via ALLOWED_ORIGINS env var. In production set to exact Vercel origin — prevents cross-site abuse.</w:t>
            </w:r>
          </w:p>
        </w:tc>
      </w:tr>
      <w:tr>
        <w:tc>
          <w:tcPr>
            <w:tcW w:type="dxa" w:w="273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No persistent storage</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No database, no server-side file storage. Uploaded files are read into memory, parsed, and discarded — nothing is written to disk.</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File type validation</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Only .xlsx and .xls files accepted. HTTP 400 returned for other extensions before any parsing occurs.</w:t>
            </w:r>
          </w:p>
        </w:tc>
      </w:tr>
      <w:tr>
        <w:tc>
          <w:tcPr>
            <w:tcW w:type="dxa" w:w="273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No credentials in frontend</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There are no SAP credentials, API keys, or secrets in the React bundle. VITE_API_URL is the only env var passed to the frontend.</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HTTPS enforced</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Both Vercel and Render.com enforce HTTPS by default. No plain HTTP in production.</w:t>
            </w:r>
          </w:p>
        </w:tc>
      </w:tr>
      <w:tr>
        <w:tc>
          <w:tcPr>
            <w:tcW w:type="dxa" w:w="2736"/>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Error detail control</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Traceback detail in HTTP 422 responses is useful for debugging but should be disabled or logged server-side in a production-hardened deployment.</w:t>
            </w:r>
          </w:p>
        </w:tc>
      </w:tr>
      <w:tr>
        <w:tc>
          <w:tcPr>
            <w:tcW w:type="dxa" w:w="273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localStorage scope</w:t>
            </w:r>
          </w:p>
        </w:tc>
        <w:tc>
          <w:tcPr>
            <w:tcW w:type="dxa" w:w="6912"/>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Upload history is stored in browser localStorage — scoped to the origin, not transmitted to the server. Contains full parse results, so advise against shared devices.</w:t>
            </w:r>
          </w:p>
        </w:tc>
      </w:tr>
    </w:tbl>
    <w:p/>
    <w:p>
      <w:r>
        <w:br w:type="page"/>
      </w:r>
    </w:p>
    <w:p>
      <w:pPr>
        <w:spacing w:before="360" w:after="120"/>
        <w:pBdr>
          <w:bottom w:val="single" w:sz="6" w:space="1" w:color="003366"/>
        </w:pBdr>
      </w:pPr>
      <w:r>
        <w:rPr>
          <w:b/>
          <w:color w:val="003366"/>
          <w:sz w:val="32"/>
        </w:rPr>
        <w:t>11.  Configuration &amp; Environment Variables</w:t>
      </w:r>
    </w:p>
    <w:p>
      <w:pPr>
        <w:spacing w:before="240" w:after="80"/>
      </w:pPr>
      <w:r>
        <w:rPr>
          <w:b/>
          <w:color w:val="005A9C"/>
          <w:sz w:val="26"/>
        </w:rPr>
        <w:t>11.1  Backend (.env / environment)</w:t>
      </w:r>
    </w:p>
    <w:tbl>
      <w:tblPr>
        <w:tblStyle w:val="TableGrid"/>
        <w:tblW w:type="auto" w:w="0"/>
        <w:jc w:val="left"/>
        <w:tblLook w:firstColumn="1" w:firstRow="1" w:lastColumn="0" w:lastRow="0" w:noHBand="0" w:noVBand="1" w:val="04A0"/>
      </w:tblPr>
      <w:tblGrid>
        <w:gridCol w:w="3022"/>
        <w:gridCol w:w="3022"/>
        <w:gridCol w:w="3022"/>
      </w:tblGrid>
      <w:tr>
        <w:tc>
          <w:tcPr>
            <w:tcW w:type="dxa" w:w="2880"/>
            <w:shd w:val="clear" w:color="auto" w:fill="003366"/>
            <w:vAlign w:val="center"/>
          </w:tcPr>
          <w:p>
            <w:pPr>
              <w:jc w:val="center"/>
            </w:pPr>
            <w:r>
              <w:rPr>
                <w:b/>
                <w:color w:val="FFFFFF"/>
                <w:sz w:val="20"/>
              </w:rPr>
              <w:t>Variable</w:t>
            </w:r>
          </w:p>
        </w:tc>
        <w:tc>
          <w:tcPr>
            <w:tcW w:type="dxa" w:w="1728"/>
            <w:shd w:val="clear" w:color="auto" w:fill="003366"/>
            <w:vAlign w:val="center"/>
          </w:tcPr>
          <w:p>
            <w:pPr>
              <w:jc w:val="center"/>
            </w:pPr>
            <w:r>
              <w:rPr>
                <w:b/>
                <w:color w:val="FFFFFF"/>
                <w:sz w:val="20"/>
              </w:rPr>
              <w:t>Default</w:t>
            </w:r>
          </w:p>
        </w:tc>
        <w:tc>
          <w:tcPr>
            <w:tcW w:type="dxa" w:w="5040"/>
            <w:shd w:val="clear" w:color="auto" w:fill="003366"/>
            <w:vAlign w:val="center"/>
          </w:tcPr>
          <w:p>
            <w:pPr>
              <w:jc w:val="center"/>
            </w:pPr>
            <w:r>
              <w:rPr>
                <w:b/>
                <w:color w:val="FFFFFF"/>
                <w:sz w:val="20"/>
              </w:rPr>
              <w:t>Description</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ALLOWED_ORIGINS</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w:t>
            </w:r>
          </w:p>
        </w:tc>
        <w:tc>
          <w:tcPr>
            <w:tcW w:type="dxa" w:w="50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Comma-separated list of allowed CORS origins. Set to Vercel URL in production.</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SAP_BASE_URL</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(none)</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Reserved — SAP Gateway base URL for future OData integration (sap_client.py).</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SAP_CLIENT</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100</w:t>
            </w:r>
          </w:p>
        </w:tc>
        <w:tc>
          <w:tcPr>
            <w:tcW w:type="dxa" w:w="50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Reserved — SAP client number.</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SAP_USER</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(none)</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Reserved — SAP service account username.</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SAP_PASSWORD</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(none)</w:t>
            </w:r>
          </w:p>
        </w:tc>
        <w:tc>
          <w:tcPr>
            <w:tcW w:type="dxa" w:w="50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Reserved — SAP service account password.</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SAP_ODATA_SERVICE</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(none)</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Reserved — OData service path (e.g. /sap/opu/odata/sap/CNVLTVF3_SRV).</w:t>
            </w:r>
          </w:p>
        </w:tc>
      </w:tr>
      <w:tr>
        <w:tc>
          <w:tcPr>
            <w:tcW w:type="dxa" w:w="288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USE_MOCK</w:t>
            </w:r>
          </w:p>
        </w:tc>
        <w:tc>
          <w:tcPr>
            <w:tcW w:type="dxa" w:w="172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true</w:t>
            </w:r>
          </w:p>
        </w:tc>
        <w:tc>
          <w:tcPr>
            <w:tcW w:type="dxa" w:w="504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Reserved — switches sap_client.py between mock and live SAP (not currently used by main.py).</w:t>
            </w:r>
          </w:p>
        </w:tc>
      </w:tr>
    </w:tbl>
    <w:p/>
    <w:p>
      <w:pPr>
        <w:spacing w:before="240" w:after="80"/>
      </w:pPr>
      <w:r>
        <w:rPr>
          <w:b/>
          <w:color w:val="005A9C"/>
          <w:sz w:val="26"/>
        </w:rPr>
        <w:t>11.2  Frontend (Vite env vars)</w:t>
      </w:r>
    </w:p>
    <w:tbl>
      <w:tblPr>
        <w:tblStyle w:val="TableGrid"/>
        <w:tblW w:type="auto" w:w="0"/>
        <w:jc w:val="left"/>
        <w:tblLook w:firstColumn="1" w:firstRow="1" w:lastColumn="0" w:lastRow="0" w:noHBand="0" w:noVBand="1" w:val="04A0"/>
      </w:tblPr>
      <w:tblGrid>
        <w:gridCol w:w="3022"/>
        <w:gridCol w:w="3022"/>
        <w:gridCol w:w="3022"/>
      </w:tblGrid>
      <w:tr>
        <w:tc>
          <w:tcPr>
            <w:tcW w:type="dxa" w:w="2304"/>
            <w:shd w:val="clear" w:color="auto" w:fill="003366"/>
            <w:vAlign w:val="center"/>
          </w:tcPr>
          <w:p>
            <w:pPr>
              <w:jc w:val="center"/>
            </w:pPr>
            <w:r>
              <w:rPr>
                <w:b/>
                <w:color w:val="FFFFFF"/>
                <w:sz w:val="20"/>
              </w:rPr>
              <w:t>Variable</w:t>
            </w:r>
          </w:p>
        </w:tc>
        <w:tc>
          <w:tcPr>
            <w:tcW w:type="dxa" w:w="3168"/>
            <w:shd w:val="clear" w:color="auto" w:fill="003366"/>
            <w:vAlign w:val="center"/>
          </w:tcPr>
          <w:p>
            <w:pPr>
              <w:jc w:val="center"/>
            </w:pPr>
            <w:r>
              <w:rPr>
                <w:b/>
                <w:color w:val="FFFFFF"/>
                <w:sz w:val="20"/>
              </w:rPr>
              <w:t>Set in</w:t>
            </w:r>
          </w:p>
        </w:tc>
        <w:tc>
          <w:tcPr>
            <w:tcW w:type="dxa" w:w="4176"/>
            <w:shd w:val="clear" w:color="auto" w:fill="003366"/>
            <w:vAlign w:val="center"/>
          </w:tcPr>
          <w:p>
            <w:pPr>
              <w:jc w:val="center"/>
            </w:pPr>
            <w:r>
              <w:rPr>
                <w:b/>
                <w:color w:val="FFFFFF"/>
                <w:sz w:val="20"/>
              </w:rPr>
              <w:t>Description</w:t>
            </w:r>
          </w:p>
        </w:tc>
      </w:tr>
      <w:tr>
        <w:tc>
          <w:tcPr>
            <w:tcW w:type="dxa" w:w="2304"/>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VITE_API_URL</w:t>
            </w:r>
          </w:p>
        </w:tc>
        <w:tc>
          <w:tcPr>
            <w:tcW w:type="dxa" w:w="316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Vercel dashboard / .env.local</w:t>
            </w:r>
          </w:p>
        </w:tc>
        <w:tc>
          <w:tcPr>
            <w:tcW w:type="dxa" w:w="4176"/>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Backend base URL. If unset, sapApi.ts uses empty string (relies on Vite proxy in dev or nginx proxy in Docker).</w:t>
            </w:r>
          </w:p>
        </w:tc>
      </w:tr>
    </w:tbl>
    <w:p/>
    <w:p>
      <w:pPr>
        <w:spacing w:before="240" w:after="80"/>
      </w:pPr>
      <w:r>
        <w:rPr>
          <w:b/>
          <w:color w:val="005A9C"/>
          <w:sz w:val="26"/>
        </w:rPr>
        <w:t>11.3  vite.config.ts — Dev Proxy</w:t>
      </w:r>
    </w:p>
    <w:p>
      <w:pPr>
        <w:spacing w:after="80"/>
      </w:pPr>
      <w:r>
        <w:rPr>
          <w:color w:val="333333"/>
          <w:sz w:val="21"/>
        </w:rPr>
        <w:t>In development, all requests starting with /api are proxied to http://localhost:8000 by Vite's built-in proxy. This means the frontend can call /api/upload without CORS issues and without needing VITE_API_URL set.</w:t>
      </w:r>
    </w:p>
    <w:p>
      <w:r>
        <w:br w:type="page"/>
      </w:r>
    </w:p>
    <w:p>
      <w:pPr>
        <w:spacing w:before="360" w:after="120"/>
        <w:pBdr>
          <w:bottom w:val="single" w:sz="6" w:space="1" w:color="003366"/>
        </w:pBdr>
      </w:pPr>
      <w:r>
        <w:rPr>
          <w:b/>
          <w:color w:val="003366"/>
          <w:sz w:val="32"/>
        </w:rPr>
        <w:t>12.  Local Development Setup</w:t>
      </w:r>
    </w:p>
    <w:p>
      <w:pPr>
        <w:spacing w:before="240" w:after="80"/>
      </w:pPr>
      <w:r>
        <w:rPr>
          <w:b/>
          <w:color w:val="005A9C"/>
          <w:sz w:val="26"/>
        </w:rPr>
        <w:t>12.1  Prerequisites</w:t>
      </w:r>
    </w:p>
    <w:p>
      <w:pPr>
        <w:pStyle w:val="ListBullet"/>
        <w:spacing w:after="40"/>
        <w:ind w:left="454"/>
      </w:pPr>
      <w:r>
        <w:rPr>
          <w:color w:val="333333"/>
          <w:sz w:val="21"/>
        </w:rPr>
        <w:t>Docker Desktop (for Docker Compose workflow)</w:t>
      </w:r>
    </w:p>
    <w:p>
      <w:pPr>
        <w:pStyle w:val="ListBullet"/>
        <w:spacing w:after="40"/>
        <w:ind w:left="454"/>
      </w:pPr>
      <w:r>
        <w:rPr>
          <w:color w:val="333333"/>
          <w:sz w:val="21"/>
        </w:rPr>
        <w:t>Node.js 20+ and npm (for running frontend without Docker)</w:t>
      </w:r>
    </w:p>
    <w:p>
      <w:pPr>
        <w:pStyle w:val="ListBullet"/>
        <w:spacing w:after="40"/>
        <w:ind w:left="454"/>
      </w:pPr>
      <w:r>
        <w:rPr>
          <w:color w:val="333333"/>
          <w:sz w:val="21"/>
        </w:rPr>
        <w:t>Python 3.12+ and pip (for running backend without Docker)</w:t>
      </w:r>
    </w:p>
    <w:p>
      <w:pPr>
        <w:spacing w:before="240" w:after="80"/>
      </w:pPr>
      <w:r>
        <w:rPr>
          <w:b/>
          <w:color w:val="005A9C"/>
          <w:sz w:val="26"/>
        </w:rPr>
        <w:t>12.2  Option A — Docker Compose (recommended)</w:t>
      </w:r>
    </w:p>
    <w:p>
      <w:r>
        <w:rPr>
          <w:rFonts w:ascii="Courier New" w:hAnsi="Courier New"/>
          <w:color w:val="333333"/>
          <w:sz w:val="17"/>
        </w:rPr>
        <w:t>cd C:\Users\I750407\ltvf-dashboard</w:t>
        <w:br/>
        <w:br/>
        <w:t># Copy env template (only needed once)</w:t>
        <w:br/>
        <w:t>copy backend\.env.example backend\.env</w:t>
        <w:br/>
        <w:br/>
        <w:t># Build and start both services</w:t>
        <w:br/>
        <w:t>docker-compose up --build</w:t>
        <w:br/>
        <w:br/>
        <w:t># Open in browser</w:t>
        <w:br/>
        <w:t># http://localhost:3000</w:t>
      </w:r>
    </w:p>
    <w:p/>
    <w:p>
      <w:pPr>
        <w:spacing w:before="240" w:after="80"/>
      </w:pPr>
      <w:r>
        <w:rPr>
          <w:b/>
          <w:color w:val="005A9C"/>
          <w:sz w:val="26"/>
        </w:rPr>
        <w:t>12.3  Option B — Manual (no Docker)</w:t>
      </w:r>
    </w:p>
    <w:p>
      <w:r>
        <w:rPr>
          <w:rFonts w:ascii="Courier New" w:hAnsi="Courier New"/>
          <w:color w:val="333333"/>
          <w:sz w:val="17"/>
        </w:rPr>
        <w:t># Terminal 1 — Backend</w:t>
        <w:br/>
        <w:t>cd backend</w:t>
        <w:br/>
        <w:t>pip install -r requirements.txt</w:t>
        <w:br/>
        <w:t>copy .env.example .env</w:t>
        <w:br/>
        <w:t>uvicorn main:app --reload --port 8000</w:t>
        <w:br/>
        <w:br/>
        <w:t># Terminal 2 — Frontend</w:t>
        <w:br/>
        <w:t>cd frontend</w:t>
        <w:br/>
        <w:t>npm install</w:t>
        <w:br/>
        <w:t>npm run dev</w:t>
        <w:br/>
        <w:t># Opens at http://localhost:3000</w:t>
      </w:r>
    </w:p>
    <w:p/>
    <w:p>
      <w:pPr>
        <w:spacing w:before="240" w:after="80"/>
      </w:pPr>
      <w:r>
        <w:rPr>
          <w:b/>
          <w:color w:val="005A9C"/>
          <w:sz w:val="26"/>
        </w:rPr>
        <w:t>12.4  Running Tests / Build Check</w:t>
      </w:r>
    </w:p>
    <w:p>
      <w:r>
        <w:rPr>
          <w:rFonts w:ascii="Courier New" w:hAnsi="Courier New"/>
          <w:color w:val="333333"/>
          <w:sz w:val="17"/>
        </w:rPr>
        <w:t># Type-check the frontend</w:t>
        <w:br/>
        <w:t>cd frontend &amp;&amp; npx tsc --noEmit</w:t>
        <w:br/>
        <w:br/>
        <w:t># Production build (checks for build errors)</w:t>
        <w:br/>
        <w:t>cd frontend &amp;&amp; npm run build</w:t>
        <w:br/>
        <w:br/>
        <w:t># FastAPI docs (confirm backend is running)</w:t>
        <w:br/>
        <w:t># http://localhost:8000/docs</w:t>
      </w:r>
    </w:p>
    <w:p/>
    <w:p>
      <w:r>
        <w:br w:type="page"/>
      </w:r>
    </w:p>
    <w:p>
      <w:pPr>
        <w:spacing w:before="360" w:after="120"/>
        <w:pBdr>
          <w:bottom w:val="single" w:sz="6" w:space="1" w:color="003366"/>
        </w:pBdr>
      </w:pPr>
      <w:r>
        <w:rPr>
          <w:b/>
          <w:color w:val="003366"/>
          <w:sz w:val="32"/>
        </w:rPr>
        <w:t>13.  Production Deployment</w:t>
      </w:r>
    </w:p>
    <w:p>
      <w:pPr>
        <w:spacing w:before="240" w:after="80"/>
      </w:pPr>
      <w:r>
        <w:rPr>
          <w:b/>
          <w:color w:val="005A9C"/>
          <w:sz w:val="26"/>
        </w:rPr>
        <w:t>13.1  Deploy Backend to Render.com</w:t>
      </w:r>
    </w:p>
    <w:p>
      <w:pPr>
        <w:pStyle w:val="ListBullet"/>
        <w:spacing w:after="40"/>
        <w:ind w:left="454"/>
      </w:pPr>
      <w:r>
        <w:rPr>
          <w:color w:val="333333"/>
          <w:sz w:val="21"/>
        </w:rPr>
        <w:t>Push the repository to GitHub.</w:t>
      </w:r>
    </w:p>
    <w:p>
      <w:pPr>
        <w:pStyle w:val="ListBullet"/>
        <w:spacing w:after="40"/>
        <w:ind w:left="454"/>
      </w:pPr>
      <w:r>
        <w:rPr>
          <w:color w:val="333333"/>
          <w:sz w:val="21"/>
        </w:rPr>
        <w:t>Create a new Render Web Service — connect to the repository, set root directory to backend/.</w:t>
      </w:r>
    </w:p>
    <w:p>
      <w:pPr>
        <w:pStyle w:val="ListBullet"/>
        <w:spacing w:after="40"/>
        <w:ind w:left="454"/>
      </w:pPr>
      <w:r>
        <w:rPr>
          <w:color w:val="333333"/>
          <w:sz w:val="21"/>
        </w:rPr>
        <w:t>Build command: pip install -r requirements.txt</w:t>
      </w:r>
    </w:p>
    <w:p>
      <w:pPr>
        <w:pStyle w:val="ListBullet"/>
        <w:spacing w:after="40"/>
        <w:ind w:left="454"/>
      </w:pPr>
      <w:r>
        <w:rPr>
          <w:color w:val="333333"/>
          <w:sz w:val="21"/>
        </w:rPr>
        <w:t>Start command:  uvicorn main:app --host 0.0.0.0 --port $PORT</w:t>
      </w:r>
    </w:p>
    <w:p>
      <w:pPr>
        <w:pStyle w:val="ListBullet"/>
        <w:spacing w:after="40"/>
        <w:ind w:left="454"/>
      </w:pPr>
      <w:r>
        <w:rPr>
          <w:color w:val="333333"/>
          <w:sz w:val="21"/>
        </w:rPr>
        <w:t>Add environment variable: ALLOWED_ORIGINS = https://&lt;your-vercel-app&gt;.vercel.app</w:t>
      </w:r>
    </w:p>
    <w:p>
      <w:pPr>
        <w:pStyle w:val="ListBullet"/>
        <w:spacing w:after="40"/>
        <w:ind w:left="454"/>
      </w:pPr>
      <w:r>
        <w:rPr>
          <w:color w:val="333333"/>
          <w:sz w:val="21"/>
        </w:rPr>
        <w:t>Note the Render service URL (e.g. https://ltvf-backend.onrender.com).</w:t>
      </w:r>
    </w:p>
    <w:p>
      <w:pPr>
        <w:spacing w:before="240" w:after="80"/>
      </w:pPr>
      <w:r>
        <w:rPr>
          <w:b/>
          <w:color w:val="005A9C"/>
          <w:sz w:val="26"/>
        </w:rPr>
        <w:t>13.2  Deploy Frontend to Vercel</w:t>
      </w:r>
    </w:p>
    <w:p>
      <w:pPr>
        <w:pStyle w:val="ListBullet"/>
        <w:spacing w:after="40"/>
        <w:ind w:left="454"/>
      </w:pPr>
      <w:r>
        <w:rPr>
          <w:color w:val="333333"/>
          <w:sz w:val="21"/>
        </w:rPr>
        <w:t>Import the repository into Vercel — set root directory to frontend/.</w:t>
      </w:r>
    </w:p>
    <w:p>
      <w:pPr>
        <w:pStyle w:val="ListBullet"/>
        <w:spacing w:after="40"/>
        <w:ind w:left="454"/>
      </w:pPr>
      <w:r>
        <w:rPr>
          <w:color w:val="333333"/>
          <w:sz w:val="21"/>
        </w:rPr>
        <w:t>Framework preset: Vite (auto-detected from vercel.json).</w:t>
      </w:r>
    </w:p>
    <w:p>
      <w:pPr>
        <w:pStyle w:val="ListBullet"/>
        <w:spacing w:after="40"/>
        <w:ind w:left="454"/>
      </w:pPr>
      <w:r>
        <w:rPr>
          <w:color w:val="333333"/>
          <w:sz w:val="21"/>
        </w:rPr>
        <w:t>Add environment variable: VITE_API_URL = https://ltvf-backend.onrender.com</w:t>
      </w:r>
    </w:p>
    <w:p>
      <w:pPr>
        <w:pStyle w:val="ListBullet"/>
        <w:spacing w:after="40"/>
        <w:ind w:left="454"/>
      </w:pPr>
      <w:r>
        <w:rPr>
          <w:color w:val="333333"/>
          <w:sz w:val="21"/>
        </w:rPr>
        <w:t>Deploy — Vercel builds with npm run build and serves the dist/ folder.</w:t>
      </w:r>
    </w:p>
    <w:p>
      <w:pPr>
        <w:pStyle w:val="ListBullet"/>
        <w:spacing w:after="40"/>
        <w:ind w:left="454"/>
      </w:pPr>
      <w:r>
        <w:rPr>
          <w:color w:val="333333"/>
          <w:sz w:val="21"/>
        </w:rPr>
        <w:t>SPA rewrites in vercel.json route all paths to /index.html.</w:t>
      </w:r>
    </w:p>
    <w:tbl>
      <w:tblPr>
        <w:tblStyle w:val="TableGrid"/>
        <w:tblW w:type="auto" w:w="0"/>
        <w:tblLook w:firstColumn="1" w:firstRow="1" w:lastColumn="0" w:lastRow="0" w:noHBand="0" w:noVBand="1" w:val="04A0"/>
      </w:tblPr>
      <w:tblGrid>
        <w:gridCol w:w="9066"/>
      </w:tblGrid>
      <w:tr>
        <w:tc>
          <w:tcPr>
            <w:tcW w:type="dxa" w:w="9066"/>
            <w:shd w:val="clear" w:color="auto" w:fill="E6F4EA"/>
            <w:tcBorders>
              <w:top w:val="single" w:sz="4" w:space="0" w:color="16A34A"/>
              <w:left w:val="single" w:sz="4" w:space="0" w:color="16A34A"/>
              <w:bottom w:val="single" w:sz="4" w:space="0" w:color="16A34A"/>
              <w:right w:val="single" w:sz="4" w:space="0" w:color="16A34A"/>
            </w:tcBorders>
          </w:tcPr>
          <w:p>
            <w:r>
              <w:rPr>
                <w:b/>
                <w:color w:val="003366"/>
                <w:sz w:val="21"/>
              </w:rPr>
              <w:t>Production Checklist</w:t>
            </w:r>
          </w:p>
          <w:p>
            <w:r>
              <w:rPr>
                <w:color w:val="333333"/>
                <w:sz w:val="20"/>
              </w:rPr>
              <w:t xml:space="preserve">  [ ]  ALLOWED_ORIGINS on Render set to exact Vercel URL (no wildcard in production)</w:t>
            </w:r>
          </w:p>
          <w:p>
            <w:r>
              <w:rPr>
                <w:color w:val="333333"/>
                <w:sz w:val="20"/>
              </w:rPr>
              <w:t xml:space="preserve">  [ ]  VITE_API_URL on Vercel set to exact Render URL</w:t>
            </w:r>
          </w:p>
          <w:p>
            <w:r>
              <w:rPr>
                <w:color w:val="333333"/>
                <w:sz w:val="20"/>
              </w:rPr>
              <w:t xml:space="preserve">  [ ]  Both URLs use HTTPS</w:t>
            </w:r>
          </w:p>
          <w:p>
            <w:r>
              <w:rPr>
                <w:color w:val="333333"/>
                <w:sz w:val="20"/>
              </w:rPr>
              <w:t xml:space="preserve">  [ ]  Upload a real CNVLTVF3 .xlsx export and verify parsing</w:t>
            </w:r>
          </w:p>
          <w:p>
            <w:r>
              <w:rPr>
                <w:color w:val="333333"/>
                <w:sz w:val="20"/>
              </w:rPr>
              <w:t xml:space="preserve">  [ ]  Check /api/health returns 200 OK</w:t>
            </w:r>
          </w:p>
        </w:tc>
      </w:tr>
    </w:tbl>
    <w:p/>
    <w:p>
      <w:r>
        <w:br w:type="page"/>
      </w:r>
    </w:p>
    <w:p>
      <w:pPr>
        <w:spacing w:before="360" w:after="120"/>
        <w:pBdr>
          <w:bottom w:val="single" w:sz="6" w:space="1" w:color="003366"/>
        </w:pBdr>
      </w:pPr>
      <w:r>
        <w:rPr>
          <w:b/>
          <w:color w:val="003366"/>
          <w:sz w:val="32"/>
        </w:rPr>
        <w:t>14.  Glossary</w:t>
      </w:r>
    </w:p>
    <w:tbl>
      <w:tblPr>
        <w:tblStyle w:val="TableGrid"/>
        <w:tblW w:type="auto" w:w="0"/>
        <w:jc w:val="left"/>
        <w:tblLook w:firstColumn="1" w:firstRow="1" w:lastColumn="0" w:lastRow="0" w:noHBand="0" w:noVBand="1" w:val="04A0"/>
      </w:tblPr>
      <w:tblGrid>
        <w:gridCol w:w="4533"/>
        <w:gridCol w:w="4533"/>
      </w:tblGrid>
      <w:tr>
        <w:tc>
          <w:tcPr>
            <w:tcW w:type="dxa" w:w="2160"/>
            <w:shd w:val="clear" w:color="auto" w:fill="003366"/>
            <w:vAlign w:val="center"/>
          </w:tcPr>
          <w:p>
            <w:pPr>
              <w:jc w:val="center"/>
            </w:pPr>
            <w:r>
              <w:rPr>
                <w:b/>
                <w:color w:val="FFFFFF"/>
                <w:sz w:val="20"/>
              </w:rPr>
              <w:t>Term</w:t>
            </w:r>
          </w:p>
        </w:tc>
        <w:tc>
          <w:tcPr>
            <w:tcW w:type="dxa" w:w="7488"/>
            <w:shd w:val="clear" w:color="auto" w:fill="003366"/>
            <w:vAlign w:val="center"/>
          </w:tcPr>
          <w:p>
            <w:pPr>
              <w:jc w:val="center"/>
            </w:pPr>
            <w:r>
              <w:rPr>
                <w:b/>
                <w:color w:val="FFFFFF"/>
                <w:sz w:val="20"/>
              </w:rPr>
              <w:t>Definition</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LTVF</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Long-Term Value Forecast — SAP test framework for comparing source and target data during system conversions.</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CNVLTVF3</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SAP transaction code for the LTVF test framework. Produces the .xlsx export parsed by this dashboard.</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Match rate</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Percentage of records that match exactly between source and target (0–100%). Core metric in CNVLTVF3.</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Pass</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Test case with match rate &gt;= 95% (configurable). Displayed in green.</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Warn</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Test case with 80% &lt;= match rate &lt; 95% (configurable). Displayed in amber.</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Fail</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Test case with match rate &lt; 80% (configurable). Displayed in red.</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Group row</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 hierarchy header row in the Excel file — identified by a '&gt;&gt;' prefix in the test_name column.</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Leaf row</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An actual test case row (no '&gt;&gt;' prefix). Only leaf rows contribute to pass/warn/fail counts.</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SPA</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Single-Page Application — loads once, updates dynamically. All navigation is client-side.</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FastAPI</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Python web framework used for the backend REST API. Provides automatic OpenAPI documentation.</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Pydantic</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Python data validation library used to define and enforce request/response schemas.</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Vite</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Frontend build tool and dev server. Handles TypeScript compilation, Tailwind, and hot module reload.</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AG Grid</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High-performance browser data grid used for the Detail Table tab.</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Recharts</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React charting library used for all charts: PieChart, BarChart, Treemap.</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Tailwind CSS</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Utility-first CSS framework. darkMode: 'class' strategy enables theme switching.</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Render.com</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Cloud platform hosting the FastAPI backend. Free tier available; render.yaml drives deployment.</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Vercel</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Cloud platform hosting the React frontend. vercel.json drives deployment and SPA rewrites.</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localStorage</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Browser-side key-value store used to persist theme preference and upload history (max 5 entries).</w:t>
            </w:r>
          </w:p>
        </w:tc>
      </w:tr>
      <w:tr>
        <w:tc>
          <w:tcPr>
            <w:tcW w:type="dxa" w:w="2160"/>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OData</w:t>
            </w:r>
          </w:p>
        </w:tc>
        <w:tc>
          <w:tcPr>
            <w:tcW w:type="dxa" w:w="7488"/>
            <w:shd w:val="clear" w:color="auto" w:fill="F5F5F5"/>
            <w:tcBorders>
              <w:top w:val="single" w:sz="4" w:space="0" w:color="DDDDDD"/>
              <w:left w:val="single" w:sz="4" w:space="0" w:color="DDDDDD"/>
              <w:bottom w:val="single" w:sz="4" w:space="0" w:color="DDDDDD"/>
              <w:right w:val="single" w:sz="4" w:space="0" w:color="DDDDDD"/>
            </w:tcBorders>
          </w:tcPr>
          <w:p>
            <w:r>
              <w:rPr>
                <w:color w:val="333333"/>
                <w:sz w:val="20"/>
              </w:rPr>
              <w:t>SAP standard REST protocol for exposing SAP data as JSON/XML. Reserved for future sap_client.py integration.</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CORS</w:t>
            </w:r>
          </w:p>
        </w:tc>
        <w:tc>
          <w:tcPr>
            <w:tcW w:type="dxa" w:w="7488"/>
            <w:shd w:val="clear" w:color="auto" w:fill="FFFFFF"/>
            <w:tcBorders>
              <w:top w:val="single" w:sz="4" w:space="0" w:color="DDDDDD"/>
              <w:left w:val="single" w:sz="4" w:space="0" w:color="DDDDDD"/>
              <w:bottom w:val="single" w:sz="4" w:space="0" w:color="DDDDDD"/>
              <w:right w:val="single" w:sz="4" w:space="0" w:color="DDDDDD"/>
            </w:tcBorders>
          </w:tcPr>
          <w:p>
            <w:r>
              <w:rPr>
                <w:color w:val="333333"/>
                <w:sz w:val="20"/>
              </w:rPr>
              <w:t>Cross-Origin Resource Sharing — browser security policy. ALLOWED_ORIGINS restricts which origins can call the backend API.</w:t>
            </w:r>
          </w:p>
        </w:tc>
      </w:tr>
    </w:tbl>
    <w:p/>
    <w:p/>
    <w:p>
      <w:pPr>
        <w:jc w:val="center"/>
      </w:pPr>
      <w:r>
        <w:rPr>
          <w:i/>
          <w:color w:val="999999"/>
          <w:sz w:val="16"/>
        </w:rPr>
        <w:t>LTVF Cloud Dashboard — Technical Reference Document  |  Version 2.0  |  14 July 2026  |  Business Confidential</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