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72deca9af482d0340dda6937fb87e6279ad5640"/>
    <w:p>
      <w:pPr>
        <w:pStyle w:val="Heading1"/>
      </w:pPr>
      <w:r>
        <w:t xml:space="preserve">ECM AP 10 Template — Section-by-Section Comparison, Sections 5–8 (CHE vs USA)</w:t>
      </w:r>
    </w:p>
    <w:p>
      <w:pPr>
        <w:pStyle w:val="FirstParagraph"/>
      </w:pPr>
      <w:r>
        <w:rPr>
          <w:b/>
          <w:bCs/>
        </w:rPr>
        <w:t xml:space="preserve">CHE file:</w:t>
      </w:r>
      <w:r>
        <w:t xml:space="preserve"> </w:t>
      </w:r>
      <w:r>
        <w:rPr>
          <w:rStyle w:val="VerbatimChar"/>
        </w:rPr>
        <w:t xml:space="preserve">ECM AP 10 KERAMIK MIT WAB VIEW E.docx</w:t>
      </w:r>
      <w:r>
        <w:t xml:space="preserve"> </w:t>
      </w:r>
      <w:r>
        <w:t xml:space="preserve">— sections 5, 6, 7, 8</w:t>
      </w:r>
      <w:r>
        <w:t xml:space="preserve"> </w:t>
      </w:r>
      <w:r>
        <w:rPr>
          <w:b/>
          <w:bCs/>
        </w:rPr>
        <w:t xml:space="preserve">USA file:</w:t>
      </w:r>
      <w:r>
        <w:t xml:space="preserve"> </w:t>
      </w:r>
      <w:r>
        <w:rPr>
          <w:rStyle w:val="VerbatimChar"/>
        </w:rPr>
        <w:t xml:space="preserve">ECM AP 10 Ceramic MIT WAB VIEW_US_FCA Muttenz_11 2025.docx</w:t>
      </w:r>
      <w:r>
        <w:t xml:space="preserve"> </w:t>
      </w:r>
      <w:r>
        <w:t xml:space="preserve">— sections 5, 6, 7, 8, 9, 10</w:t>
      </w:r>
    </w:p>
    <w:p>
      <w:pPr>
        <w:pStyle w:val="BodyText"/>
      </w:pPr>
      <w:r>
        <w:t xml:space="preserve">Section numbering shifts in the USA template because two new sections are inserted. The mapping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CHE section</w:t>
            </w:r>
          </w:p>
        </w:tc>
        <w:tc>
          <w:tcPr/>
          <w:p>
            <w:pPr>
              <w:pStyle w:val="Compact"/>
              <w:jc w:val="center"/>
            </w:pPr>
            <w:r>
              <w:t xml:space="preserve">USA section</w:t>
            </w:r>
          </w:p>
        </w:tc>
        <w:tc>
          <w:tcPr/>
          <w:p>
            <w:pPr>
              <w:pStyle w:val="Compact"/>
            </w:pPr>
            <w:r>
              <w:t xml:space="preserve">Title</w:t>
            </w:r>
          </w:p>
        </w:tc>
      </w:tr>
      <w:tr>
        <w:tc>
          <w:tcPr/>
          <w:p>
            <w:pPr>
              <w:pStyle w:val="Compact"/>
              <w:jc w:val="center"/>
            </w:pPr>
            <w:r>
              <w:t xml:space="preserve">5</w:t>
            </w:r>
          </w:p>
        </w:tc>
        <w:tc>
          <w:tcPr/>
          <w:p>
            <w:pPr>
              <w:pStyle w:val="Compact"/>
              <w:jc w:val="center"/>
            </w:pPr>
            <w:r>
              <w:t xml:space="preserve">5</w:t>
            </w:r>
          </w:p>
        </w:tc>
        <w:tc>
          <w:tcPr/>
          <w:p>
            <w:pPr>
              <w:pStyle w:val="Compact"/>
            </w:pPr>
            <w:r>
              <w:t xml:space="preserve">Motor Starter Cabinet</w:t>
            </w:r>
          </w:p>
        </w:tc>
      </w:tr>
      <w:tr>
        <w:tc>
          <w:tcPr/>
          <w:p>
            <w:pPr>
              <w:pStyle w:val="Compact"/>
              <w:jc w:val="center"/>
            </w:pPr>
            <w:r>
              <w:rPr>
                <w:i/>
                <w:iCs/>
              </w:rPr>
              <w:t xml:space="preserve">(none)</w:t>
            </w:r>
          </w:p>
        </w:tc>
        <w:tc>
          <w:tcPr/>
          <w:p>
            <w:pPr>
              <w:pStyle w:val="Compact"/>
              <w:jc w:val="center"/>
            </w:pPr>
            <w:r>
              <w:t xml:space="preserve">6</w:t>
            </w:r>
          </w:p>
        </w:tc>
        <w:tc>
          <w:tcPr/>
          <w:p>
            <w:pPr>
              <w:pStyle w:val="Compact"/>
            </w:pPr>
            <w:r>
              <w:t xml:space="preserve">Grinding Media (new)</w:t>
            </w:r>
          </w:p>
        </w:tc>
      </w:tr>
      <w:tr>
        <w:tc>
          <w:tcPr/>
          <w:p>
            <w:pPr>
              <w:pStyle w:val="Compact"/>
              <w:jc w:val="center"/>
            </w:pPr>
            <w:r>
              <w:rPr>
                <w:i/>
                <w:iCs/>
              </w:rPr>
              <w:t xml:space="preserve">(none)</w:t>
            </w:r>
          </w:p>
        </w:tc>
        <w:tc>
          <w:tcPr/>
          <w:p>
            <w:pPr>
              <w:pStyle w:val="Compact"/>
              <w:jc w:val="center"/>
            </w:pPr>
            <w:r>
              <w:t xml:space="preserve">7</w:t>
            </w:r>
          </w:p>
        </w:tc>
        <w:tc>
          <w:tcPr/>
          <w:p>
            <w:pPr>
              <w:pStyle w:val="Compact"/>
            </w:pPr>
            <w:r>
              <w:t xml:space="preserve">Onsite Services (new)</w:t>
            </w:r>
          </w:p>
        </w:tc>
      </w:tr>
      <w:tr>
        <w:tc>
          <w:tcPr/>
          <w:p>
            <w:pPr>
              <w:pStyle w:val="Compact"/>
              <w:jc w:val="center"/>
            </w:pPr>
            <w:r>
              <w:t xml:space="preserve">6</w:t>
            </w:r>
          </w:p>
        </w:tc>
        <w:tc>
          <w:tcPr/>
          <w:p>
            <w:pPr>
              <w:pStyle w:val="Compact"/>
              <w:jc w:val="center"/>
            </w:pPr>
            <w:r>
              <w:t xml:space="preserve">8</w:t>
            </w:r>
          </w:p>
        </w:tc>
        <w:tc>
          <w:tcPr/>
          <w:p>
            <w:pPr>
              <w:pStyle w:val="Compact"/>
            </w:pPr>
            <w:r>
              <w:t xml:space="preserve">Price Summary</w:t>
            </w:r>
          </w:p>
        </w:tc>
      </w:tr>
      <w:tr>
        <w:tc>
          <w:tcPr/>
          <w:p>
            <w:pPr>
              <w:pStyle w:val="Compact"/>
              <w:jc w:val="center"/>
            </w:pPr>
            <w:r>
              <w:t xml:space="preserve">7</w:t>
            </w:r>
          </w:p>
        </w:tc>
        <w:tc>
          <w:tcPr/>
          <w:p>
            <w:pPr>
              <w:pStyle w:val="Compact"/>
              <w:jc w:val="center"/>
            </w:pPr>
            <w:r>
              <w:t xml:space="preserve">9</w:t>
            </w:r>
          </w:p>
        </w:tc>
        <w:tc>
          <w:tcPr/>
          <w:p>
            <w:pPr>
              <w:pStyle w:val="Compact"/>
            </w:pPr>
            <w:r>
              <w:t xml:space="preserve">Options and Accessories</w:t>
            </w:r>
          </w:p>
        </w:tc>
      </w:tr>
      <w:tr>
        <w:tc>
          <w:tcPr/>
          <w:p>
            <w:pPr>
              <w:pStyle w:val="Compact"/>
              <w:jc w:val="center"/>
            </w:pPr>
            <w:r>
              <w:t xml:space="preserve">8</w:t>
            </w:r>
          </w:p>
        </w:tc>
        <w:tc>
          <w:tcPr/>
          <w:p>
            <w:pPr>
              <w:pStyle w:val="Compact"/>
              <w:jc w:val="center"/>
            </w:pPr>
            <w:r>
              <w:t xml:space="preserve">10</w:t>
            </w:r>
          </w:p>
        </w:tc>
        <w:tc>
          <w:tcPr/>
          <w:p>
            <w:pPr>
              <w:pStyle w:val="Compact"/>
            </w:pPr>
            <w:r>
              <w:t xml:space="preserve">Terms of Delivery</w:t>
            </w:r>
          </w:p>
        </w:tc>
      </w:tr>
    </w:tbl>
    <w:p>
      <w:r>
        <w:pict>
          <v:rect style="width:0;height:1.5pt" o:hralign="center" o:hrstd="t" o:hr="t"/>
        </w:pict>
      </w:r>
    </w:p>
    <w:bookmarkStart w:id="11" w:name="X8d9f9de78f216ee3b322f875194fb84cb5cea16"/>
    <w:p>
      <w:pPr>
        <w:pStyle w:val="Heading2"/>
      </w:pPr>
      <w:r>
        <w:t xml:space="preserve">Section 5 — Motor Starter Cabinet MSC-WAB VIEW</w:t>
      </w:r>
    </w:p>
    <w:p>
      <w:pPr>
        <w:pStyle w:val="FirstParagraph"/>
      </w:pPr>
      <w:r>
        <w:t xml:space="preserve">Both templates use the same section title:</w:t>
      </w:r>
      <w:r>
        <w:t xml:space="preserve"> </w:t>
      </w:r>
      <w:r>
        <w:t xml:space="preserve">“Motor Starter Cabinet MSC-WAB VIEW”</w:t>
      </w:r>
      <w:r>
        <w:t xml:space="preserve">.</w:t>
      </w:r>
    </w:p>
    <w:bookmarkStart w:id="9" w:name="cabinet-specification"/>
    <w:p>
      <w:pPr>
        <w:pStyle w:val="Heading3"/>
      </w:pPr>
      <w:r>
        <w:t xml:space="preserve">5.1 Cabinet Specification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 (ECM AP 10 KERAMIK)</w:t>
            </w:r>
          </w:p>
        </w:tc>
        <w:tc>
          <w:tcPr/>
          <w:p>
            <w:pPr>
              <w:pStyle w:val="Compact"/>
            </w:pPr>
            <w:r>
              <w:t xml:space="preserve">USA (ECM AP 10 Ceramic)</w:t>
            </w:r>
          </w:p>
        </w:tc>
      </w:tr>
      <w:tr>
        <w:tc>
          <w:tcPr/>
          <w:p>
            <w:pPr>
              <w:pStyle w:val="Compact"/>
            </w:pPr>
            <w:r>
              <w:rPr>
                <w:b/>
                <w:bCs/>
              </w:rPr>
              <w:t xml:space="preserve">Important remark:</w:t>
            </w:r>
            <w:r>
              <w:t xml:space="preserve"> </w:t>
            </w:r>
            <w:r>
              <w:t xml:space="preserve">The motor starter cabinet has to be mounted outside of the explosion hazardous area. The motor starter cabinet is delivered without cable connection to the DYNO-MILL and the product pump.</w:t>
            </w:r>
          </w:p>
        </w:tc>
        <w:tc>
          <w:tcPr/>
          <w:p>
            <w:pPr>
              <w:pStyle w:val="Compact"/>
            </w:pPr>
            <w:r>
              <w:t xml:space="preserve">The motor starter cabinet has to be mounted outside of the explosion hazardous area.</w:t>
            </w:r>
          </w:p>
        </w:tc>
      </w:tr>
      <w:tr>
        <w:tc>
          <w:tcPr/>
          <w:p>
            <w:pPr>
              <w:pStyle w:val="Compact"/>
            </w:pPr>
            <w:r>
              <w:rPr>
                <w:b/>
                <w:bCs/>
              </w:rPr>
              <w:t xml:space="preserve">Protection:</w:t>
            </w:r>
            <w:r>
              <w:t xml:space="preserve"> </w:t>
            </w:r>
            <w:r>
              <w:t xml:space="preserve">IP 55 (acc. IEC 60529)</w:t>
            </w:r>
          </w:p>
        </w:tc>
        <w:tc>
          <w:tcPr/>
          <w:p>
            <w:pPr>
              <w:pStyle w:val="Compact"/>
            </w:pPr>
            <w:r>
              <w:rPr>
                <w:i/>
                <w:iCs/>
              </w:rPr>
              <w:t xml:space="preserve">(protection rating removed — no explicit NEMA rating either)</w:t>
            </w:r>
          </w:p>
        </w:tc>
      </w:tr>
      <w:tr>
        <w:tc>
          <w:tcPr/>
          <w:p>
            <w:pPr>
              <w:pStyle w:val="Compact"/>
            </w:pPr>
            <w:r>
              <w:rPr>
                <w:b/>
                <w:bCs/>
              </w:rPr>
              <w:t xml:space="preserve">PLC controller Siemens S7</w:t>
            </w:r>
            <w:r>
              <w:t xml:space="preserve"> </w:t>
            </w:r>
            <w:r>
              <w:t xml:space="preserve">with the necessary in- and output cards and software</w:t>
            </w:r>
          </w:p>
        </w:tc>
        <w:tc>
          <w:tcPr/>
          <w:p>
            <w:pPr>
              <w:pStyle w:val="Compact"/>
            </w:pPr>
            <w:r>
              <w:rPr>
                <w:b/>
                <w:bCs/>
              </w:rPr>
              <w:t xml:space="preserve">PLC controller Siemens S7</w:t>
            </w:r>
            <w:r>
              <w:t xml:space="preserve"> </w:t>
            </w:r>
            <w:r>
              <w:t xml:space="preserve">with the necessary in- and output cards and software</w:t>
            </w:r>
          </w:p>
        </w:tc>
      </w:tr>
      <w:tr>
        <w:tc>
          <w:tcPr/>
          <w:p>
            <w:pPr>
              <w:pStyle w:val="Compact"/>
            </w:pPr>
            <w:r>
              <w:t xml:space="preserve">Inside completely wired for connection to</w:t>
            </w:r>
            <w:r>
              <w:t xml:space="preserve"> </w:t>
            </w:r>
            <w:r>
              <w:rPr>
                <w:b/>
                <w:bCs/>
              </w:rPr>
              <w:t xml:space="preserve">3 x 400 V, 50 Hz</w:t>
            </w:r>
          </w:p>
        </w:tc>
        <w:tc>
          <w:tcPr/>
          <w:p>
            <w:pPr>
              <w:pStyle w:val="Compact"/>
            </w:pPr>
            <w:r>
              <w:t xml:space="preserve">Inside completely wired for connection to</w:t>
            </w:r>
            <w:r>
              <w:t xml:space="preserve"> </w:t>
            </w:r>
            <w:r>
              <w:rPr>
                <w:b/>
                <w:bCs/>
              </w:rPr>
              <w:t xml:space="preserve">3 x 460 V, 60 Hz</w:t>
            </w:r>
          </w:p>
        </w:tc>
      </w:tr>
      <w:tr>
        <w:tc>
          <w:tcPr/>
          <w:p>
            <w:pPr>
              <w:pStyle w:val="Compact"/>
            </w:pPr>
            <w:r>
              <w:t xml:space="preserve">Prefuses</w:t>
            </w:r>
          </w:p>
        </w:tc>
        <w:tc>
          <w:tcPr/>
          <w:p>
            <w:pPr>
              <w:pStyle w:val="Compact"/>
            </w:pPr>
            <w:r>
              <w:t xml:space="preserve">Prefuses</w:t>
            </w:r>
          </w:p>
        </w:tc>
      </w:tr>
      <w:tr>
        <w:tc>
          <w:tcPr/>
          <w:p>
            <w:pPr>
              <w:pStyle w:val="Compact"/>
            </w:pPr>
            <w:r>
              <w:rPr>
                <w:b/>
                <w:bCs/>
              </w:rPr>
              <w:t xml:space="preserve">Transformer 400/230V for power supply of the mill control with 230 VAC / 24 VDC</w:t>
            </w:r>
          </w:p>
        </w:tc>
        <w:tc>
          <w:tcPr/>
          <w:p>
            <w:pPr>
              <w:pStyle w:val="Compact"/>
            </w:pPr>
            <w:r>
              <w:rPr>
                <w:b/>
                <w:bCs/>
              </w:rPr>
              <w:t xml:space="preserve">24 V DC power supply</w:t>
            </w:r>
            <w:r>
              <w:t xml:space="preserve"> </w:t>
            </w:r>
            <w:r>
              <w:t xml:space="preserve">for control voltage</w:t>
            </w:r>
          </w:p>
        </w:tc>
      </w:tr>
      <w:tr>
        <w:tc>
          <w:tcPr/>
          <w:p>
            <w:pPr>
              <w:pStyle w:val="Compact"/>
            </w:pPr>
            <w:r>
              <w:t xml:space="preserve">Main switch</w:t>
            </w:r>
          </w:p>
        </w:tc>
        <w:tc>
          <w:tcPr/>
          <w:p>
            <w:pPr>
              <w:pStyle w:val="Compact"/>
            </w:pPr>
            <w:r>
              <w:t xml:space="preserve">Main switch</w:t>
            </w:r>
          </w:p>
        </w:tc>
      </w:tr>
      <w:tr>
        <w:tc>
          <w:tcPr/>
          <w:p>
            <w:pPr>
              <w:pStyle w:val="Compact"/>
            </w:pPr>
            <w:r>
              <w:t xml:space="preserve">Contactor for the mill motor</w:t>
            </w:r>
          </w:p>
        </w:tc>
        <w:tc>
          <w:tcPr/>
          <w:p>
            <w:pPr>
              <w:pStyle w:val="Compact"/>
            </w:pPr>
            <w:r>
              <w:t xml:space="preserve">Contactor for the mill motor</w:t>
            </w:r>
          </w:p>
        </w:tc>
      </w:tr>
      <w:tr>
        <w:tc>
          <w:tcPr/>
          <w:p>
            <w:pPr>
              <w:pStyle w:val="Compact"/>
            </w:pPr>
            <w:r>
              <w:t xml:space="preserve">Contactor for the product pump solenoid valve</w:t>
            </w:r>
          </w:p>
        </w:tc>
        <w:tc>
          <w:tcPr/>
          <w:p>
            <w:pPr>
              <w:pStyle w:val="Compact"/>
            </w:pPr>
            <w:r>
              <w:t xml:space="preserve">Contactor for the product pump solenoid valve</w:t>
            </w:r>
          </w:p>
        </w:tc>
      </w:tr>
      <w:tr>
        <w:tc>
          <w:tcPr/>
          <w:p>
            <w:pPr>
              <w:pStyle w:val="Compact"/>
            </w:pPr>
            <w:r>
              <w:t xml:space="preserve">Contactor for the rinsing liquid pump motor</w:t>
            </w:r>
          </w:p>
        </w:tc>
        <w:tc>
          <w:tcPr/>
          <w:p>
            <w:pPr>
              <w:pStyle w:val="Compact"/>
            </w:pPr>
            <w:r>
              <w:t xml:space="preserve">Contactor for the rinsing liquid pump motor</w:t>
            </w:r>
          </w:p>
        </w:tc>
      </w:tr>
      <w:tr>
        <w:tc>
          <w:tcPr/>
          <w:p>
            <w:pPr>
              <w:pStyle w:val="Compact"/>
            </w:pPr>
            <w:r>
              <w:t xml:space="preserve">Frequency converter for the mill motor</w:t>
            </w:r>
          </w:p>
        </w:tc>
        <w:tc>
          <w:tcPr/>
          <w:p>
            <w:pPr>
              <w:pStyle w:val="Compact"/>
            </w:pPr>
            <w:r>
              <w:t xml:space="preserve">Frequency converter for the mill motor</w:t>
            </w:r>
          </w:p>
        </w:tc>
      </w:tr>
      <w:tr>
        <w:tc>
          <w:tcPr/>
          <w:p>
            <w:pPr>
              <w:pStyle w:val="Compact"/>
            </w:pPr>
            <w:r>
              <w:t xml:space="preserve">Relays for safety and control instruments</w:t>
            </w:r>
          </w:p>
        </w:tc>
        <w:tc>
          <w:tcPr/>
          <w:p>
            <w:pPr>
              <w:pStyle w:val="Compact"/>
            </w:pPr>
            <w:r>
              <w:t xml:space="preserve">Relays for safety and control instruments</w:t>
            </w:r>
          </w:p>
        </w:tc>
      </w:tr>
      <w:tr>
        <w:tc>
          <w:tcPr/>
          <w:p>
            <w:pPr>
              <w:pStyle w:val="Compact"/>
            </w:pPr>
            <w:r>
              <w:t xml:space="preserve">Ethernet port</w:t>
            </w:r>
          </w:p>
        </w:tc>
        <w:tc>
          <w:tcPr/>
          <w:p>
            <w:pPr>
              <w:pStyle w:val="Compact"/>
            </w:pPr>
            <w:r>
              <w:t xml:space="preserve">Ethernet port</w:t>
            </w:r>
          </w:p>
        </w:tc>
      </w:tr>
      <w:tr>
        <w:tc>
          <w:tcPr/>
          <w:p>
            <w:pPr>
              <w:pStyle w:val="Compact"/>
            </w:pPr>
            <w:r>
              <w:t xml:space="preserve">Housing of painted sheet steel (grey)</w:t>
            </w:r>
          </w:p>
        </w:tc>
        <w:tc>
          <w:tcPr/>
          <w:p>
            <w:pPr>
              <w:pStyle w:val="Compact"/>
            </w:pPr>
            <w:r>
              <w:t xml:space="preserve">Housing of painted sheet steel (grey)</w:t>
            </w:r>
          </w:p>
        </w:tc>
      </w:tr>
      <w:tr>
        <w:tc>
          <w:tcPr/>
          <w:p>
            <w:pPr>
              <w:pStyle w:val="Compact"/>
            </w:pPr>
            <w:r>
              <w:rPr>
                <w:i/>
                <w:iCs/>
              </w:rPr>
              <w:t xml:space="preserve">(cable note at top)</w:t>
            </w:r>
          </w:p>
        </w:tc>
        <w:tc>
          <w:tcPr/>
          <w:p>
            <w:pPr>
              <w:pStyle w:val="Compact"/>
            </w:pPr>
            <w:r>
              <w:t xml:space="preserve">The motor starter cabinet is delivered without cable connection to the DYNO-MILL and the product pump.</w:t>
            </w:r>
            <w:r>
              <w:t xml:space="preserve"> </w:t>
            </w:r>
            <w:r>
              <w:rPr>
                <w:i/>
                <w:iCs/>
              </w:rPr>
              <w:t xml:space="preserve">(moved to bottom)</w:t>
            </w:r>
          </w:p>
        </w:tc>
      </w:tr>
    </w:tbl>
    <w:p>
      <w:pPr>
        <w:pStyle w:val="BodyText"/>
      </w:pPr>
      <w:r>
        <w:rPr>
          <w:b/>
          <w:bCs/>
        </w:rPr>
        <w:t xml:space="preserve">Difference: Modest</w:t>
      </w:r>
      <w:r>
        <w:t xml:space="preserve"> </w:t>
      </w:r>
      <w:r>
        <w:t xml:space="preserve">— Compared to UBM, the ECM cabinet changes are less dramatic:</w:t>
      </w:r>
      <w:r>
        <w:t xml:space="preserve"> </w:t>
      </w:r>
      <w:r>
        <w:t xml:space="preserve">- Voltage/frequency changed (400V/50Hz→460V/60Hz).</w:t>
      </w:r>
      <w:r>
        <w:t xml:space="preserve"> </w:t>
      </w:r>
      <w:r>
        <w:t xml:space="preserve">- IP 55 protection removed but no NEMA rating added (unlike UBM which added NEMA 12).</w:t>
      </w:r>
      <w:r>
        <w:t xml:space="preserve"> </w:t>
      </w:r>
      <w:r>
        <w:t xml:space="preserve">- Transformer replaced by 24V DC power supply (same as UBM).</w:t>
      </w:r>
      <w:r>
        <w:t xml:space="preserve"> </w:t>
      </w:r>
      <w:r>
        <w:t xml:space="preserve">-</w:t>
      </w:r>
      <w:r>
        <w:t xml:space="preserve"> </w:t>
      </w:r>
      <w:r>
        <w:t xml:space="preserve">“Important remark”</w:t>
      </w:r>
      <w:r>
        <w:t xml:space="preserve"> </w:t>
      </w:r>
      <w:r>
        <w:t xml:space="preserve">label removed; cable-connection note moved to bottom.</w:t>
      </w:r>
      <w:r>
        <w:t xml:space="preserve"> </w:t>
      </w:r>
      <w:r>
        <w:t xml:space="preserve">- PLC (Siemens S7), all contactors, Ethernet port, and housing description remain unchanged.</w:t>
      </w:r>
      <w:r>
        <w:t xml:space="preserve"> </w:t>
      </w:r>
      <w:r>
        <w:t xml:space="preserve">- No automation vendor line added (unlike UBM which added</w:t>
      </w:r>
      <w:r>
        <w:t xml:space="preserve"> </w:t>
      </w:r>
      <w:r>
        <w:t xml:space="preserve">“Siemens / Allen Bradley automation, or similar per vendor”</w:t>
      </w:r>
      <w:r>
        <w:t xml:space="preserve">).</w:t>
      </w:r>
    </w:p>
    <w:p>
      <w:pPr>
        <w:pStyle w:val="BodyText"/>
      </w:pPr>
      <w:r>
        <w:t xml:space="preserve">ECM retains more of the CHE cabinet spec because it uses a PLC-based WAB VIEW control system vs UBM’s simpler WAB BASIC setup.</w:t>
      </w:r>
    </w:p>
    <w:p>
      <w:r>
        <w:pict>
          <v:rect style="width:0;height:1.5pt" o:hralign="center" o:hrstd="t" o:hr="t"/>
        </w:pict>
      </w:r>
    </w:p>
    <w:bookmarkEnd w:id="9"/>
    <w:bookmarkStart w:id="10" w:name="price-motor-starter-cabinet"/>
    <w:p>
      <w:pPr>
        <w:pStyle w:val="Heading3"/>
      </w:pPr>
      <w:r>
        <w:t xml:space="preserve">5.2 Price — Motor Starter Cabinet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 (ECM AP 10 KERAMIK)</w:t>
            </w:r>
          </w:p>
        </w:tc>
        <w:tc>
          <w:tcPr/>
          <w:p>
            <w:pPr>
              <w:pStyle w:val="Compact"/>
            </w:pPr>
            <w:r>
              <w:t xml:space="preserve">USA (ECM AP 10 Ceramic)</w:t>
            </w:r>
          </w:p>
        </w:tc>
      </w:tr>
      <w:tr>
        <w:tc>
          <w:tcPr/>
          <w:p>
            <w:pPr>
              <w:pStyle w:val="Compact"/>
            </w:pPr>
            <w:r>
              <w:t xml:space="preserve">Price Motor Starter Cabinet:</w:t>
            </w:r>
            <w:r>
              <w:t xml:space="preserve"> </w:t>
            </w:r>
            <w:r>
              <w:rPr>
                <w:b/>
                <w:bCs/>
              </w:rPr>
              <w:t xml:space="preserve">CHF 41’490.00</w:t>
            </w:r>
          </w:p>
        </w:tc>
        <w:tc>
          <w:tcPr/>
          <w:p>
            <w:pPr>
              <w:pStyle w:val="Compact"/>
            </w:pPr>
            <w:r>
              <w:t xml:space="preserve">Price Motor Starter Cabinet:</w:t>
            </w:r>
            <w:r>
              <w:t xml:space="preserve"> </w:t>
            </w:r>
            <w:r>
              <w:rPr>
                <w:b/>
                <w:bCs/>
              </w:rPr>
              <w:t xml:space="preserve">USD 70,284.00</w:t>
            </w:r>
          </w:p>
        </w:tc>
      </w:tr>
    </w:tbl>
    <w:p>
      <w:pPr>
        <w:pStyle w:val="BodyText"/>
      </w:pPr>
      <w:r>
        <w:rPr>
          <w:b/>
          <w:bCs/>
        </w:rPr>
        <w:t xml:space="preserve">Difference: Major</w:t>
      </w:r>
      <w:r>
        <w:t xml:space="preserve"> </w:t>
      </w:r>
      <w:r>
        <w:t xml:space="preserve">— Currency CHF→USD. Factor: 70,284 / 41,490 ≈</w:t>
      </w:r>
      <w:r>
        <w:t xml:space="preserve"> </w:t>
      </w:r>
      <w:r>
        <w:rPr>
          <w:b/>
          <w:bCs/>
        </w:rPr>
        <w:t xml:space="preserve">1.694×</w:t>
      </w:r>
      <w:r>
        <w:t xml:space="preserve"> </w:t>
      </w:r>
      <w:r>
        <w:t xml:space="preserve">(matches UBM factor exactly).</w:t>
      </w:r>
    </w:p>
    <w:p>
      <w:r>
        <w:pict>
          <v:rect style="width:0;height:1.5pt" o:hralign="center" o:hrstd="t" o:hr="t"/>
        </w:pict>
      </w:r>
    </w:p>
    <w:bookmarkEnd w:id="10"/>
    <w:bookmarkEnd w:id="11"/>
    <w:bookmarkStart w:id="12" w:name="section-6-grinding-media-usa-only"/>
    <w:p>
      <w:pPr>
        <w:pStyle w:val="Heading2"/>
      </w:pPr>
      <w:r>
        <w:t xml:space="preserve">Section 6 — Grinding Media (USA only)</w:t>
      </w:r>
    </w:p>
    <w:p>
      <w:pPr>
        <w:pStyle w:val="FirstParagraph"/>
      </w:pPr>
      <w:r>
        <w:t xml:space="preserve">This section does not exist in the CHE template. Content is identical to UBM USA section 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 (ECM AP 10 KERAMIK)</w:t>
            </w:r>
          </w:p>
        </w:tc>
        <w:tc>
          <w:tcPr/>
          <w:p>
            <w:pPr>
              <w:pStyle w:val="Compact"/>
            </w:pPr>
            <w:r>
              <w:t xml:space="preserve">USA (ECM AP 10 Ceramic)</w:t>
            </w:r>
          </w:p>
        </w:tc>
      </w:tr>
      <w:tr>
        <w:tc>
          <w:tcPr/>
          <w:p>
            <w:pPr>
              <w:pStyle w:val="Compact"/>
            </w:pPr>
            <w:r>
              <w:rPr>
                <w:i/>
                <w:iCs/>
              </w:rPr>
              <w:t xml:space="preserve">(section does not exist)</w:t>
            </w:r>
          </w:p>
        </w:tc>
        <w:tc>
          <w:tcPr/>
          <w:p>
            <w:pPr>
              <w:pStyle w:val="Compact"/>
            </w:pPr>
            <w:r>
              <w:rPr>
                <w:b/>
                <w:bCs/>
              </w:rPr>
              <w:t xml:space="preserve">6 – Grinding Media</w:t>
            </w:r>
          </w:p>
        </w:tc>
      </w:tr>
      <w:tr>
        <w:tc>
          <w:tcPr/>
          <w:p>
            <w:pPr>
              <w:pStyle w:val="Compact"/>
            </w:pPr>
          </w:p>
        </w:tc>
        <w:tc>
          <w:tcPr/>
          <w:p>
            <w:pPr>
              <w:pStyle w:val="Compact"/>
            </w:pPr>
            <w:r>
              <w:t xml:space="preserve">1× High strength and wear resistant yttria-stabilized zirconia beads, for fine grinding applications with controlled particle size reduction — 0.6 mm Zirmil Y, quantity 60 kg (screen 0.25 mm)</w:t>
            </w:r>
          </w:p>
        </w:tc>
      </w:tr>
      <w:tr>
        <w:tc>
          <w:tcPr/>
          <w:p>
            <w:pPr>
              <w:pStyle w:val="Compact"/>
            </w:pPr>
          </w:p>
        </w:tc>
        <w:tc>
          <w:tcPr/>
          <w:p>
            <w:pPr>
              <w:pStyle w:val="Compact"/>
            </w:pPr>
            <w:r>
              <w:t xml:space="preserve">Price Grinding Media: USD x,xxx.00</w:t>
            </w:r>
            <w:r>
              <w:t xml:space="preserve"> </w:t>
            </w:r>
            <w:r>
              <w:rPr>
                <w:i/>
                <w:iCs/>
              </w:rPr>
              <w:t xml:space="preserve">(placeholder)</w:t>
            </w:r>
          </w:p>
        </w:tc>
      </w:tr>
    </w:tbl>
    <w:p>
      <w:pPr>
        <w:pStyle w:val="BodyText"/>
      </w:pPr>
      <w:r>
        <w:rPr>
          <w:b/>
          <w:bCs/>
        </w:rPr>
        <w:t xml:space="preserve">Difference: Major (new section)</w:t>
      </w:r>
      <w:r>
        <w:t xml:space="preserve"> </w:t>
      </w:r>
      <w:r>
        <w:t xml:space="preserve">— Identical to UBM. Suggests this section is product-line-independent (same media specs for both UBM and ECM).</w:t>
      </w:r>
    </w:p>
    <w:p>
      <w:r>
        <w:pict>
          <v:rect style="width:0;height:1.5pt" o:hralign="center" o:hrstd="t" o:hr="t"/>
        </w:pict>
      </w:r>
    </w:p>
    <w:bookmarkEnd w:id="12"/>
    <w:bookmarkStart w:id="13" w:name="section-7-onsite-services-usa-only"/>
    <w:p>
      <w:pPr>
        <w:pStyle w:val="Heading2"/>
      </w:pPr>
      <w:r>
        <w:t xml:space="preserve">Section 7 — Onsite Services (USA only)</w:t>
      </w:r>
    </w:p>
    <w:p>
      <w:pPr>
        <w:pStyle w:val="FirstParagraph"/>
      </w:pPr>
      <w:r>
        <w:t xml:space="preserve">This section does not exist in the CHE template. Content is identical to UBM USA section 7.</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 (ECM AP 10 KERAMIK)</w:t>
            </w:r>
          </w:p>
        </w:tc>
        <w:tc>
          <w:tcPr/>
          <w:p>
            <w:pPr>
              <w:pStyle w:val="Compact"/>
            </w:pPr>
            <w:r>
              <w:t xml:space="preserve">USA (ECM AP 10 Ceramic)</w:t>
            </w:r>
          </w:p>
        </w:tc>
      </w:tr>
      <w:tr>
        <w:tc>
          <w:tcPr/>
          <w:p>
            <w:pPr>
              <w:pStyle w:val="Compact"/>
            </w:pPr>
            <w:r>
              <w:rPr>
                <w:i/>
                <w:iCs/>
              </w:rPr>
              <w:t xml:space="preserve">(section does not exist)</w:t>
            </w:r>
          </w:p>
        </w:tc>
        <w:tc>
          <w:tcPr/>
          <w:p>
            <w:pPr>
              <w:pStyle w:val="Compact"/>
            </w:pPr>
            <w:r>
              <w:rPr>
                <w:b/>
                <w:bCs/>
              </w:rPr>
              <w:t xml:space="preserve">7 – Onsite Services</w:t>
            </w:r>
          </w:p>
        </w:tc>
      </w:tr>
      <w:tr>
        <w:tc>
          <w:tcPr/>
          <w:p>
            <w:pPr>
              <w:pStyle w:val="Compact"/>
            </w:pPr>
          </w:p>
        </w:tc>
        <w:tc>
          <w:tcPr/>
          <w:p>
            <w:pPr>
              <w:pStyle w:val="Compact"/>
            </w:pPr>
            <w:r>
              <w:t xml:space="preserve">1× Two-day onsite startup and commissioning service, including:</w:t>
            </w:r>
          </w:p>
        </w:tc>
      </w:tr>
      <w:tr>
        <w:tc>
          <w:tcPr/>
          <w:p>
            <w:pPr>
              <w:pStyle w:val="Compact"/>
            </w:pPr>
          </w:p>
        </w:tc>
        <w:tc>
          <w:tcPr/>
          <w:p>
            <w:pPr>
              <w:pStyle w:val="Compact"/>
            </w:pPr>
            <w:r>
              <w:t xml:space="preserve">- Startup &amp; commissioning (1 day) – no charge</w:t>
            </w:r>
          </w:p>
        </w:tc>
      </w:tr>
      <w:tr>
        <w:tc>
          <w:tcPr/>
          <w:p>
            <w:pPr>
              <w:pStyle w:val="Compact"/>
            </w:pPr>
          </w:p>
        </w:tc>
        <w:tc>
          <w:tcPr/>
          <w:p>
            <w:pPr>
              <w:pStyle w:val="Compact"/>
            </w:pPr>
            <w:r>
              <w:t xml:space="preserve">- Operational &amp; maintenance training (1 day) – no charge</w:t>
            </w:r>
          </w:p>
        </w:tc>
      </w:tr>
      <w:tr>
        <w:tc>
          <w:tcPr/>
          <w:p>
            <w:pPr>
              <w:pStyle w:val="Compact"/>
            </w:pPr>
          </w:p>
        </w:tc>
        <w:tc>
          <w:tcPr/>
          <w:p>
            <w:pPr>
              <w:pStyle w:val="Compact"/>
            </w:pPr>
            <w:r>
              <w:t xml:space="preserve">With charge:</w:t>
            </w:r>
          </w:p>
        </w:tc>
      </w:tr>
      <w:tr>
        <w:tc>
          <w:tcPr/>
          <w:p>
            <w:pPr>
              <w:pStyle w:val="Compact"/>
            </w:pPr>
          </w:p>
        </w:tc>
        <w:tc>
          <w:tcPr/>
          <w:p>
            <w:pPr>
              <w:pStyle w:val="Compact"/>
            </w:pPr>
            <w:r>
              <w:t xml:space="preserve">- Roundtrip travel time from Allendale, NJ to City, State</w:t>
            </w:r>
          </w:p>
        </w:tc>
      </w:tr>
      <w:tr>
        <w:tc>
          <w:tcPr/>
          <w:p>
            <w:pPr>
              <w:pStyle w:val="Compact"/>
            </w:pPr>
          </w:p>
        </w:tc>
        <w:tc>
          <w:tcPr/>
          <w:p>
            <w:pPr>
              <w:pStyle w:val="Compact"/>
            </w:pPr>
            <w:r>
              <w:t xml:space="preserve">- Travel expenses, per diem, transportation &amp; accommodation</w:t>
            </w:r>
          </w:p>
        </w:tc>
      </w:tr>
      <w:tr>
        <w:tc>
          <w:tcPr/>
          <w:p>
            <w:pPr>
              <w:pStyle w:val="Compact"/>
            </w:pPr>
          </w:p>
        </w:tc>
        <w:tc>
          <w:tcPr/>
          <w:p>
            <w:pPr>
              <w:pStyle w:val="Compact"/>
            </w:pPr>
            <w:r>
              <w:t xml:space="preserve">Price Onsite Services (</w:t>
            </w:r>
            <w:r>
              <w:rPr>
                <w:i/>
                <w:iCs/>
              </w:rPr>
              <w:t xml:space="preserve">): USD x,xxx.00</w:t>
            </w:r>
            <w:r>
              <w:rPr>
                <w:i/>
                <w:iCs/>
              </w:rPr>
              <w:t xml:space="preserve"> </w:t>
            </w:r>
            <w:r>
              <w:t xml:space="preserve">(placeholder)*</w:t>
            </w:r>
          </w:p>
        </w:tc>
      </w:tr>
      <w:tr>
        <w:tc>
          <w:tcPr/>
          <w:p>
            <w:pPr>
              <w:pStyle w:val="Compact"/>
            </w:pPr>
          </w:p>
        </w:tc>
        <w:tc>
          <w:tcPr/>
          <w:p>
            <w:pPr>
              <w:pStyle w:val="Compact"/>
            </w:pPr>
            <w:r>
              <w:t xml:space="preserve">(*) Please confirm dates with WAB at least 2 weeks prior to execution of site visit</w:t>
            </w:r>
          </w:p>
        </w:tc>
      </w:tr>
    </w:tbl>
    <w:p>
      <w:pPr>
        <w:pStyle w:val="BodyText"/>
      </w:pPr>
      <w:r>
        <w:rPr>
          <w:b/>
          <w:bCs/>
        </w:rPr>
        <w:t xml:space="preserve">Difference: Major (new section)</w:t>
      </w:r>
      <w:r>
        <w:t xml:space="preserve"> </w:t>
      </w:r>
      <w:r>
        <w:t xml:space="preserve">— Identical to UBM. This section is product-line-independent.</w:t>
      </w:r>
    </w:p>
    <w:p>
      <w:r>
        <w:pict>
          <v:rect style="width:0;height:1.5pt" o:hralign="center" o:hrstd="t" o:hr="t"/>
        </w:pict>
      </w:r>
    </w:p>
    <w:bookmarkEnd w:id="13"/>
    <w:bookmarkStart w:id="17" w:name="Xb4a28aacb7eb494f41115702b221490444876f2"/>
    <w:p>
      <w:pPr>
        <w:pStyle w:val="Heading2"/>
      </w:pPr>
      <w:r>
        <w:t xml:space="preserve">Price Summary — CHE section 6 vs USA section 8</w:t>
      </w:r>
    </w:p>
    <w:p>
      <w:pPr>
        <w:pStyle w:val="FirstParagraph"/>
      </w:pPr>
      <w:r>
        <w:t xml:space="preserve">ECM has two material execution variants (zirconium oxide and silicon carbide), so the Price Summary has two separate tables.</w:t>
      </w:r>
    </w:p>
    <w:bookmarkStart w:id="14" w:name="execution-zirconium-oxide"/>
    <w:p>
      <w:pPr>
        <w:pStyle w:val="Heading3"/>
      </w:pPr>
      <w:r>
        <w:t xml:space="preserve">6.1 Execution Zirconium Oxide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 Section 6 (ECM AP 10 KERAMIK)</w:t>
            </w:r>
          </w:p>
        </w:tc>
        <w:tc>
          <w:tcPr/>
          <w:p>
            <w:pPr>
              <w:pStyle w:val="Compact"/>
            </w:pPr>
            <w:r>
              <w:t xml:space="preserve">USA Section 8 (ECM AP 10 Ceramic)</w:t>
            </w:r>
          </w:p>
        </w:tc>
      </w:tr>
      <w:tr>
        <w:tc>
          <w:tcPr/>
          <w:p>
            <w:pPr>
              <w:pStyle w:val="Compact"/>
            </w:pPr>
            <w:r>
              <w:t xml:space="preserve">3 – Machine Execution: CHF 242’730.00</w:t>
            </w:r>
          </w:p>
        </w:tc>
        <w:tc>
          <w:tcPr/>
          <w:p>
            <w:pPr>
              <w:pStyle w:val="Compact"/>
            </w:pPr>
            <w:r>
              <w:t xml:space="preserve">3 – Machine Execution: USD 404,324.00</w:t>
            </w:r>
          </w:p>
        </w:tc>
      </w:tr>
      <w:tr>
        <w:tc>
          <w:tcPr/>
          <w:p>
            <w:pPr>
              <w:pStyle w:val="Compact"/>
            </w:pPr>
            <w:r>
              <w:t xml:space="preserve">4 – Product Pump: CHF 11’066.00</w:t>
            </w:r>
          </w:p>
        </w:tc>
        <w:tc>
          <w:tcPr/>
          <w:p>
            <w:pPr>
              <w:pStyle w:val="Compact"/>
            </w:pPr>
            <w:r>
              <w:t xml:space="preserve">4 – Product Pump: USD 18,746.00</w:t>
            </w:r>
          </w:p>
        </w:tc>
      </w:tr>
      <w:tr>
        <w:tc>
          <w:tcPr/>
          <w:p>
            <w:pPr>
              <w:pStyle w:val="Compact"/>
            </w:pPr>
            <w:r>
              <w:t xml:space="preserve">5 – Motor Starter Cabinet: CHF 41’490.00</w:t>
            </w:r>
          </w:p>
        </w:tc>
        <w:tc>
          <w:tcPr/>
          <w:p>
            <w:pPr>
              <w:pStyle w:val="Compact"/>
            </w:pPr>
            <w:r>
              <w:t xml:space="preserve">5 – Motor Starter Cabinet: USD 70,284.00</w:t>
            </w:r>
          </w:p>
        </w:tc>
      </w:tr>
      <w:tr>
        <w:tc>
          <w:tcPr/>
          <w:p>
            <w:pPr>
              <w:pStyle w:val="Compact"/>
            </w:pPr>
            <w:r>
              <w:rPr>
                <w:b/>
                <w:bCs/>
              </w:rPr>
              <w:t xml:space="preserve">Price for 1 DYNO-MILL ECM-AP 10: CHF 295’286.00</w:t>
            </w:r>
          </w:p>
        </w:tc>
        <w:tc>
          <w:tcPr/>
          <w:p>
            <w:pPr>
              <w:pStyle w:val="Compact"/>
            </w:pPr>
            <w:r>
              <w:rPr>
                <w:b/>
                <w:bCs/>
              </w:rPr>
              <w:t xml:space="preserve">Price for 1 DYNO-MILL ECM-AP 10: USD 493,354.00</w:t>
            </w:r>
          </w:p>
        </w:tc>
      </w:tr>
      <w:tr>
        <w:tc>
          <w:tcPr/>
          <w:p>
            <w:pPr>
              <w:pStyle w:val="Compact"/>
            </w:pPr>
            <w:r>
              <w:t xml:space="preserve">Packing, incl. wooden case: CHF 1’650.00</w:t>
            </w:r>
          </w:p>
        </w:tc>
        <w:tc>
          <w:tcPr/>
          <w:p>
            <w:pPr>
              <w:pStyle w:val="Compact"/>
            </w:pPr>
            <w:r>
              <w:t xml:space="preserve">Packing, incl. wooden case: USD 2,145.00</w:t>
            </w:r>
          </w:p>
        </w:tc>
      </w:tr>
      <w:tr>
        <w:tc>
          <w:tcPr/>
          <w:p>
            <w:pPr>
              <w:pStyle w:val="Compact"/>
            </w:pPr>
            <w:r>
              <w:rPr>
                <w:i/>
                <w:iCs/>
              </w:rPr>
              <w:t xml:space="preserve">(not present)</w:t>
            </w:r>
          </w:p>
        </w:tc>
        <w:tc>
          <w:tcPr/>
          <w:p>
            <w:pPr>
              <w:pStyle w:val="Compact"/>
            </w:pPr>
            <w:r>
              <w:rPr>
                <w:b/>
                <w:bCs/>
              </w:rPr>
              <w:t xml:space="preserve">Transportation from Muttenz: USD</w:t>
            </w:r>
            <w:r>
              <w:rPr>
                <w:b/>
                <w:bCs/>
              </w:rPr>
              <w:t xml:space="preserve"> </w:t>
            </w:r>
            <w:r>
              <w:rPr>
                <w:b/>
                <w:bCs/>
                <w:i/>
                <w:iCs/>
              </w:rPr>
              <w:t xml:space="preserve">(blank)</w:t>
            </w:r>
          </w:p>
        </w:tc>
      </w:tr>
      <w:tr>
        <w:tc>
          <w:tcPr/>
          <w:p>
            <w:pPr>
              <w:pStyle w:val="Compact"/>
            </w:pPr>
            <w:r>
              <w:rPr>
                <w:i/>
                <w:iCs/>
              </w:rPr>
              <w:t xml:space="preserve">(not present)</w:t>
            </w:r>
          </w:p>
        </w:tc>
        <w:tc>
          <w:tcPr/>
          <w:p>
            <w:pPr>
              <w:pStyle w:val="Compact"/>
            </w:pPr>
            <w:r>
              <w:rPr>
                <w:b/>
                <w:bCs/>
              </w:rPr>
              <w:t xml:space="preserve">6 – Grinding Media: USD x,xxx.00</w:t>
            </w:r>
          </w:p>
        </w:tc>
      </w:tr>
      <w:tr>
        <w:tc>
          <w:tcPr/>
          <w:p>
            <w:pPr>
              <w:pStyle w:val="Compact"/>
            </w:pPr>
            <w:r>
              <w:rPr>
                <w:i/>
                <w:iCs/>
              </w:rPr>
              <w:t xml:space="preserve">(not present)</w:t>
            </w:r>
          </w:p>
        </w:tc>
        <w:tc>
          <w:tcPr/>
          <w:p>
            <w:pPr>
              <w:pStyle w:val="Compact"/>
            </w:pPr>
            <w:r>
              <w:rPr>
                <w:b/>
                <w:bCs/>
              </w:rPr>
              <w:t xml:space="preserve">7 – Onsite Services: USD x,xxx.00</w:t>
            </w:r>
          </w:p>
        </w:tc>
      </w:tr>
      <w:tr>
        <w:tc>
          <w:tcPr/>
          <w:p>
            <w:pPr>
              <w:pStyle w:val="Compact"/>
            </w:pPr>
            <w:r>
              <w:rPr>
                <w:i/>
                <w:iCs/>
              </w:rPr>
              <w:t xml:space="preserve">(not present)</w:t>
            </w:r>
          </w:p>
        </w:tc>
        <w:tc>
          <w:tcPr/>
          <w:p>
            <w:pPr>
              <w:pStyle w:val="Compact"/>
            </w:pPr>
            <w:r>
              <w:rPr>
                <w:b/>
                <w:bCs/>
              </w:rPr>
              <w:t xml:space="preserve">9 – Options and Accessories: USD x,xxx.00</w:t>
            </w:r>
          </w:p>
        </w:tc>
      </w:tr>
      <w:tr>
        <w:tc>
          <w:tcPr/>
          <w:p>
            <w:pPr>
              <w:pStyle w:val="Compact"/>
            </w:pPr>
            <w:r>
              <w:rPr>
                <w:b/>
                <w:bCs/>
              </w:rPr>
              <w:t xml:space="preserve">TOTAL PRICE, FCA Muttenz, packed: CHF 296’936.00</w:t>
            </w:r>
          </w:p>
        </w:tc>
        <w:tc>
          <w:tcPr/>
          <w:p>
            <w:pPr>
              <w:pStyle w:val="Compact"/>
            </w:pPr>
            <w:r>
              <w:rPr>
                <w:b/>
                <w:bCs/>
              </w:rPr>
              <w:t xml:space="preserve">TOTAL PRICE, FCA Muttenz, packed: USD x,xxx.00</w:t>
            </w:r>
          </w:p>
        </w:tc>
      </w:tr>
      <w:tr>
        <w:tc>
          <w:tcPr/>
          <w:p>
            <w:pPr>
              <w:pStyle w:val="Compact"/>
            </w:pPr>
            <w:r>
              <w:rPr>
                <w:i/>
                <w:iCs/>
              </w:rPr>
              <w:t xml:space="preserve">(not present)</w:t>
            </w:r>
          </w:p>
        </w:tc>
        <w:tc>
          <w:tcPr/>
          <w:p>
            <w:pPr>
              <w:pStyle w:val="Compact"/>
            </w:pPr>
            <w:r>
              <w:t xml:space="preserve">**(*) Sales tax may apply, please provide tax exempt certificate if applicable**</w:t>
            </w:r>
          </w:p>
        </w:tc>
      </w:tr>
    </w:tbl>
    <w:bookmarkEnd w:id="14"/>
    <w:bookmarkStart w:id="15" w:name="execution-silicon-carbide"/>
    <w:p>
      <w:pPr>
        <w:pStyle w:val="Heading3"/>
      </w:pPr>
      <w:r>
        <w:t xml:space="preserve">6.2 Execution Silicon Carbide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 Section 6 (ECM AP 10 KERAMIK)</w:t>
            </w:r>
          </w:p>
        </w:tc>
        <w:tc>
          <w:tcPr/>
          <w:p>
            <w:pPr>
              <w:pStyle w:val="Compact"/>
            </w:pPr>
            <w:r>
              <w:t xml:space="preserve">USA Section 8 (ECM AP 10 Ceramic)</w:t>
            </w:r>
          </w:p>
        </w:tc>
      </w:tr>
      <w:tr>
        <w:tc>
          <w:tcPr/>
          <w:p>
            <w:pPr>
              <w:pStyle w:val="Compact"/>
            </w:pPr>
            <w:r>
              <w:t xml:space="preserve">3 – Machine Execution: CHF 209’030.00</w:t>
            </w:r>
          </w:p>
        </w:tc>
        <w:tc>
          <w:tcPr/>
          <w:p>
            <w:pPr>
              <w:pStyle w:val="Compact"/>
            </w:pPr>
            <w:r>
              <w:t xml:space="preserve">3 – Machine Execution: USD 347,236.00</w:t>
            </w:r>
          </w:p>
        </w:tc>
      </w:tr>
      <w:tr>
        <w:tc>
          <w:tcPr/>
          <w:p>
            <w:pPr>
              <w:pStyle w:val="Compact"/>
            </w:pPr>
            <w:r>
              <w:t xml:space="preserve">4 – Product Pump: CHF 11’066.00</w:t>
            </w:r>
          </w:p>
        </w:tc>
        <w:tc>
          <w:tcPr/>
          <w:p>
            <w:pPr>
              <w:pStyle w:val="Compact"/>
            </w:pPr>
            <w:r>
              <w:t xml:space="preserve">4 – Product Pump: USD 18,746.00</w:t>
            </w:r>
          </w:p>
        </w:tc>
      </w:tr>
      <w:tr>
        <w:tc>
          <w:tcPr/>
          <w:p>
            <w:pPr>
              <w:pStyle w:val="Compact"/>
            </w:pPr>
            <w:r>
              <w:t xml:space="preserve">5 – Motor Starter Cabinet: CHF 41’490.00</w:t>
            </w:r>
          </w:p>
        </w:tc>
        <w:tc>
          <w:tcPr/>
          <w:p>
            <w:pPr>
              <w:pStyle w:val="Compact"/>
            </w:pPr>
            <w:r>
              <w:t xml:space="preserve">5 – Motor Starter Cabinet: USD 70,284.00</w:t>
            </w:r>
          </w:p>
        </w:tc>
      </w:tr>
      <w:tr>
        <w:tc>
          <w:tcPr/>
          <w:p>
            <w:pPr>
              <w:pStyle w:val="Compact"/>
            </w:pPr>
            <w:r>
              <w:rPr>
                <w:b/>
                <w:bCs/>
              </w:rPr>
              <w:t xml:space="preserve">Price for 1 DYNO-MILL ECM-AP 10: CHF 261’586.00</w:t>
            </w:r>
          </w:p>
        </w:tc>
        <w:tc>
          <w:tcPr/>
          <w:p>
            <w:pPr>
              <w:pStyle w:val="Compact"/>
            </w:pPr>
            <w:r>
              <w:rPr>
                <w:b/>
                <w:bCs/>
              </w:rPr>
              <w:t xml:space="preserve">Price for 1 DYNO-MILL ECM-AP 10: USD 436,266.00</w:t>
            </w:r>
          </w:p>
        </w:tc>
      </w:tr>
      <w:tr>
        <w:tc>
          <w:tcPr/>
          <w:p>
            <w:pPr>
              <w:pStyle w:val="Compact"/>
            </w:pPr>
            <w:r>
              <w:t xml:space="preserve">Packing, incl. wooden case: CHF 1’650.00</w:t>
            </w:r>
          </w:p>
        </w:tc>
        <w:tc>
          <w:tcPr/>
          <w:p>
            <w:pPr>
              <w:pStyle w:val="Compact"/>
            </w:pPr>
            <w:r>
              <w:t xml:space="preserve">Packing, incl. wooden case: USD 2,145.00</w:t>
            </w:r>
          </w:p>
        </w:tc>
      </w:tr>
      <w:tr>
        <w:tc>
          <w:tcPr/>
          <w:p>
            <w:pPr>
              <w:pStyle w:val="Compact"/>
            </w:pPr>
            <w:r>
              <w:rPr>
                <w:i/>
                <w:iCs/>
              </w:rPr>
              <w:t xml:space="preserve">(not present)</w:t>
            </w:r>
          </w:p>
        </w:tc>
        <w:tc>
          <w:tcPr/>
          <w:p>
            <w:pPr>
              <w:pStyle w:val="Compact"/>
            </w:pPr>
            <w:r>
              <w:rPr>
                <w:b/>
                <w:bCs/>
              </w:rPr>
              <w:t xml:space="preserve">Transportation from Muttenz: USD</w:t>
            </w:r>
            <w:r>
              <w:rPr>
                <w:b/>
                <w:bCs/>
              </w:rPr>
              <w:t xml:space="preserve"> </w:t>
            </w:r>
            <w:r>
              <w:rPr>
                <w:b/>
                <w:bCs/>
                <w:i/>
                <w:iCs/>
              </w:rPr>
              <w:t xml:space="preserve">(blank)</w:t>
            </w:r>
          </w:p>
        </w:tc>
      </w:tr>
      <w:tr>
        <w:tc>
          <w:tcPr/>
          <w:p>
            <w:pPr>
              <w:pStyle w:val="Compact"/>
            </w:pPr>
            <w:r>
              <w:rPr>
                <w:i/>
                <w:iCs/>
              </w:rPr>
              <w:t xml:space="preserve">(not present)</w:t>
            </w:r>
          </w:p>
        </w:tc>
        <w:tc>
          <w:tcPr/>
          <w:p>
            <w:pPr>
              <w:pStyle w:val="Compact"/>
            </w:pPr>
            <w:r>
              <w:rPr>
                <w:b/>
                <w:bCs/>
              </w:rPr>
              <w:t xml:space="preserve">6 – Grinding Media: USD x,xxx.00</w:t>
            </w:r>
          </w:p>
        </w:tc>
      </w:tr>
      <w:tr>
        <w:tc>
          <w:tcPr/>
          <w:p>
            <w:pPr>
              <w:pStyle w:val="Compact"/>
            </w:pPr>
            <w:r>
              <w:rPr>
                <w:i/>
                <w:iCs/>
              </w:rPr>
              <w:t xml:space="preserve">(not present)</w:t>
            </w:r>
          </w:p>
        </w:tc>
        <w:tc>
          <w:tcPr/>
          <w:p>
            <w:pPr>
              <w:pStyle w:val="Compact"/>
            </w:pPr>
            <w:r>
              <w:rPr>
                <w:b/>
                <w:bCs/>
              </w:rPr>
              <w:t xml:space="preserve">7 – Onsite Services: USD x,xxx.00</w:t>
            </w:r>
          </w:p>
        </w:tc>
      </w:tr>
      <w:tr>
        <w:tc>
          <w:tcPr/>
          <w:p>
            <w:pPr>
              <w:pStyle w:val="Compact"/>
            </w:pPr>
            <w:r>
              <w:rPr>
                <w:i/>
                <w:iCs/>
              </w:rPr>
              <w:t xml:space="preserve">(not present)</w:t>
            </w:r>
          </w:p>
        </w:tc>
        <w:tc>
          <w:tcPr/>
          <w:p>
            <w:pPr>
              <w:pStyle w:val="Compact"/>
            </w:pPr>
            <w:r>
              <w:rPr>
                <w:b/>
                <w:bCs/>
              </w:rPr>
              <w:t xml:space="preserve">9 – Options and Accessories: USD x,xxx.00</w:t>
            </w:r>
          </w:p>
        </w:tc>
      </w:tr>
      <w:tr>
        <w:tc>
          <w:tcPr/>
          <w:p>
            <w:pPr>
              <w:pStyle w:val="Compact"/>
            </w:pPr>
            <w:r>
              <w:rPr>
                <w:b/>
                <w:bCs/>
              </w:rPr>
              <w:t xml:space="preserve">TOTAL PRICE, FCA Muttenz, packed: CHF 263’236.00</w:t>
            </w:r>
          </w:p>
        </w:tc>
        <w:tc>
          <w:tcPr/>
          <w:p>
            <w:pPr>
              <w:pStyle w:val="Compact"/>
            </w:pPr>
            <w:r>
              <w:rPr>
                <w:b/>
                <w:bCs/>
              </w:rPr>
              <w:t xml:space="preserve">TOTAL PRICE, FCA Muttenz, packed: USD x,xxx.00</w:t>
            </w:r>
          </w:p>
        </w:tc>
      </w:tr>
      <w:tr>
        <w:tc>
          <w:tcPr/>
          <w:p>
            <w:pPr>
              <w:pStyle w:val="Compact"/>
            </w:pPr>
            <w:r>
              <w:rPr>
                <w:i/>
                <w:iCs/>
              </w:rPr>
              <w:t xml:space="preserve">(not present)</w:t>
            </w:r>
          </w:p>
        </w:tc>
        <w:tc>
          <w:tcPr/>
          <w:p>
            <w:pPr>
              <w:pStyle w:val="Compact"/>
            </w:pPr>
            <w:r>
              <w:t xml:space="preserve">**(*) Sales tax may apply, please provide tax exempt certificate if applicable**</w:t>
            </w:r>
          </w:p>
        </w:tc>
      </w:tr>
    </w:tbl>
    <w:p>
      <w:pPr>
        <w:pStyle w:val="BodyText"/>
      </w:pPr>
      <w:r>
        <w:rPr>
          <w:b/>
          <w:bCs/>
        </w:rPr>
        <w:t xml:space="preserve">Difference: Major</w:t>
      </w:r>
      <w:r>
        <w:t xml:space="preserve"> </w:t>
      </w:r>
      <w:r>
        <w:t xml:space="preserve">— Same structural expansion as UBM: 4 new line items (Transportation, Grinding Media, Onsite Services, Options), sales tax disclaimer. CHE has 6 rows per variant; USA has 10 rows per variant. USA totals are placeholders.</w:t>
      </w:r>
    </w:p>
    <w:bookmarkEnd w:id="15"/>
    <w:bookmarkStart w:id="16" w:name="price-factor-analysis-ecm-price-summary"/>
    <w:p>
      <w:pPr>
        <w:pStyle w:val="Heading3"/>
      </w:pPr>
      <w:r>
        <w:t xml:space="preserve">6.3 Price Factor Analysis (ECM Price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right"/>
            </w:pPr>
            <w:r>
              <w:t xml:space="preserve">CHE (CHF)</w:t>
            </w:r>
          </w:p>
        </w:tc>
        <w:tc>
          <w:tcPr/>
          <w:p>
            <w:pPr>
              <w:pStyle w:val="Compact"/>
              <w:jc w:val="right"/>
            </w:pPr>
            <w:r>
              <w:t xml:space="preserve">USA (USD)</w:t>
            </w:r>
          </w:p>
        </w:tc>
        <w:tc>
          <w:tcPr/>
          <w:p>
            <w:pPr>
              <w:pStyle w:val="Compact"/>
              <w:jc w:val="center"/>
            </w:pPr>
            <w:r>
              <w:t xml:space="preserve">Factor</w:t>
            </w:r>
          </w:p>
        </w:tc>
      </w:tr>
      <w:tr>
        <w:tc>
          <w:tcPr/>
          <w:p>
            <w:pPr>
              <w:pStyle w:val="Compact"/>
              <w:jc w:val="left"/>
            </w:pPr>
            <w:r>
              <w:t xml:space="preserve">Machine Execution (ZrO₂)</w:t>
            </w:r>
          </w:p>
        </w:tc>
        <w:tc>
          <w:tcPr/>
          <w:p>
            <w:pPr>
              <w:pStyle w:val="Compact"/>
              <w:jc w:val="right"/>
            </w:pPr>
            <w:r>
              <w:t xml:space="preserve">242,730</w:t>
            </w:r>
          </w:p>
        </w:tc>
        <w:tc>
          <w:tcPr/>
          <w:p>
            <w:pPr>
              <w:pStyle w:val="Compact"/>
              <w:jc w:val="right"/>
            </w:pPr>
            <w:r>
              <w:t xml:space="preserve">404,324</w:t>
            </w:r>
          </w:p>
        </w:tc>
        <w:tc>
          <w:tcPr/>
          <w:p>
            <w:pPr>
              <w:pStyle w:val="Compact"/>
              <w:jc w:val="center"/>
            </w:pPr>
            <w:r>
              <w:t xml:space="preserve">1.666×</w:t>
            </w:r>
          </w:p>
        </w:tc>
      </w:tr>
      <w:tr>
        <w:tc>
          <w:tcPr/>
          <w:p>
            <w:pPr>
              <w:pStyle w:val="Compact"/>
              <w:jc w:val="left"/>
            </w:pPr>
            <w:r>
              <w:t xml:space="preserve">Machine Execution (SiC)</w:t>
            </w:r>
          </w:p>
        </w:tc>
        <w:tc>
          <w:tcPr/>
          <w:p>
            <w:pPr>
              <w:pStyle w:val="Compact"/>
              <w:jc w:val="right"/>
            </w:pPr>
            <w:r>
              <w:t xml:space="preserve">209,030</w:t>
            </w:r>
          </w:p>
        </w:tc>
        <w:tc>
          <w:tcPr/>
          <w:p>
            <w:pPr>
              <w:pStyle w:val="Compact"/>
              <w:jc w:val="right"/>
            </w:pPr>
            <w:r>
              <w:t xml:space="preserve">347,236</w:t>
            </w:r>
          </w:p>
        </w:tc>
        <w:tc>
          <w:tcPr/>
          <w:p>
            <w:pPr>
              <w:pStyle w:val="Compact"/>
              <w:jc w:val="center"/>
            </w:pPr>
            <w:r>
              <w:t xml:space="preserve">1.661×</w:t>
            </w:r>
          </w:p>
        </w:tc>
      </w:tr>
      <w:tr>
        <w:tc>
          <w:tcPr/>
          <w:p>
            <w:pPr>
              <w:pStyle w:val="Compact"/>
              <w:jc w:val="left"/>
            </w:pPr>
            <w:r>
              <w:t xml:space="preserve">Product Pump</w:t>
            </w:r>
          </w:p>
        </w:tc>
        <w:tc>
          <w:tcPr/>
          <w:p>
            <w:pPr>
              <w:pStyle w:val="Compact"/>
              <w:jc w:val="right"/>
            </w:pPr>
            <w:r>
              <w:t xml:space="preserve">11,066</w:t>
            </w:r>
          </w:p>
        </w:tc>
        <w:tc>
          <w:tcPr/>
          <w:p>
            <w:pPr>
              <w:pStyle w:val="Compact"/>
              <w:jc w:val="right"/>
            </w:pPr>
            <w:r>
              <w:t xml:space="preserve">18,746</w:t>
            </w:r>
          </w:p>
        </w:tc>
        <w:tc>
          <w:tcPr/>
          <w:p>
            <w:pPr>
              <w:pStyle w:val="Compact"/>
              <w:jc w:val="center"/>
            </w:pPr>
            <w:r>
              <w:t xml:space="preserve">1.694×</w:t>
            </w:r>
          </w:p>
        </w:tc>
      </w:tr>
      <w:tr>
        <w:tc>
          <w:tcPr/>
          <w:p>
            <w:pPr>
              <w:pStyle w:val="Compact"/>
              <w:jc w:val="left"/>
            </w:pPr>
            <w:r>
              <w:t xml:space="preserve">Motor Starter Cabinet</w:t>
            </w:r>
          </w:p>
        </w:tc>
        <w:tc>
          <w:tcPr/>
          <w:p>
            <w:pPr>
              <w:pStyle w:val="Compact"/>
              <w:jc w:val="right"/>
            </w:pPr>
            <w:r>
              <w:t xml:space="preserve">41,490</w:t>
            </w:r>
          </w:p>
        </w:tc>
        <w:tc>
          <w:tcPr/>
          <w:p>
            <w:pPr>
              <w:pStyle w:val="Compact"/>
              <w:jc w:val="right"/>
            </w:pPr>
            <w:r>
              <w:t xml:space="preserve">70,284</w:t>
            </w:r>
          </w:p>
        </w:tc>
        <w:tc>
          <w:tcPr/>
          <w:p>
            <w:pPr>
              <w:pStyle w:val="Compact"/>
              <w:jc w:val="center"/>
            </w:pPr>
            <w:r>
              <w:t xml:space="preserve">1.694×</w:t>
            </w:r>
          </w:p>
        </w:tc>
      </w:tr>
      <w:tr>
        <w:tc>
          <w:tcPr/>
          <w:p>
            <w:pPr>
              <w:pStyle w:val="Compact"/>
              <w:jc w:val="left"/>
            </w:pPr>
            <w:r>
              <w:t xml:space="preserve">Subtotal (ZrO₂)</w:t>
            </w:r>
          </w:p>
        </w:tc>
        <w:tc>
          <w:tcPr/>
          <w:p>
            <w:pPr>
              <w:pStyle w:val="Compact"/>
              <w:jc w:val="right"/>
            </w:pPr>
            <w:r>
              <w:t xml:space="preserve">295,286</w:t>
            </w:r>
          </w:p>
        </w:tc>
        <w:tc>
          <w:tcPr/>
          <w:p>
            <w:pPr>
              <w:pStyle w:val="Compact"/>
              <w:jc w:val="right"/>
            </w:pPr>
            <w:r>
              <w:t xml:space="preserve">493,354</w:t>
            </w:r>
          </w:p>
        </w:tc>
        <w:tc>
          <w:tcPr/>
          <w:p>
            <w:pPr>
              <w:pStyle w:val="Compact"/>
              <w:jc w:val="center"/>
            </w:pPr>
            <w:r>
              <w:t xml:space="preserve">1.671×</w:t>
            </w:r>
          </w:p>
        </w:tc>
      </w:tr>
      <w:tr>
        <w:tc>
          <w:tcPr/>
          <w:p>
            <w:pPr>
              <w:pStyle w:val="Compact"/>
              <w:jc w:val="left"/>
            </w:pPr>
            <w:r>
              <w:t xml:space="preserve">Subtotal (SiC)</w:t>
            </w:r>
          </w:p>
        </w:tc>
        <w:tc>
          <w:tcPr/>
          <w:p>
            <w:pPr>
              <w:pStyle w:val="Compact"/>
              <w:jc w:val="right"/>
            </w:pPr>
            <w:r>
              <w:t xml:space="preserve">261,586</w:t>
            </w:r>
          </w:p>
        </w:tc>
        <w:tc>
          <w:tcPr/>
          <w:p>
            <w:pPr>
              <w:pStyle w:val="Compact"/>
              <w:jc w:val="right"/>
            </w:pPr>
            <w:r>
              <w:t xml:space="preserve">436,266</w:t>
            </w:r>
          </w:p>
        </w:tc>
        <w:tc>
          <w:tcPr/>
          <w:p>
            <w:pPr>
              <w:pStyle w:val="Compact"/>
              <w:jc w:val="center"/>
            </w:pPr>
            <w:r>
              <w:t xml:space="preserve">1.668×</w:t>
            </w:r>
          </w:p>
        </w:tc>
      </w:tr>
      <w:tr>
        <w:tc>
          <w:tcPr/>
          <w:p>
            <w:pPr>
              <w:pStyle w:val="Compact"/>
              <w:jc w:val="left"/>
            </w:pPr>
            <w:r>
              <w:t xml:space="preserve">Packing</w:t>
            </w:r>
          </w:p>
        </w:tc>
        <w:tc>
          <w:tcPr/>
          <w:p>
            <w:pPr>
              <w:pStyle w:val="Compact"/>
              <w:jc w:val="right"/>
            </w:pPr>
            <w:r>
              <w:t xml:space="preserve">1,650</w:t>
            </w:r>
          </w:p>
        </w:tc>
        <w:tc>
          <w:tcPr/>
          <w:p>
            <w:pPr>
              <w:pStyle w:val="Compact"/>
              <w:jc w:val="right"/>
            </w:pPr>
            <w:r>
              <w:t xml:space="preserve">2,145</w:t>
            </w:r>
          </w:p>
        </w:tc>
        <w:tc>
          <w:tcPr/>
          <w:p>
            <w:pPr>
              <w:pStyle w:val="Compact"/>
              <w:jc w:val="center"/>
            </w:pPr>
            <w:r>
              <w:rPr>
                <w:b/>
                <w:bCs/>
              </w:rPr>
              <w:t xml:space="preserve">1.300×</w:t>
            </w:r>
          </w:p>
        </w:tc>
      </w:tr>
    </w:tbl>
    <w:p>
      <w:pPr>
        <w:pStyle w:val="BodyText"/>
      </w:pPr>
      <w:r>
        <w:t xml:space="preserve">The Machine Execution price factors for ECM (~1.66×) are notably lower than UBM (~1.694×). Product Pump and Motor Starter Cabinet use the same 1.694× as UBM. Packing is 1.300× for both.</w:t>
      </w:r>
    </w:p>
    <w:p>
      <w:r>
        <w:pict>
          <v:rect style="width:0;height:1.5pt" o:hralign="center" o:hrstd="t" o:hr="t"/>
        </w:pict>
      </w:r>
    </w:p>
    <w:bookmarkEnd w:id="16"/>
    <w:bookmarkEnd w:id="17"/>
    <w:bookmarkStart w:id="23" w:name="X47c19281569e9d5812361b97f1fd1e02f9c3ab0"/>
    <w:p>
      <w:pPr>
        <w:pStyle w:val="Heading2"/>
      </w:pPr>
      <w:r>
        <w:t xml:space="preserve">Options and Accessories — CHE section 7 vs USA section 9</w:t>
      </w:r>
    </w:p>
    <w:bookmarkStart w:id="18" w:name="header-note"/>
    <w:p>
      <w:pPr>
        <w:pStyle w:val="Heading3"/>
      </w:pPr>
      <w:r>
        <w:t xml:space="preserve">7.1 Header Note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 Section 7 (ECM AP 10 KERAMIK)</w:t>
            </w:r>
          </w:p>
        </w:tc>
        <w:tc>
          <w:tcPr/>
          <w:p>
            <w:pPr>
              <w:pStyle w:val="Compact"/>
            </w:pPr>
            <w:r>
              <w:t xml:space="preserve">USA Section 9 (ECM AP 10 Ceramic)</w:t>
            </w:r>
          </w:p>
        </w:tc>
      </w:tr>
      <w:tr>
        <w:tc>
          <w:tcPr/>
          <w:p>
            <w:pPr>
              <w:pStyle w:val="Compact"/>
            </w:pPr>
            <w:r>
              <w:t xml:space="preserve">(not included in the total price)</w:t>
            </w:r>
          </w:p>
        </w:tc>
        <w:tc>
          <w:tcPr/>
          <w:p>
            <w:pPr>
              <w:pStyle w:val="Compact"/>
            </w:pPr>
            <w:r>
              <w:t xml:space="preserve">(not included in the total price)</w:t>
            </w:r>
          </w:p>
        </w:tc>
      </w:tr>
    </w:tbl>
    <w:p>
      <w:pPr>
        <w:pStyle w:val="BodyText"/>
      </w:pPr>
      <w:r>
        <w:rPr>
          <w:b/>
          <w:bCs/>
        </w:rPr>
        <w:t xml:space="preserve">Difference: Minor</w:t>
      </w:r>
      <w:r>
        <w:t xml:space="preserve"> </w:t>
      </w:r>
      <w:r>
        <w:t xml:space="preserve">— Identical text (unlike UBM which capitalised</w:t>
      </w:r>
      <w:r>
        <w:t xml:space="preserve"> </w:t>
      </w:r>
      <w:r>
        <w:t xml:space="preserve">“Not”</w:t>
      </w:r>
      <w:r>
        <w:t xml:space="preserve">).</w:t>
      </w:r>
    </w:p>
    <w:p>
      <w:r>
        <w:pict>
          <v:rect style="width:0;height:1.5pt" o:hralign="center" o:hrstd="t" o:hr="t"/>
        </w:pict>
      </w:r>
    </w:p>
    <w:bookmarkEnd w:id="18"/>
    <w:bookmarkStart w:id="19" w:name="spare-and-replacement-parts"/>
    <w:p>
      <w:pPr>
        <w:pStyle w:val="Heading3"/>
      </w:pPr>
      <w:r>
        <w:t xml:space="preserve">7.2 Spare and Replacement Parts</w:t>
      </w:r>
    </w:p>
    <w:p>
      <w:pPr>
        <w:pStyle w:val="FirstParagraph"/>
      </w:pPr>
      <w:r>
        <w:t xml:space="preserve">CHE has a flat list. USA organises the same items under subsection</w:t>
      </w:r>
      <w:r>
        <w:t xml:space="preserve"> </w:t>
      </w:r>
      <w:r>
        <w:t xml:space="preserve">“9.1 Spare and Replacement Parts”</w:t>
      </w:r>
      <w:r>
        <w:t xml:space="preserve">.</w:t>
      </w:r>
    </w:p>
    <w:tbl>
      <w:tblPr>
        <w:tblStyle w:val="Table"/>
        <w:tblW w:type="pct" w:w="5000"/>
        <w:tblLayout w:type="fixed"/>
        <w:tblLook w:firstRow="1" w:lastRow="0" w:firstColumn="0" w:lastColumn="0" w:noHBand="0" w:noVBand="0" w:val="0020"/>
      </w:tblPr>
      <w:tblGrid>
        <w:gridCol w:w="1320"/>
        <w:gridCol w:w="2420"/>
        <w:gridCol w:w="2420"/>
        <w:gridCol w:w="1760"/>
      </w:tblGrid>
      <w:tr>
        <w:trPr>
          <w:tblHeader w:val="on"/>
        </w:trPr>
        <w:tc>
          <w:tcPr/>
          <w:p>
            <w:pPr>
              <w:pStyle w:val="Compact"/>
            </w:pPr>
            <w:r>
              <w:t xml:space="preserve">Item</w:t>
            </w:r>
          </w:p>
        </w:tc>
        <w:tc>
          <w:tcPr/>
          <w:p>
            <w:pPr>
              <w:pStyle w:val="Compact"/>
              <w:jc w:val="right"/>
            </w:pPr>
            <w:r>
              <w:t xml:space="preserve">CHE (CHF)</w:t>
            </w:r>
          </w:p>
        </w:tc>
        <w:tc>
          <w:tcPr/>
          <w:p>
            <w:pPr>
              <w:pStyle w:val="Compact"/>
              <w:jc w:val="right"/>
            </w:pPr>
            <w:r>
              <w:t xml:space="preserve">USA (USD)</w:t>
            </w:r>
          </w:p>
        </w:tc>
        <w:tc>
          <w:tcPr/>
          <w:p>
            <w:pPr>
              <w:pStyle w:val="Compact"/>
              <w:jc w:val="center"/>
            </w:pPr>
            <w:r>
              <w:t xml:space="preserve">Factor</w:t>
            </w:r>
          </w:p>
        </w:tc>
      </w:tr>
      <w:tr>
        <w:tc>
          <w:tcPr/>
          <w:p>
            <w:pPr>
              <w:pStyle w:val="Compact"/>
            </w:pPr>
            <w:r>
              <w:t xml:space="preserve">Cylinder screen 0.03 mm (Art. 246550)</w:t>
            </w:r>
          </w:p>
        </w:tc>
        <w:tc>
          <w:tcPr/>
          <w:p>
            <w:pPr>
              <w:pStyle w:val="Compact"/>
              <w:jc w:val="right"/>
            </w:pPr>
            <w:r>
              <w:t xml:space="preserve">890.00</w:t>
            </w:r>
          </w:p>
        </w:tc>
        <w:tc>
          <w:tcPr/>
          <w:p>
            <w:pPr>
              <w:pStyle w:val="Compact"/>
              <w:jc w:val="right"/>
            </w:pPr>
            <w:r>
              <w:t xml:space="preserve">2,522.00</w:t>
            </w:r>
          </w:p>
        </w:tc>
        <w:tc>
          <w:tcPr/>
          <w:p>
            <w:pPr>
              <w:pStyle w:val="Compact"/>
              <w:jc w:val="center"/>
            </w:pPr>
            <w:r>
              <w:t xml:space="preserve">2.834×</w:t>
            </w:r>
          </w:p>
        </w:tc>
      </w:tr>
      <w:tr>
        <w:tc>
          <w:tcPr/>
          <w:p>
            <w:pPr>
              <w:pStyle w:val="Compact"/>
            </w:pPr>
            <w:r>
              <w:t xml:space="preserve">Cylinder screen 0.07 mm (Art. 235210)</w:t>
            </w:r>
          </w:p>
        </w:tc>
        <w:tc>
          <w:tcPr/>
          <w:p>
            <w:pPr>
              <w:pStyle w:val="Compact"/>
              <w:jc w:val="right"/>
            </w:pPr>
            <w:r>
              <w:t xml:space="preserve">890.00</w:t>
            </w:r>
          </w:p>
        </w:tc>
        <w:tc>
          <w:tcPr/>
          <w:p>
            <w:pPr>
              <w:pStyle w:val="Compact"/>
              <w:jc w:val="right"/>
            </w:pPr>
            <w:r>
              <w:t xml:space="preserve">2,522.00</w:t>
            </w:r>
          </w:p>
        </w:tc>
        <w:tc>
          <w:tcPr/>
          <w:p>
            <w:pPr>
              <w:pStyle w:val="Compact"/>
              <w:jc w:val="center"/>
            </w:pPr>
            <w:r>
              <w:t xml:space="preserve">2.834×</w:t>
            </w:r>
          </w:p>
        </w:tc>
      </w:tr>
      <w:tr>
        <w:tc>
          <w:tcPr/>
          <w:p>
            <w:pPr>
              <w:pStyle w:val="Compact"/>
            </w:pPr>
            <w:r>
              <w:t xml:space="preserve">Cylinder screen 0.13 mm (Art. 235212)</w:t>
            </w:r>
          </w:p>
        </w:tc>
        <w:tc>
          <w:tcPr/>
          <w:p>
            <w:pPr>
              <w:pStyle w:val="Compact"/>
              <w:jc w:val="right"/>
            </w:pPr>
            <w:r>
              <w:t xml:space="preserve">890.00</w:t>
            </w:r>
          </w:p>
        </w:tc>
        <w:tc>
          <w:tcPr/>
          <w:p>
            <w:pPr>
              <w:pStyle w:val="Compact"/>
              <w:jc w:val="right"/>
            </w:pPr>
            <w:r>
              <w:t xml:space="preserve">2,522.00</w:t>
            </w:r>
          </w:p>
        </w:tc>
        <w:tc>
          <w:tcPr/>
          <w:p>
            <w:pPr>
              <w:pStyle w:val="Compact"/>
              <w:jc w:val="center"/>
            </w:pPr>
            <w:r>
              <w:t xml:space="preserve">2.834×</w:t>
            </w:r>
          </w:p>
        </w:tc>
      </w:tr>
      <w:tr>
        <w:tc>
          <w:tcPr/>
          <w:p>
            <w:pPr>
              <w:pStyle w:val="Compact"/>
            </w:pPr>
            <w:r>
              <w:t xml:space="preserve">Cylinder screen 0.25 mm (Art. 235214)</w:t>
            </w:r>
            <w:r>
              <w:t xml:space="preserve"> </w:t>
            </w:r>
            <w:r>
              <w:rPr>
                <w:i/>
                <w:iCs/>
              </w:rPr>
              <w:t xml:space="preserve">(incl. in sec 3)</w:t>
            </w:r>
          </w:p>
        </w:tc>
        <w:tc>
          <w:tcPr/>
          <w:p>
            <w:pPr>
              <w:pStyle w:val="Compact"/>
              <w:jc w:val="right"/>
            </w:pPr>
            <w:r>
              <w:t xml:space="preserve">890.00</w:t>
            </w:r>
          </w:p>
        </w:tc>
        <w:tc>
          <w:tcPr/>
          <w:p>
            <w:pPr>
              <w:pStyle w:val="Compact"/>
              <w:jc w:val="right"/>
            </w:pPr>
            <w:r>
              <w:t xml:space="preserve">2,522.00</w:t>
            </w:r>
          </w:p>
        </w:tc>
        <w:tc>
          <w:tcPr/>
          <w:p>
            <w:pPr>
              <w:pStyle w:val="Compact"/>
              <w:jc w:val="center"/>
            </w:pPr>
            <w:r>
              <w:t xml:space="preserve">2.834×</w:t>
            </w:r>
          </w:p>
        </w:tc>
      </w:tr>
      <w:tr>
        <w:tc>
          <w:tcPr/>
          <w:p>
            <w:pPr>
              <w:pStyle w:val="Compact"/>
            </w:pPr>
            <w:r>
              <w:t xml:space="preserve">Cylinder screen 0.40 mm (Art. 235216)</w:t>
            </w:r>
          </w:p>
        </w:tc>
        <w:tc>
          <w:tcPr/>
          <w:p>
            <w:pPr>
              <w:pStyle w:val="Compact"/>
              <w:jc w:val="right"/>
            </w:pPr>
            <w:r>
              <w:t xml:space="preserve">890.00</w:t>
            </w:r>
          </w:p>
        </w:tc>
        <w:tc>
          <w:tcPr/>
          <w:p>
            <w:pPr>
              <w:pStyle w:val="Compact"/>
              <w:jc w:val="right"/>
            </w:pPr>
            <w:r>
              <w:t xml:space="preserve">2,522.00</w:t>
            </w:r>
          </w:p>
        </w:tc>
        <w:tc>
          <w:tcPr/>
          <w:p>
            <w:pPr>
              <w:pStyle w:val="Compact"/>
              <w:jc w:val="center"/>
            </w:pPr>
            <w:r>
              <w:t xml:space="preserve">2.834×</w:t>
            </w:r>
          </w:p>
        </w:tc>
      </w:tr>
      <w:tr>
        <w:tc>
          <w:tcPr/>
          <w:p>
            <w:pPr>
              <w:pStyle w:val="Compact"/>
            </w:pPr>
            <w:r>
              <w:t xml:space="preserve">Cooling water multi sensor</w:t>
            </w:r>
          </w:p>
        </w:tc>
        <w:tc>
          <w:tcPr/>
          <w:p>
            <w:pPr>
              <w:pStyle w:val="Compact"/>
              <w:jc w:val="right"/>
            </w:pPr>
            <w:r>
              <w:t xml:space="preserve">2,440.00</w:t>
            </w:r>
          </w:p>
        </w:tc>
        <w:tc>
          <w:tcPr/>
          <w:p>
            <w:pPr>
              <w:pStyle w:val="Compact"/>
              <w:jc w:val="right"/>
            </w:pPr>
            <w:r>
              <w:t xml:space="preserve">6,915.00</w:t>
            </w:r>
          </w:p>
        </w:tc>
        <w:tc>
          <w:tcPr/>
          <w:p>
            <w:pPr>
              <w:pStyle w:val="Compact"/>
              <w:jc w:val="center"/>
            </w:pPr>
            <w:r>
              <w:t xml:space="preserve">2.834×</w:t>
            </w:r>
          </w:p>
        </w:tc>
      </w:tr>
    </w:tbl>
    <w:p>
      <w:pPr>
        <w:pStyle w:val="BodyText"/>
      </w:pPr>
      <w:r>
        <w:rPr>
          <w:b/>
          <w:bCs/>
        </w:rPr>
        <w:t xml:space="preserve">Difference: Modest</w:t>
      </w:r>
      <w:r>
        <w:t xml:space="preserve"> </w:t>
      </w:r>
      <w:r>
        <w:t xml:space="preserve">— All item descriptions identical. Currency CHF→USD. Price factor is a consistent</w:t>
      </w:r>
      <w:r>
        <w:t xml:space="preserve"> </w:t>
      </w:r>
      <w:r>
        <w:rPr>
          <w:b/>
          <w:bCs/>
        </w:rPr>
        <w:t xml:space="preserve">~2.834×</w:t>
      </w:r>
      <w:r>
        <w:t xml:space="preserve"> </w:t>
      </w:r>
      <w:r>
        <w:t xml:space="preserve">— identical to UBM spare parts factor. This confirms the accessories/spare-parts pricing uses a different multiplier combination from equipment pricing.</w:t>
      </w:r>
    </w:p>
    <w:p>
      <w:r>
        <w:pict>
          <v:rect style="width:0;height:1.5pt" o:hralign="center" o:hrstd="t" o:hr="t"/>
        </w:pict>
      </w:r>
    </w:p>
    <w:bookmarkEnd w:id="19"/>
    <w:bookmarkStart w:id="20" w:name="audit-trail-fda-option"/>
    <w:p>
      <w:pPr>
        <w:pStyle w:val="Heading3"/>
      </w:pPr>
      <w:r>
        <w:t xml:space="preserve">7.3 Audit Trail / FDA Option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 Section 7 (ECM AP 10 KERAMIK)</w:t>
            </w:r>
          </w:p>
        </w:tc>
        <w:tc>
          <w:tcPr/>
          <w:p>
            <w:pPr>
              <w:pStyle w:val="Compact"/>
            </w:pPr>
            <w:r>
              <w:t xml:space="preserve">USA Section 9 (ECM AP 10 Ceramic)</w:t>
            </w:r>
          </w:p>
        </w:tc>
      </w:tr>
      <w:tr>
        <w:tc>
          <w:tcPr/>
          <w:p>
            <w:pPr>
              <w:pStyle w:val="Compact"/>
            </w:pPr>
            <w:r>
              <w:t xml:space="preserve">1× Audit Trail on HMI — FDA 21 CFR Part 11 User Management — Extra charge:</w:t>
            </w:r>
            <w:r>
              <w:t xml:space="preserve"> </w:t>
            </w:r>
            <w:r>
              <w:rPr>
                <w:b/>
                <w:bCs/>
              </w:rPr>
              <w:t xml:space="preserve">CHF 4’270.00</w:t>
            </w:r>
          </w:p>
        </w:tc>
        <w:tc>
          <w:tcPr/>
          <w:p>
            <w:pPr>
              <w:pStyle w:val="Compact"/>
            </w:pPr>
            <w:r>
              <w:rPr>
                <w:i/>
                <w:iCs/>
              </w:rPr>
              <w:t xml:space="preserve">(not present in USA)</w:t>
            </w:r>
          </w:p>
        </w:tc>
      </w:tr>
    </w:tbl>
    <w:p>
      <w:pPr>
        <w:pStyle w:val="BodyText"/>
      </w:pPr>
      <w:r>
        <w:rPr>
          <w:b/>
          <w:bCs/>
        </w:rPr>
        <w:t xml:space="preserve">Difference: Major</w:t>
      </w:r>
      <w:r>
        <w:t xml:space="preserve"> </w:t>
      </w:r>
      <w:r>
        <w:t xml:space="preserve">— The Audit Trail / FDA 21 CFR Part 11 option is present in CHE but absent in USA. This is the reverse of the usual pattern (USA typically has more regulatory items). Possibly omitted because the USA WAB VIEW unit (downgraded from Pro in section 3.4) doesn’t support this feature, or it may have been rolled into the base specification differently.</w:t>
      </w:r>
    </w:p>
    <w:p>
      <w:r>
        <w:pict>
          <v:rect style="width:0;height:1.5pt" o:hralign="center" o:hrstd="t" o:hr="t"/>
        </w:pict>
      </w:r>
    </w:p>
    <w:bookmarkEnd w:id="20"/>
    <w:bookmarkStart w:id="21" w:name="documentation-usa-only"/>
    <w:p>
      <w:pPr>
        <w:pStyle w:val="Heading3"/>
      </w:pPr>
      <w:r>
        <w:t xml:space="preserve">7.4 Documentation (USA only)</w:t>
      </w:r>
    </w:p>
    <w:p>
      <w:pPr>
        <w:pStyle w:val="FirstParagraph"/>
      </w:pPr>
      <w:r>
        <w:t xml:space="preserve">This subsection does not exist in the CHE template. Content is identical to UBM.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 (ECM AP 10 KERAMIK)</w:t>
            </w:r>
          </w:p>
        </w:tc>
        <w:tc>
          <w:tcPr/>
          <w:p>
            <w:pPr>
              <w:pStyle w:val="Compact"/>
            </w:pPr>
            <w:r>
              <w:t xml:space="preserve">USA (ECM AP 10 Ceramic) — 9.2 Documentation (*)</w:t>
            </w:r>
          </w:p>
        </w:tc>
      </w:tr>
      <w:tr>
        <w:tc>
          <w:tcPr/>
          <w:p>
            <w:pPr>
              <w:pStyle w:val="Compact"/>
            </w:pPr>
            <w:r>
              <w:rPr>
                <w:i/>
                <w:iCs/>
              </w:rPr>
              <w:t xml:space="preserve">(not present)</w:t>
            </w:r>
          </w:p>
        </w:tc>
        <w:tc>
          <w:tcPr/>
          <w:p>
            <w:pPr>
              <w:pStyle w:val="Compact"/>
            </w:pPr>
            <w:r>
              <w:t xml:space="preserve">1× IQ+OQ qualification documents: USD 7,930.00</w:t>
            </w:r>
          </w:p>
        </w:tc>
      </w:tr>
      <w:tr>
        <w:tc>
          <w:tcPr/>
          <w:p>
            <w:pPr>
              <w:pStyle w:val="Compact"/>
            </w:pPr>
            <w:r>
              <w:rPr>
                <w:i/>
                <w:iCs/>
              </w:rPr>
              <w:t xml:space="preserve">(not present)</w:t>
            </w:r>
          </w:p>
        </w:tc>
        <w:tc>
          <w:tcPr/>
          <w:p>
            <w:pPr>
              <w:pStyle w:val="Compact"/>
            </w:pPr>
            <w:r>
              <w:t xml:space="preserve">1× FAT qualification documents, with realization by WAB, incl. measuring and calibration of instruments: USD 12,560.00</w:t>
            </w:r>
          </w:p>
        </w:tc>
      </w:tr>
      <w:tr>
        <w:tc>
          <w:tcPr/>
          <w:p>
            <w:pPr>
              <w:pStyle w:val="Compact"/>
            </w:pPr>
            <w:r>
              <w:rPr>
                <w:i/>
                <w:iCs/>
              </w:rPr>
              <w:t xml:space="preserve">(not present)</w:t>
            </w:r>
          </w:p>
        </w:tc>
        <w:tc>
          <w:tcPr/>
          <w:p>
            <w:pPr>
              <w:pStyle w:val="Compact"/>
            </w:pPr>
            <w:r>
              <w:t xml:space="preserve">1× SAT qualification documents (without realization by WAB): USD 7,130.00</w:t>
            </w:r>
          </w:p>
        </w:tc>
      </w:tr>
      <w:tr>
        <w:tc>
          <w:tcPr/>
          <w:p>
            <w:pPr>
              <w:pStyle w:val="Compact"/>
            </w:pPr>
          </w:p>
        </w:tc>
        <w:tc>
          <w:tcPr/>
          <w:p>
            <w:pPr>
              <w:pStyle w:val="Compact"/>
            </w:pPr>
            <w:r>
              <w:t xml:space="preserve">(*) These options may add time to the delivery</w:t>
            </w:r>
          </w:p>
        </w:tc>
      </w:tr>
    </w:tbl>
    <w:p>
      <w:pPr>
        <w:pStyle w:val="BodyText"/>
      </w:pPr>
      <w:r>
        <w:rPr>
          <w:b/>
          <w:bCs/>
        </w:rPr>
        <w:t xml:space="preserve">Difference: Major (new subsection)</w:t>
      </w:r>
      <w:r>
        <w:t xml:space="preserve"> </w:t>
      </w:r>
      <w:r>
        <w:t xml:space="preserve">— Identical to UBM. Documentation subsection is product-line-independent. Prices are the same as UBM (7,930 / 12,560 / 7,130).</w:t>
      </w:r>
    </w:p>
    <w:p>
      <w:r>
        <w:pict>
          <v:rect style="width:0;height:1.5pt" o:hralign="center" o:hrstd="t" o:hr="t"/>
        </w:pict>
      </w:r>
    </w:p>
    <w:bookmarkEnd w:id="21"/>
    <w:bookmarkStart w:id="22" w:name="alternate-product-pump"/>
    <w:p>
      <w:pPr>
        <w:pStyle w:val="Heading3"/>
      </w:pPr>
      <w:r>
        <w:t xml:space="preserve">7.5 Alternate Product Pump</w:t>
      </w:r>
    </w:p>
    <w:p>
      <w:pPr>
        <w:pStyle w:val="FirstParagraph"/>
      </w:pPr>
      <w:r>
        <w:t xml:space="preserve">Unlike UBM (which has an alternate pump subsection 9.3), the ECM USA template has</w:t>
      </w:r>
      <w:r>
        <w:t xml:space="preserve"> </w:t>
      </w:r>
      <w:r>
        <w:rPr>
          <w:b/>
          <w:bCs/>
        </w:rPr>
        <w:t xml:space="preserve">no alternate product pump subsection</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 (ECM AP 10 KERAMIK)</w:t>
            </w:r>
          </w:p>
        </w:tc>
        <w:tc>
          <w:tcPr/>
          <w:p>
            <w:pPr>
              <w:pStyle w:val="Compact"/>
            </w:pPr>
            <w:r>
              <w:t xml:space="preserve">USA (ECM AP 10 Ceramic)</w:t>
            </w:r>
          </w:p>
        </w:tc>
      </w:tr>
      <w:tr>
        <w:tc>
          <w:tcPr/>
          <w:p>
            <w:pPr>
              <w:pStyle w:val="Compact"/>
            </w:pPr>
            <w:r>
              <w:rPr>
                <w:i/>
                <w:iCs/>
              </w:rPr>
              <w:t xml:space="preserve">(not present)</w:t>
            </w:r>
          </w:p>
        </w:tc>
        <w:tc>
          <w:tcPr/>
          <w:p>
            <w:pPr>
              <w:pStyle w:val="Compact"/>
            </w:pPr>
            <w:r>
              <w:rPr>
                <w:i/>
                <w:iCs/>
              </w:rPr>
              <w:t xml:space="preserve">(not present)</w:t>
            </w:r>
          </w:p>
        </w:tc>
      </w:tr>
    </w:tbl>
    <w:p>
      <w:pPr>
        <w:pStyle w:val="BodyText"/>
      </w:pPr>
      <w:r>
        <w:rPr>
          <w:b/>
          <w:bCs/>
        </w:rPr>
        <w:t xml:space="preserve">Difference: None</w:t>
      </w:r>
      <w:r>
        <w:t xml:space="preserve"> </w:t>
      </w:r>
      <w:r>
        <w:t xml:space="preserve">— Neither CHE nor USA ECM templates include an alternate pump option. This makes sense because the ECM uses a pneumatic membrane pump (DM 2500) which has no gear-pump alternative. This is a product-line-specific difference.</w:t>
      </w:r>
    </w:p>
    <w:p>
      <w:r>
        <w:pict>
          <v:rect style="width:0;height:1.5pt" o:hralign="center" o:hrstd="t" o:hr="t"/>
        </w:pict>
      </w:r>
    </w:p>
    <w:bookmarkEnd w:id="22"/>
    <w:bookmarkEnd w:id="23"/>
    <w:bookmarkStart w:id="25" w:name="X0956ee811444523996ba7e7f7d7f440eec01a8c"/>
    <w:p>
      <w:pPr>
        <w:pStyle w:val="Heading2"/>
      </w:pPr>
      <w:r>
        <w:t xml:space="preserve">Terms of Delivery — CHE section 8 vs USA section 10</w:t>
      </w:r>
    </w:p>
    <w:bookmarkStart w:id="24" w:name="row-by-row-comparison"/>
    <w:p>
      <w:pPr>
        <w:pStyle w:val="Heading3"/>
      </w:pPr>
      <w:r>
        <w:t xml:space="preserve">8.1 Row-by-Row Comparison</w:t>
      </w:r>
    </w:p>
    <w:tbl>
      <w:tblPr>
        <w:tblStyle w:val="Table"/>
        <w:tblW w:type="pct" w:w="5000"/>
        <w:tblLayout w:type="fixed"/>
        <w:tblLook w:firstRow="1" w:lastRow="0" w:firstColumn="0" w:lastColumn="0" w:noHBand="0" w:noVBand="0" w:val="0020"/>
      </w:tblPr>
      <w:tblGrid>
        <w:gridCol w:w="4264"/>
        <w:gridCol w:w="1827"/>
        <w:gridCol w:w="1827"/>
      </w:tblGrid>
      <w:tr>
        <w:trPr>
          <w:tblHeader w:val="on"/>
        </w:trPr>
        <w:tc>
          <w:tcPr/>
          <w:p>
            <w:pPr>
              <w:pStyle w:val="Compact"/>
            </w:pPr>
            <w:r>
              <w:t xml:space="preserve">Field</w:t>
            </w:r>
          </w:p>
        </w:tc>
        <w:tc>
          <w:tcPr/>
          <w:p>
            <w:pPr>
              <w:pStyle w:val="Compact"/>
            </w:pPr>
            <w:r>
              <w:t xml:space="preserve">CHE Section 8 (ECM AP 10 KERAMIK)</w:t>
            </w:r>
          </w:p>
        </w:tc>
        <w:tc>
          <w:tcPr/>
          <w:p>
            <w:pPr>
              <w:pStyle w:val="Compact"/>
            </w:pPr>
            <w:r>
              <w:t xml:space="preserve">USA Section 10 (ECM AP 10 Ceramic)</w:t>
            </w:r>
          </w:p>
        </w:tc>
      </w:tr>
      <w:tr>
        <w:tc>
          <w:tcPr/>
          <w:p>
            <w:pPr>
              <w:pStyle w:val="Compact"/>
            </w:pPr>
            <w:r>
              <w:rPr>
                <w:b/>
                <w:bCs/>
              </w:rPr>
              <w:t xml:space="preserve">Quotation</w:t>
            </w:r>
          </w:p>
        </w:tc>
        <w:tc>
          <w:tcPr/>
          <w:p>
            <w:pPr>
              <w:pStyle w:val="Compact"/>
            </w:pPr>
            <w:r>
              <w:t xml:space="preserve">FCA Muttenz (INCOTERMS 2020), packed,</w:t>
            </w:r>
            <w:r>
              <w:t xml:space="preserve"> </w:t>
            </w:r>
            <w:r>
              <w:rPr>
                <w:b/>
                <w:bCs/>
              </w:rPr>
              <w:t xml:space="preserve">excluding duty and taxes to import the goods into the country of destination</w:t>
            </w:r>
          </w:p>
        </w:tc>
        <w:tc>
          <w:tcPr/>
          <w:p>
            <w:pPr>
              <w:pStyle w:val="Compact"/>
            </w:pPr>
            <w:r>
              <w:t xml:space="preserve">FCA Muttenz (INCOTERMS 2020), packed,</w:t>
            </w:r>
            <w:r>
              <w:t xml:space="preserve"> </w:t>
            </w:r>
            <w:r>
              <w:rPr>
                <w:b/>
                <w:bCs/>
              </w:rPr>
              <w:t xml:space="preserve">including freight from Switzerland to the U.S., as well as the tariffs, duties, and taxes to import the goods.</w:t>
            </w:r>
          </w:p>
        </w:tc>
      </w:tr>
      <w:tr>
        <w:tc>
          <w:tcPr/>
          <w:p>
            <w:pPr>
              <w:pStyle w:val="Compact"/>
            </w:pPr>
            <w:r>
              <w:rPr>
                <w:b/>
                <w:bCs/>
              </w:rPr>
              <w:t xml:space="preserve">Payment conditions</w:t>
            </w:r>
          </w:p>
        </w:tc>
        <w:tc>
          <w:tcPr/>
          <w:p>
            <w:pPr>
              <w:pStyle w:val="Compact"/>
            </w:pPr>
            <w:r>
              <w:t xml:space="preserve">40% at placement of purchase order; 40% before delivery; 20% at latest 30 days date of invoice / date of shipping documents — Against irrevocable and confirmed Letter of Credit (UBS Switzerland AG, Basel, IBAN CH92…)</w:t>
            </w:r>
          </w:p>
        </w:tc>
        <w:tc>
          <w:tcPr/>
          <w:p>
            <w:pPr>
              <w:pStyle w:val="Compact"/>
            </w:pPr>
            <w:r>
              <w:rPr>
                <w:b/>
                <w:bCs/>
              </w:rPr>
              <w:t xml:space="preserve">40% of the purchase order (PO)</w:t>
            </w:r>
            <w:r>
              <w:t xml:space="preserve"> </w:t>
            </w:r>
            <w:r>
              <w:t xml:space="preserve">as first down payment, payable upon receipt of invoice;</w:t>
            </w:r>
            <w:r>
              <w:t xml:space="preserve"> </w:t>
            </w:r>
            <w:r>
              <w:rPr>
                <w:b/>
                <w:bCs/>
              </w:rPr>
              <w:t xml:space="preserve">50% second down payment</w:t>
            </w:r>
            <w:r>
              <w:t xml:space="preserve">, invoiced and payable 30 days before shipping;</w:t>
            </w:r>
            <w:r>
              <w:t xml:space="preserve"> </w:t>
            </w:r>
            <w:r>
              <w:rPr>
                <w:b/>
                <w:bCs/>
              </w:rPr>
              <w:t xml:space="preserve">10% NET 30 days</w:t>
            </w:r>
            <w:r>
              <w:t xml:space="preserve"> </w:t>
            </w:r>
            <w:r>
              <w:t xml:space="preserve">date of shipping / invoiced and payable upon completion of onsite startup by WAB and operational acceptance by customer,</w:t>
            </w:r>
            <w:r>
              <w:t xml:space="preserve"> </w:t>
            </w:r>
            <w:r>
              <w:rPr>
                <w:b/>
                <w:bCs/>
              </w:rPr>
              <w:t xml:space="preserve">not to exceed 60 days after delivery date</w:t>
            </w:r>
            <w:r>
              <w:t xml:space="preserve"> </w:t>
            </w:r>
            <w:r>
              <w:t xml:space="preserve">— Bank Information:</w:t>
            </w:r>
            <w:r>
              <w:t xml:space="preserve"> </w:t>
            </w:r>
            <w:r>
              <w:rPr>
                <w:b/>
                <w:bCs/>
              </w:rPr>
              <w:t xml:space="preserve">Citibank, N.A., New York, NY, Acct: 4978514689, ABA: 021000089, Name on acct: WAB-US Corp</w:t>
            </w:r>
          </w:p>
        </w:tc>
      </w:tr>
      <w:tr>
        <w:tc>
          <w:tcPr/>
          <w:p>
            <w:pPr>
              <w:pStyle w:val="Compact"/>
            </w:pPr>
            <w:r>
              <w:rPr>
                <w:b/>
                <w:bCs/>
              </w:rPr>
              <w:t xml:space="preserve">Delivery time / Lead time</w:t>
            </w:r>
          </w:p>
        </w:tc>
        <w:tc>
          <w:tcPr/>
          <w:p>
            <w:pPr>
              <w:pStyle w:val="Compact"/>
            </w:pPr>
            <w:r>
              <w:rPr>
                <w:b/>
                <w:bCs/>
              </w:rPr>
              <w:t xml:space="preserve">Delivery time:</w:t>
            </w:r>
            <w:r>
              <w:t xml:space="preserve"> </w:t>
            </w:r>
            <w:r>
              <w:t xml:space="preserve">Approx. __ weeks FCA Muttenz from receipt of down payment / L/C and after clarification of all technical and commercial details.</w:t>
            </w:r>
          </w:p>
        </w:tc>
        <w:tc>
          <w:tcPr/>
          <w:p>
            <w:pPr>
              <w:pStyle w:val="Compact"/>
            </w:pPr>
            <w:r>
              <w:rPr>
                <w:b/>
                <w:bCs/>
              </w:rPr>
              <w:t xml:space="preserve">Lead time:</w:t>
            </w:r>
            <w:r>
              <w:t xml:space="preserve"> </w:t>
            </w:r>
            <w:r>
              <w:t xml:space="preserve">Approx. X weeks FCA Muttenz from receipt of down payment and after clarification of all technical and commercial details</w:t>
            </w:r>
          </w:p>
        </w:tc>
      </w:tr>
      <w:tr>
        <w:tc>
          <w:tcPr/>
          <w:p>
            <w:pPr>
              <w:pStyle w:val="Compact"/>
            </w:pPr>
            <w:r>
              <w:rPr>
                <w:b/>
                <w:bCs/>
              </w:rPr>
              <w:t xml:space="preserve">Customer side services</w:t>
            </w:r>
          </w:p>
        </w:tc>
        <w:tc>
          <w:tcPr/>
          <w:p>
            <w:pPr>
              <w:pStyle w:val="Compact"/>
            </w:pPr>
            <w:r>
              <w:t xml:space="preserve">The customer is responsible for installing and connecting the machine according to our instructions. The grinding media DYNO-Beads to operate the agitator bead mill can be ordered with the machine or from our local representatives.</w:t>
            </w:r>
          </w:p>
        </w:tc>
        <w:tc>
          <w:tcPr/>
          <w:p>
            <w:pPr>
              <w:pStyle w:val="Compact"/>
            </w:pPr>
            <w:r>
              <w:t xml:space="preserve">The customer is responsible for installing and connecting the</w:t>
            </w:r>
            <w:r>
              <w:t xml:space="preserve"> </w:t>
            </w:r>
            <w:r>
              <w:rPr>
                <w:b/>
                <w:bCs/>
              </w:rPr>
              <w:t xml:space="preserve">machines</w:t>
            </w:r>
            <w:r>
              <w:t xml:space="preserve"> </w:t>
            </w:r>
            <w:r>
              <w:t xml:space="preserve">according to our instructions.</w:t>
            </w:r>
            <w:r>
              <w:t xml:space="preserve"> </w:t>
            </w:r>
            <w:r>
              <w:rPr>
                <w:b/>
                <w:bCs/>
              </w:rPr>
              <w:t xml:space="preserve">These services can be ordered separately from us.</w:t>
            </w:r>
          </w:p>
        </w:tc>
      </w:tr>
      <w:tr>
        <w:tc>
          <w:tcPr/>
          <w:p>
            <w:pPr>
              <w:pStyle w:val="Compact"/>
            </w:pPr>
            <w:r>
              <w:rPr>
                <w:b/>
                <w:bCs/>
              </w:rPr>
              <w:t xml:space="preserve">Start-up</w:t>
            </w:r>
          </w:p>
        </w:tc>
        <w:tc>
          <w:tcPr/>
          <w:p>
            <w:pPr>
              <w:pStyle w:val="Compact"/>
            </w:pPr>
            <w:r>
              <w:t xml:space="preserve">Will be invoiced separately from us or our representatives.</w:t>
            </w:r>
          </w:p>
        </w:tc>
        <w:tc>
          <w:tcPr/>
          <w:p>
            <w:pPr>
              <w:pStyle w:val="Compact"/>
            </w:pPr>
            <w:r>
              <w:rPr>
                <w:b/>
                <w:bCs/>
              </w:rPr>
              <w:t xml:space="preserve">Included in this proposal / Will be invoiced separately, if requested</w:t>
            </w:r>
          </w:p>
        </w:tc>
      </w:tr>
      <w:tr>
        <w:tc>
          <w:tcPr/>
          <w:p>
            <w:pPr>
              <w:pStyle w:val="Compact"/>
            </w:pPr>
            <w:r>
              <w:rPr>
                <w:b/>
                <w:bCs/>
              </w:rPr>
              <w:t xml:space="preserve">Validity</w:t>
            </w:r>
          </w:p>
        </w:tc>
        <w:tc>
          <w:tcPr/>
          <w:p>
            <w:pPr>
              <w:pStyle w:val="Compact"/>
            </w:pPr>
            <w:r>
              <w:t xml:space="preserve">This</w:t>
            </w:r>
            <w:r>
              <w:t xml:space="preserve"> </w:t>
            </w:r>
            <w:r>
              <w:rPr>
                <w:b/>
                <w:bCs/>
              </w:rPr>
              <w:t xml:space="preserve">quotation</w:t>
            </w:r>
            <w:r>
              <w:t xml:space="preserve"> </w:t>
            </w:r>
            <w:r>
              <w:t xml:space="preserve">is valid until end of</w:t>
            </w:r>
            <w:r>
              <w:t xml:space="preserve"> </w:t>
            </w:r>
            <w:r>
              <w:rPr>
                <w:b/>
                <w:bCs/>
              </w:rPr>
              <w:t xml:space="preserve">XXXX</w:t>
            </w:r>
            <w:r>
              <w:t xml:space="preserve">.</w:t>
            </w:r>
          </w:p>
        </w:tc>
        <w:tc>
          <w:tcPr/>
          <w:p>
            <w:pPr>
              <w:pStyle w:val="Compact"/>
            </w:pPr>
            <w:r>
              <w:t xml:space="preserve">This</w:t>
            </w:r>
            <w:r>
              <w:t xml:space="preserve"> </w:t>
            </w:r>
            <w:r>
              <w:rPr>
                <w:b/>
                <w:bCs/>
              </w:rPr>
              <w:t xml:space="preserve">offer</w:t>
            </w:r>
            <w:r>
              <w:t xml:space="preserve"> </w:t>
            </w:r>
            <w:r>
              <w:t xml:space="preserve">is valid for</w:t>
            </w:r>
            <w:r>
              <w:t xml:space="preserve"> </w:t>
            </w:r>
            <w:r>
              <w:rPr>
                <w:b/>
                <w:bCs/>
              </w:rPr>
              <w:t xml:space="preserve">30 days</w:t>
            </w:r>
            <w:r>
              <w:t xml:space="preserve">.</w:t>
            </w:r>
          </w:p>
        </w:tc>
      </w:tr>
      <w:tr>
        <w:tc>
          <w:tcPr/>
          <w:p>
            <w:pPr>
              <w:pStyle w:val="Compact"/>
            </w:pPr>
            <w:r>
              <w:rPr>
                <w:i/>
                <w:iCs/>
              </w:rPr>
              <w:t xml:space="preserve">(not present)</w:t>
            </w:r>
          </w:p>
        </w:tc>
        <w:tc>
          <w:tcPr/>
          <w:p>
            <w:pPr>
              <w:pStyle w:val="Compact"/>
            </w:pPr>
            <w:r>
              <w:rPr>
                <w:b/>
                <w:bCs/>
              </w:rPr>
              <w:t xml:space="preserve">Documentation:</w:t>
            </w:r>
            <w:r>
              <w:t xml:space="preserve"> </w:t>
            </w:r>
            <w:r>
              <w:t xml:space="preserve">1 Operation manual in English.</w:t>
            </w:r>
          </w:p>
        </w:tc>
        <w:tc>
          <w:tcPr/>
          <w:p>
            <w:pPr>
              <w:pStyle w:val="Compact"/>
            </w:pPr>
          </w:p>
        </w:tc>
      </w:tr>
      <w:tr>
        <w:tc>
          <w:tcPr/>
          <w:p>
            <w:pPr>
              <w:pStyle w:val="Compact"/>
            </w:pPr>
            <w:r>
              <w:rPr>
                <w:i/>
                <w:iCs/>
              </w:rPr>
              <w:t xml:space="preserve">(not present)</w:t>
            </w:r>
          </w:p>
        </w:tc>
        <w:tc>
          <w:tcPr/>
          <w:p>
            <w:pPr>
              <w:pStyle w:val="Compact"/>
            </w:pPr>
            <w:r>
              <w:rPr>
                <w:b/>
                <w:bCs/>
              </w:rPr>
              <w:t xml:space="preserve">Warranty:</w:t>
            </w:r>
            <w:r>
              <w:t xml:space="preserve"> </w:t>
            </w:r>
            <w:r>
              <w:t xml:space="preserve">According to our</w:t>
            </w:r>
            <w:r>
              <w:t xml:space="preserve"> </w:t>
            </w:r>
            <w:r>
              <w:t xml:space="preserve">‘Standard Terms and Conditions of Sale’</w:t>
            </w:r>
            <w:r>
              <w:t xml:space="preserve">. The warranty excludes all wear parts.</w:t>
            </w:r>
          </w:p>
        </w:tc>
        <w:tc>
          <w:tcPr/>
          <w:p>
            <w:pPr>
              <w:pStyle w:val="Compact"/>
            </w:pPr>
          </w:p>
        </w:tc>
      </w:tr>
      <w:tr>
        <w:tc>
          <w:tcPr/>
          <w:p>
            <w:pPr>
              <w:pStyle w:val="Compact"/>
            </w:pPr>
            <w:r>
              <w:rPr>
                <w:b/>
                <w:bCs/>
              </w:rPr>
              <w:t xml:space="preserve">Property reservation</w:t>
            </w:r>
          </w:p>
        </w:tc>
        <w:tc>
          <w:tcPr/>
          <w:p>
            <w:pPr>
              <w:pStyle w:val="Compact"/>
            </w:pPr>
            <w:r>
              <w:t xml:space="preserve">The goods remain our property without any restrictions, until fully paid.</w:t>
            </w:r>
          </w:p>
        </w:tc>
        <w:tc>
          <w:tcPr/>
          <w:p>
            <w:pPr>
              <w:pStyle w:val="Compact"/>
            </w:pPr>
            <w:r>
              <w:t xml:space="preserve">The goods remain our property without any restrictions, until fully paid.</w:t>
            </w:r>
          </w:p>
        </w:tc>
      </w:tr>
      <w:tr>
        <w:tc>
          <w:tcPr/>
          <w:p>
            <w:pPr>
              <w:pStyle w:val="Compact"/>
            </w:pPr>
            <w:r>
              <w:rPr>
                <w:b/>
                <w:bCs/>
              </w:rPr>
              <w:t xml:space="preserve">Delivery terms</w:t>
            </w:r>
          </w:p>
        </w:tc>
        <w:tc>
          <w:tcPr/>
          <w:p>
            <w:pPr>
              <w:pStyle w:val="Compact"/>
            </w:pPr>
            <w:r>
              <w:t xml:space="preserve">According the document</w:t>
            </w:r>
            <w:r>
              <w:t xml:space="preserve"> </w:t>
            </w:r>
            <w:r>
              <w:t xml:space="preserve">“General Conditions of Contract for the supply of machinery and spare part”</w:t>
            </w:r>
            <w:r>
              <w:t xml:space="preserve"> </w:t>
            </w:r>
            <w:r>
              <w:t xml:space="preserve">in its current version — https://www.wab-group.com/fileadmin/GC-WAB-AG.pdf</w:t>
            </w:r>
          </w:p>
        </w:tc>
        <w:tc>
          <w:tcPr/>
          <w:p>
            <w:pPr>
              <w:pStyle w:val="Compact"/>
            </w:pPr>
            <w:r>
              <w:t xml:space="preserve">According to our</w:t>
            </w:r>
            <w:r>
              <w:t xml:space="preserve"> </w:t>
            </w:r>
            <w:r>
              <w:rPr>
                <w:b/>
                <w:bCs/>
              </w:rPr>
              <w:t xml:space="preserve">‘Standard Terms and Conditions of Sale’</w:t>
            </w:r>
            <w:r>
              <w:rPr>
                <w:b/>
                <w:bCs/>
              </w:rPr>
              <w:t xml:space="preserve">.</w:t>
            </w:r>
          </w:p>
        </w:tc>
      </w:tr>
      <w:tr>
        <w:tc>
          <w:tcPr/>
          <w:p>
            <w:pPr>
              <w:pStyle w:val="Compact"/>
            </w:pPr>
            <w:r>
              <w:rPr>
                <w:i/>
                <w:iCs/>
              </w:rPr>
              <w:t xml:space="preserve">(not present)</w:t>
            </w:r>
          </w:p>
        </w:tc>
        <w:tc>
          <w:tcPr/>
          <w:p>
            <w:pPr>
              <w:pStyle w:val="Compact"/>
            </w:pPr>
            <w:r>
              <w:rPr>
                <w:b/>
                <w:bCs/>
              </w:rPr>
              <w:t xml:space="preserve">Disclaimer:</w:t>
            </w:r>
            <w:r>
              <w:t xml:space="preserve"> </w:t>
            </w:r>
            <w:r>
              <w:t xml:space="preserve">Due to ongoing tariff changes, any duties or charges imposed after order confirmation are the customer’s responsibility and will be added to the final invoice. By ordering, the customer agrees to cover these costs.</w:t>
            </w:r>
          </w:p>
        </w:tc>
        <w:tc>
          <w:tcPr/>
          <w:p>
            <w:pPr>
              <w:pStyle w:val="Compact"/>
            </w:pPr>
          </w:p>
        </w:tc>
      </w:tr>
      <w:tr>
        <w:tc>
          <w:tcPr/>
          <w:p>
            <w:pPr>
              <w:pStyle w:val="Compact"/>
            </w:pPr>
            <w:r>
              <w:rPr>
                <w:b/>
                <w:bCs/>
              </w:rPr>
              <w:t xml:space="preserve">Origin</w:t>
            </w:r>
          </w:p>
        </w:tc>
        <w:tc>
          <w:tcPr/>
          <w:p>
            <w:pPr>
              <w:pStyle w:val="Compact"/>
            </w:pPr>
            <w:r>
              <w:t xml:space="preserve">The</w:t>
            </w:r>
            <w:r>
              <w:t xml:space="preserve"> </w:t>
            </w:r>
            <w:r>
              <w:rPr>
                <w:b/>
                <w:bCs/>
              </w:rPr>
              <w:t xml:space="preserve">above mentioned</w:t>
            </w:r>
            <w:r>
              <w:t xml:space="preserve"> </w:t>
            </w:r>
            <w:r>
              <w:t xml:space="preserve">goods are of Swiss origin (</w:t>
            </w:r>
            <w:r>
              <w:rPr>
                <w:b/>
                <w:bCs/>
              </w:rPr>
              <w:t xml:space="preserve">HS-Code</w:t>
            </w:r>
            <w:r>
              <w:t xml:space="preserve"> </w:t>
            </w:r>
            <w:r>
              <w:t xml:space="preserve">8479.82).</w:t>
            </w:r>
          </w:p>
        </w:tc>
        <w:tc>
          <w:tcPr/>
          <w:p>
            <w:pPr>
              <w:pStyle w:val="Compact"/>
            </w:pPr>
            <w:r>
              <w:t xml:space="preserve">The</w:t>
            </w:r>
            <w:r>
              <w:t xml:space="preserve"> </w:t>
            </w:r>
            <w:r>
              <w:rPr>
                <w:b/>
                <w:bCs/>
              </w:rPr>
              <w:t xml:space="preserve">above-mentioned</w:t>
            </w:r>
            <w:r>
              <w:t xml:space="preserve"> </w:t>
            </w:r>
            <w:r>
              <w:t xml:space="preserve">goods are of Swiss origin (</w:t>
            </w:r>
            <w:r>
              <w:rPr>
                <w:b/>
                <w:bCs/>
              </w:rPr>
              <w:t xml:space="preserve">HS Code</w:t>
            </w:r>
            <w:r>
              <w:t xml:space="preserve"> </w:t>
            </w:r>
            <w:r>
              <w:t xml:space="preserve">8479.82).</w:t>
            </w:r>
            <w:r>
              <w:t xml:space="preserve"> </w:t>
            </w:r>
            <w:r>
              <w:rPr>
                <w:b/>
                <w:bCs/>
              </w:rPr>
              <w:t xml:space="preserve">Changes reserved.</w:t>
            </w:r>
          </w:p>
        </w:tc>
      </w:tr>
      <w:tr>
        <w:tc>
          <w:tcPr/>
          <w:p>
            <w:pPr>
              <w:pStyle w:val="Compact"/>
            </w:pPr>
            <w:r>
              <w:rPr>
                <w:b/>
                <w:bCs/>
              </w:rPr>
              <w:t xml:space="preserve">Footer</w:t>
            </w:r>
          </w:p>
        </w:tc>
        <w:tc>
          <w:tcPr/>
          <w:p>
            <w:pPr>
              <w:pStyle w:val="Compact"/>
            </w:pPr>
            <w:r>
              <w:t xml:space="preserve">WILLY A. BACHOFEN AG</w:t>
            </w:r>
            <w:r>
              <w:t xml:space="preserve"> </w:t>
            </w:r>
            <w:r>
              <w:rPr>
                <w:i/>
                <w:iCs/>
              </w:rPr>
              <w:t xml:space="preserve">(+ empty signature table)</w:t>
            </w:r>
          </w:p>
        </w:tc>
        <w:tc>
          <w:tcPr/>
          <w:p>
            <w:pPr>
              <w:pStyle w:val="Compact"/>
            </w:pPr>
            <w:r>
              <w:rPr>
                <w:b/>
                <w:bCs/>
              </w:rPr>
              <w:t xml:space="preserve">WAB US Corp.</w:t>
            </w:r>
            <w:r>
              <w:t xml:space="preserve"> </w:t>
            </w:r>
            <w:r>
              <w:t xml:space="preserve">— Name — Area Sales Manager — (phone) — (email)</w:t>
            </w:r>
          </w:p>
        </w:tc>
      </w:tr>
    </w:tbl>
    <w:p>
      <w:pPr>
        <w:pStyle w:val="BodyText"/>
      </w:pPr>
      <w:r>
        <w:rPr>
          <w:b/>
          <w:bCs/>
        </w:rPr>
        <w:t xml:space="preserve">Difference: Major</w:t>
      </w:r>
      <w:r>
        <w:t xml:space="preserve"> </w:t>
      </w:r>
      <w:r>
        <w:t xml:space="preserve">— Almost identical to UBM Terms of Delivery changes, with one notable exception:</w:t>
      </w:r>
      <w:r>
        <w:t xml:space="preserve"> </w:t>
      </w:r>
      <w:r>
        <w:t xml:space="preserve">-</w:t>
      </w:r>
      <w:r>
        <w:t xml:space="preserve"> </w:t>
      </w:r>
      <w:r>
        <w:rPr>
          <w:b/>
          <w:bCs/>
        </w:rPr>
        <w:t xml:space="preserve">ECM payment split is 40/50/10</w:t>
      </w:r>
      <w:r>
        <w:t xml:space="preserve"> </w:t>
      </w:r>
      <w:r>
        <w:t xml:space="preserve">(vs UBM’s 40/40/20). This is a product-line-specific difference in payment terms, likely reflecting the higher value of ECM equipment.</w:t>
      </w:r>
      <w:r>
        <w:t xml:space="preserve"> </w:t>
      </w:r>
      <w:r>
        <w:t xml:space="preserve">- All other changes (quotation scope, bank, lead time, customer services, start-up, validity, delivery terms, disclaimer, origin, footer) are identical to UBM.</w:t>
      </w:r>
    </w:p>
    <w:p>
      <w:r>
        <w:pict>
          <v:rect style="width:0;height:1.5pt" o:hralign="center" o:hrstd="t" o:hr="t"/>
        </w:pict>
      </w:r>
    </w:p>
    <w:bookmarkEnd w:id="24"/>
    <w:bookmarkEnd w:id="25"/>
    <w:bookmarkStart w:id="26" w:name="summary-of-differences-sections-58"/>
    <w:p>
      <w:pPr>
        <w:pStyle w:val="Heading2"/>
      </w:pPr>
      <w:r>
        <w:t xml:space="preserve">Summary of Differences (Sections 5–8)</w:t>
      </w:r>
    </w:p>
    <w:tbl>
      <w:tblPr>
        <w:tblStyle w:val="Table"/>
        <w:tblW w:type="pct" w:w="5000"/>
        <w:tblLayout w:type="fixed"/>
        <w:tblLook w:firstRow="1" w:lastRow="0" w:firstColumn="0" w:lastColumn="0" w:noHBand="0" w:noVBand="0" w:val="0020"/>
      </w:tblPr>
      <w:tblGrid>
        <w:gridCol w:w="3099"/>
        <w:gridCol w:w="1721"/>
        <w:gridCol w:w="1721"/>
        <w:gridCol w:w="1377"/>
      </w:tblGrid>
      <w:tr>
        <w:trPr>
          <w:tblHeader w:val="on"/>
        </w:trPr>
        <w:tc>
          <w:tcPr/>
          <w:p>
            <w:pPr>
              <w:pStyle w:val="Compact"/>
              <w:jc w:val="left"/>
            </w:pPr>
            <w:r>
              <w:t xml:space="preserve">Section</w:t>
            </w:r>
          </w:p>
        </w:tc>
        <w:tc>
          <w:tcPr/>
          <w:p>
            <w:pPr>
              <w:pStyle w:val="Compact"/>
              <w:jc w:val="center"/>
            </w:pPr>
            <w:r>
              <w:t xml:space="preserve">CHE # → USA #</w:t>
            </w:r>
          </w:p>
        </w:tc>
        <w:tc>
          <w:tcPr/>
          <w:p>
            <w:pPr>
              <w:pStyle w:val="Compact"/>
              <w:jc w:val="center"/>
            </w:pPr>
            <w:r>
              <w:t xml:space="preserve">Assessment</w:t>
            </w:r>
          </w:p>
        </w:tc>
        <w:tc>
          <w:tcPr/>
          <w:p>
            <w:pPr>
              <w:pStyle w:val="Compact"/>
              <w:jc w:val="left"/>
            </w:pPr>
            <w:r>
              <w:t xml:space="preserve">Key Changes</w:t>
            </w:r>
          </w:p>
        </w:tc>
      </w:tr>
      <w:tr>
        <w:tc>
          <w:tcPr/>
          <w:p>
            <w:pPr>
              <w:pStyle w:val="Compact"/>
              <w:jc w:val="left"/>
            </w:pPr>
            <w:r>
              <w:t xml:space="preserve">Motor Starter Cabinet — spec</w:t>
            </w:r>
          </w:p>
        </w:tc>
        <w:tc>
          <w:tcPr/>
          <w:p>
            <w:pPr>
              <w:pStyle w:val="Compact"/>
              <w:jc w:val="center"/>
            </w:pPr>
            <w:r>
              <w:t xml:space="preserve">5 → 5</w:t>
            </w:r>
          </w:p>
        </w:tc>
        <w:tc>
          <w:tcPr/>
          <w:p>
            <w:pPr>
              <w:pStyle w:val="Compact"/>
              <w:jc w:val="center"/>
            </w:pPr>
            <w:r>
              <w:t xml:space="preserve">Modest</w:t>
            </w:r>
          </w:p>
        </w:tc>
        <w:tc>
          <w:tcPr/>
          <w:p>
            <w:pPr>
              <w:pStyle w:val="Compact"/>
              <w:jc w:val="left"/>
            </w:pPr>
            <w:r>
              <w:t xml:space="preserve">400V→460V, IP 55 removed, transformer→DC supply; PLC and contactors retained</w:t>
            </w:r>
          </w:p>
        </w:tc>
      </w:tr>
      <w:tr>
        <w:tc>
          <w:tcPr/>
          <w:p>
            <w:pPr>
              <w:pStyle w:val="Compact"/>
              <w:jc w:val="left"/>
            </w:pPr>
            <w:r>
              <w:t xml:space="preserve">Motor Starter Cabinet — price</w:t>
            </w:r>
          </w:p>
        </w:tc>
        <w:tc>
          <w:tcPr/>
          <w:p>
            <w:pPr>
              <w:pStyle w:val="Compact"/>
              <w:jc w:val="center"/>
            </w:pPr>
            <w:r>
              <w:t xml:space="preserve">5 → 5</w:t>
            </w:r>
          </w:p>
        </w:tc>
        <w:tc>
          <w:tcPr/>
          <w:p>
            <w:pPr>
              <w:pStyle w:val="Compact"/>
              <w:jc w:val="center"/>
            </w:pPr>
            <w:r>
              <w:rPr>
                <w:b/>
                <w:bCs/>
              </w:rPr>
              <w:t xml:space="preserve">Major</w:t>
            </w:r>
          </w:p>
        </w:tc>
        <w:tc>
          <w:tcPr/>
          <w:p>
            <w:pPr>
              <w:pStyle w:val="Compact"/>
              <w:jc w:val="left"/>
            </w:pPr>
            <w:r>
              <w:t xml:space="preserve">CHF 41,490 → USD 70,284 (×1.694)</w:t>
            </w:r>
          </w:p>
        </w:tc>
      </w:tr>
      <w:tr>
        <w:tc>
          <w:tcPr/>
          <w:p>
            <w:pPr>
              <w:pStyle w:val="Compact"/>
              <w:jc w:val="left"/>
            </w:pPr>
            <w:r>
              <w:t xml:space="preserve">Grinding Media</w:t>
            </w:r>
          </w:p>
        </w:tc>
        <w:tc>
          <w:tcPr/>
          <w:p>
            <w:pPr>
              <w:pStyle w:val="Compact"/>
              <w:jc w:val="center"/>
            </w:pPr>
            <w:r>
              <w:rPr>
                <w:i/>
                <w:iCs/>
              </w:rPr>
              <w:t xml:space="preserve">(new)</w:t>
            </w:r>
            <w:r>
              <w:t xml:space="preserve"> </w:t>
            </w:r>
            <w:r>
              <w:t xml:space="preserve">→ 6</w:t>
            </w:r>
          </w:p>
        </w:tc>
        <w:tc>
          <w:tcPr/>
          <w:p>
            <w:pPr>
              <w:pStyle w:val="Compact"/>
              <w:jc w:val="center"/>
            </w:pPr>
            <w:r>
              <w:rPr>
                <w:b/>
                <w:bCs/>
              </w:rPr>
              <w:t xml:space="preserve">Major</w:t>
            </w:r>
          </w:p>
        </w:tc>
        <w:tc>
          <w:tcPr/>
          <w:p>
            <w:pPr>
              <w:pStyle w:val="Compact"/>
              <w:jc w:val="left"/>
            </w:pPr>
            <w:r>
              <w:t xml:space="preserve">New section, identical to UBM</w:t>
            </w:r>
          </w:p>
        </w:tc>
      </w:tr>
      <w:tr>
        <w:tc>
          <w:tcPr/>
          <w:p>
            <w:pPr>
              <w:pStyle w:val="Compact"/>
              <w:jc w:val="left"/>
            </w:pPr>
            <w:r>
              <w:t xml:space="preserve">Onsite Services</w:t>
            </w:r>
          </w:p>
        </w:tc>
        <w:tc>
          <w:tcPr/>
          <w:p>
            <w:pPr>
              <w:pStyle w:val="Compact"/>
              <w:jc w:val="center"/>
            </w:pPr>
            <w:r>
              <w:rPr>
                <w:i/>
                <w:iCs/>
              </w:rPr>
              <w:t xml:space="preserve">(new)</w:t>
            </w:r>
            <w:r>
              <w:t xml:space="preserve"> </w:t>
            </w:r>
            <w:r>
              <w:t xml:space="preserve">→ 7</w:t>
            </w:r>
          </w:p>
        </w:tc>
        <w:tc>
          <w:tcPr/>
          <w:p>
            <w:pPr>
              <w:pStyle w:val="Compact"/>
              <w:jc w:val="center"/>
            </w:pPr>
            <w:r>
              <w:rPr>
                <w:b/>
                <w:bCs/>
              </w:rPr>
              <w:t xml:space="preserve">Major</w:t>
            </w:r>
          </w:p>
        </w:tc>
        <w:tc>
          <w:tcPr/>
          <w:p>
            <w:pPr>
              <w:pStyle w:val="Compact"/>
              <w:jc w:val="left"/>
            </w:pPr>
            <w:r>
              <w:t xml:space="preserve">New section, identical to UBM</w:t>
            </w:r>
          </w:p>
        </w:tc>
      </w:tr>
      <w:tr>
        <w:tc>
          <w:tcPr/>
          <w:p>
            <w:pPr>
              <w:pStyle w:val="Compact"/>
              <w:jc w:val="left"/>
            </w:pPr>
            <w:r>
              <w:t xml:space="preserve">Price Summary (ZrO₂)</w:t>
            </w:r>
          </w:p>
        </w:tc>
        <w:tc>
          <w:tcPr/>
          <w:p>
            <w:pPr>
              <w:pStyle w:val="Compact"/>
              <w:jc w:val="center"/>
            </w:pPr>
            <w:r>
              <w:t xml:space="preserve">6 → 8</w:t>
            </w:r>
          </w:p>
        </w:tc>
        <w:tc>
          <w:tcPr/>
          <w:p>
            <w:pPr>
              <w:pStyle w:val="Compact"/>
              <w:jc w:val="center"/>
            </w:pPr>
            <w:r>
              <w:rPr>
                <w:b/>
                <w:bCs/>
              </w:rPr>
              <w:t xml:space="preserve">Major</w:t>
            </w:r>
          </w:p>
        </w:tc>
        <w:tc>
          <w:tcPr/>
          <w:p>
            <w:pPr>
              <w:pStyle w:val="Compact"/>
              <w:jc w:val="left"/>
            </w:pPr>
            <w:r>
              <w:t xml:space="preserve">4 new line items, tax disclaimer; machine subtotal ×1.671</w:t>
            </w:r>
          </w:p>
        </w:tc>
      </w:tr>
      <w:tr>
        <w:tc>
          <w:tcPr/>
          <w:p>
            <w:pPr>
              <w:pStyle w:val="Compact"/>
              <w:jc w:val="left"/>
            </w:pPr>
            <w:r>
              <w:t xml:space="preserve">Price Summary (SiC)</w:t>
            </w:r>
          </w:p>
        </w:tc>
        <w:tc>
          <w:tcPr/>
          <w:p>
            <w:pPr>
              <w:pStyle w:val="Compact"/>
              <w:jc w:val="center"/>
            </w:pPr>
            <w:r>
              <w:t xml:space="preserve">6 → 8</w:t>
            </w:r>
          </w:p>
        </w:tc>
        <w:tc>
          <w:tcPr/>
          <w:p>
            <w:pPr>
              <w:pStyle w:val="Compact"/>
              <w:jc w:val="center"/>
            </w:pPr>
            <w:r>
              <w:rPr>
                <w:b/>
                <w:bCs/>
              </w:rPr>
              <w:t xml:space="preserve">Major</w:t>
            </w:r>
          </w:p>
        </w:tc>
        <w:tc>
          <w:tcPr/>
          <w:p>
            <w:pPr>
              <w:pStyle w:val="Compact"/>
              <w:jc w:val="left"/>
            </w:pPr>
            <w:r>
              <w:t xml:space="preserve">Same structure; machine subtotal ×1.668</w:t>
            </w:r>
          </w:p>
        </w:tc>
      </w:tr>
      <w:tr>
        <w:tc>
          <w:tcPr/>
          <w:p>
            <w:pPr>
              <w:pStyle w:val="Compact"/>
              <w:jc w:val="left"/>
            </w:pPr>
            <w:r>
              <w:t xml:space="preserve">Options — spare parts</w:t>
            </w:r>
          </w:p>
        </w:tc>
        <w:tc>
          <w:tcPr/>
          <w:p>
            <w:pPr>
              <w:pStyle w:val="Compact"/>
              <w:jc w:val="center"/>
            </w:pPr>
            <w:r>
              <w:t xml:space="preserve">7 → 9.1</w:t>
            </w:r>
          </w:p>
        </w:tc>
        <w:tc>
          <w:tcPr/>
          <w:p>
            <w:pPr>
              <w:pStyle w:val="Compact"/>
              <w:jc w:val="center"/>
            </w:pPr>
            <w:r>
              <w:t xml:space="preserve">Modest</w:t>
            </w:r>
          </w:p>
        </w:tc>
        <w:tc>
          <w:tcPr/>
          <w:p>
            <w:pPr>
              <w:pStyle w:val="Compact"/>
              <w:jc w:val="left"/>
            </w:pPr>
            <w:r>
              <w:t xml:space="preserve">Same items, currency swap, factor ×2.834</w:t>
            </w:r>
          </w:p>
        </w:tc>
      </w:tr>
      <w:tr>
        <w:tc>
          <w:tcPr/>
          <w:p>
            <w:pPr>
              <w:pStyle w:val="Compact"/>
              <w:jc w:val="left"/>
            </w:pPr>
            <w:r>
              <w:t xml:space="preserve">Options — Audit Trail/FDA</w:t>
            </w:r>
          </w:p>
        </w:tc>
        <w:tc>
          <w:tcPr/>
          <w:p>
            <w:pPr>
              <w:pStyle w:val="Compact"/>
              <w:jc w:val="center"/>
            </w:pPr>
            <w:r>
              <w:t xml:space="preserve">7 →</w:t>
            </w:r>
            <w:r>
              <w:t xml:space="preserve"> </w:t>
            </w:r>
            <w:r>
              <w:rPr>
                <w:i/>
                <w:iCs/>
              </w:rPr>
              <w:t xml:space="preserve">(missing)</w:t>
            </w:r>
          </w:p>
        </w:tc>
        <w:tc>
          <w:tcPr/>
          <w:p>
            <w:pPr>
              <w:pStyle w:val="Compact"/>
              <w:jc w:val="center"/>
            </w:pPr>
            <w:r>
              <w:rPr>
                <w:b/>
                <w:bCs/>
              </w:rPr>
              <w:t xml:space="preserve">Major</w:t>
            </w:r>
          </w:p>
        </w:tc>
        <w:tc>
          <w:tcPr/>
          <w:p>
            <w:pPr>
              <w:pStyle w:val="Compact"/>
              <w:jc w:val="left"/>
            </w:pPr>
            <w:r>
              <w:t xml:space="preserve">CHE-only option removed in USA</w:t>
            </w:r>
          </w:p>
        </w:tc>
      </w:tr>
      <w:tr>
        <w:tc>
          <w:tcPr/>
          <w:p>
            <w:pPr>
              <w:pStyle w:val="Compact"/>
              <w:jc w:val="left"/>
            </w:pPr>
            <w:r>
              <w:t xml:space="preserve">Options — documentation</w:t>
            </w:r>
          </w:p>
        </w:tc>
        <w:tc>
          <w:tcPr/>
          <w:p>
            <w:pPr>
              <w:pStyle w:val="Compact"/>
              <w:jc w:val="center"/>
            </w:pPr>
            <w:r>
              <w:rPr>
                <w:i/>
                <w:iCs/>
              </w:rPr>
              <w:t xml:space="preserve">(new)</w:t>
            </w:r>
            <w:r>
              <w:t xml:space="preserve"> </w:t>
            </w:r>
            <w:r>
              <w:t xml:space="preserve">→ 9.2</w:t>
            </w:r>
          </w:p>
        </w:tc>
        <w:tc>
          <w:tcPr/>
          <w:p>
            <w:pPr>
              <w:pStyle w:val="Compact"/>
              <w:jc w:val="center"/>
            </w:pPr>
            <w:r>
              <w:rPr>
                <w:b/>
                <w:bCs/>
              </w:rPr>
              <w:t xml:space="preserve">Major</w:t>
            </w:r>
          </w:p>
        </w:tc>
        <w:tc>
          <w:tcPr/>
          <w:p>
            <w:pPr>
              <w:pStyle w:val="Compact"/>
              <w:jc w:val="left"/>
            </w:pPr>
            <w:r>
              <w:t xml:space="preserve">New subsection, identical to UBM</w:t>
            </w:r>
          </w:p>
        </w:tc>
      </w:tr>
      <w:tr>
        <w:tc>
          <w:tcPr/>
          <w:p>
            <w:pPr>
              <w:pStyle w:val="Compact"/>
              <w:jc w:val="left"/>
            </w:pPr>
            <w:r>
              <w:t xml:space="preserve">Terms of Delivery</w:t>
            </w:r>
          </w:p>
        </w:tc>
        <w:tc>
          <w:tcPr/>
          <w:p>
            <w:pPr>
              <w:pStyle w:val="Compact"/>
              <w:jc w:val="center"/>
            </w:pPr>
            <w:r>
              <w:t xml:space="preserve">8 → 10</w:t>
            </w:r>
          </w:p>
        </w:tc>
        <w:tc>
          <w:tcPr/>
          <w:p>
            <w:pPr>
              <w:pStyle w:val="Compact"/>
              <w:jc w:val="center"/>
            </w:pPr>
            <w:r>
              <w:rPr>
                <w:b/>
                <w:bCs/>
              </w:rPr>
              <w:t xml:space="preserve">Major</w:t>
            </w:r>
          </w:p>
        </w:tc>
        <w:tc>
          <w:tcPr/>
          <w:p>
            <w:pPr>
              <w:pStyle w:val="Compact"/>
              <w:jc w:val="left"/>
            </w:pPr>
            <w:r>
              <w:t xml:space="preserve">Rewritten; payment split 40/50/10 (vs UBM 40/40/20)</w:t>
            </w:r>
          </w:p>
        </w:tc>
      </w:tr>
    </w:tbl>
    <w:p>
      <w:r>
        <w:pict>
          <v:rect style="width:0;height:1.5pt" o:hralign="center" o:hrstd="t" o:hr="t"/>
        </w:pict>
      </w:r>
    </w:p>
    <w:bookmarkEnd w:id="26"/>
    <w:bookmarkStart w:id="28" w:name="Xd28bf1cc79367ebb114e4f5f3c11b642d49cd90"/>
    <w:p>
      <w:pPr>
        <w:pStyle w:val="Heading2"/>
      </w:pPr>
      <w:r>
        <w:t xml:space="preserve">Cross-Product Comparison: ECM vs UBM (Sections 5–8)</w:t>
      </w:r>
    </w:p>
    <w:tbl>
      <w:tblPr>
        <w:tblStyle w:val="Table"/>
        <w:tblW w:type="pct" w:w="5000"/>
        <w:tblLayout w:type="fixed"/>
        <w:tblLook w:firstRow="1" w:lastRow="0" w:firstColumn="0" w:lastColumn="0" w:noHBand="0" w:noVBand="0" w:val="0020"/>
      </w:tblPr>
      <w:tblGrid>
        <w:gridCol w:w="3240"/>
        <w:gridCol w:w="1440"/>
        <w:gridCol w:w="1440"/>
        <w:gridCol w:w="1800"/>
      </w:tblGrid>
      <w:tr>
        <w:trPr>
          <w:tblHeader w:val="on"/>
        </w:trPr>
        <w:tc>
          <w:tcPr/>
          <w:p>
            <w:pPr>
              <w:pStyle w:val="Compact"/>
              <w:jc w:val="left"/>
            </w:pPr>
            <w:r>
              <w:t xml:space="preserve">Pattern</w:t>
            </w:r>
          </w:p>
        </w:tc>
        <w:tc>
          <w:tcPr/>
          <w:p>
            <w:pPr>
              <w:pStyle w:val="Compact"/>
              <w:jc w:val="left"/>
            </w:pPr>
            <w:r>
              <w:t xml:space="preserve">UBM</w:t>
            </w:r>
          </w:p>
        </w:tc>
        <w:tc>
          <w:tcPr/>
          <w:p>
            <w:pPr>
              <w:pStyle w:val="Compact"/>
              <w:jc w:val="left"/>
            </w:pPr>
            <w:r>
              <w:t xml:space="preserve">ECM</w:t>
            </w:r>
          </w:p>
        </w:tc>
        <w:tc>
          <w:tcPr/>
          <w:p>
            <w:pPr>
              <w:pStyle w:val="Compact"/>
              <w:jc w:val="center"/>
            </w:pPr>
            <w:r>
              <w:t xml:space="preserve">Same?</w:t>
            </w:r>
          </w:p>
        </w:tc>
      </w:tr>
      <w:tr>
        <w:tc>
          <w:tcPr/>
          <w:p>
            <w:pPr>
              <w:pStyle w:val="Compact"/>
              <w:jc w:val="left"/>
            </w:pPr>
            <w:r>
              <w:t xml:space="preserve">Motor Starter Cabinet: voltage change</w:t>
            </w:r>
          </w:p>
        </w:tc>
        <w:tc>
          <w:tcPr/>
          <w:p>
            <w:pPr>
              <w:pStyle w:val="Compact"/>
              <w:jc w:val="left"/>
            </w:pPr>
            <w:r>
              <w:t xml:space="preserve">400V→460V</w:t>
            </w:r>
          </w:p>
        </w:tc>
        <w:tc>
          <w:tcPr/>
          <w:p>
            <w:pPr>
              <w:pStyle w:val="Compact"/>
              <w:jc w:val="left"/>
            </w:pPr>
            <w:r>
              <w:t xml:space="preserve">400V→460V</w:t>
            </w:r>
          </w:p>
        </w:tc>
        <w:tc>
          <w:tcPr/>
          <w:p>
            <w:pPr>
              <w:pStyle w:val="Compact"/>
              <w:jc w:val="center"/>
            </w:pPr>
            <w:r>
              <w:t xml:space="preserve">yes</w:t>
            </w:r>
          </w:p>
        </w:tc>
      </w:tr>
      <w:tr>
        <w:tc>
          <w:tcPr/>
          <w:p>
            <w:pPr>
              <w:pStyle w:val="Compact"/>
              <w:jc w:val="left"/>
            </w:pPr>
            <w:r>
              <w:t xml:space="preserve">Motor Starter Cabinet: IP 55 removed</w:t>
            </w:r>
          </w:p>
        </w:tc>
        <w:tc>
          <w:tcPr/>
          <w:p>
            <w:pPr>
              <w:pStyle w:val="Compact"/>
              <w:jc w:val="left"/>
            </w:pPr>
            <w:r>
              <w:t xml:space="preserve">yes, NEMA 12 added</w:t>
            </w:r>
          </w:p>
        </w:tc>
        <w:tc>
          <w:tcPr/>
          <w:p>
            <w:pPr>
              <w:pStyle w:val="Compact"/>
              <w:jc w:val="left"/>
            </w:pPr>
            <w:r>
              <w:t xml:space="preserve">yes, nothing added</w:t>
            </w:r>
          </w:p>
        </w:tc>
        <w:tc>
          <w:tcPr/>
          <w:p>
            <w:pPr>
              <w:pStyle w:val="Compact"/>
              <w:jc w:val="center"/>
            </w:pPr>
            <w:r>
              <w:rPr>
                <w:b/>
                <w:bCs/>
              </w:rPr>
              <w:t xml:space="preserve">~no</w:t>
            </w:r>
          </w:p>
        </w:tc>
      </w:tr>
      <w:tr>
        <w:tc>
          <w:tcPr/>
          <w:p>
            <w:pPr>
              <w:pStyle w:val="Compact"/>
              <w:jc w:val="left"/>
            </w:pPr>
            <w:r>
              <w:t xml:space="preserve">Motor Starter Cabinet: contactors removed</w:t>
            </w:r>
          </w:p>
        </w:tc>
        <w:tc>
          <w:tcPr/>
          <w:p>
            <w:pPr>
              <w:pStyle w:val="Compact"/>
              <w:jc w:val="left"/>
            </w:pPr>
            <w:r>
              <w:t xml:space="preserve">mill + pump contactors removed</w:t>
            </w:r>
          </w:p>
        </w:tc>
        <w:tc>
          <w:tcPr/>
          <w:p>
            <w:pPr>
              <w:pStyle w:val="Compact"/>
              <w:jc w:val="left"/>
            </w:pPr>
            <w:r>
              <w:t xml:space="preserve">all contactors retained</w:t>
            </w:r>
          </w:p>
        </w:tc>
        <w:tc>
          <w:tcPr/>
          <w:p>
            <w:pPr>
              <w:pStyle w:val="Compact"/>
              <w:jc w:val="center"/>
            </w:pPr>
            <w:r>
              <w:rPr>
                <w:b/>
                <w:bCs/>
              </w:rPr>
              <w:t xml:space="preserve">no</w:t>
            </w:r>
          </w:p>
        </w:tc>
      </w:tr>
      <w:tr>
        <w:tc>
          <w:tcPr/>
          <w:p>
            <w:pPr>
              <w:pStyle w:val="Compact"/>
              <w:jc w:val="left"/>
            </w:pPr>
            <w:r>
              <w:t xml:space="preserve">Motor Starter Cabinet: automation vendor added</w:t>
            </w:r>
          </w:p>
        </w:tc>
        <w:tc>
          <w:tcPr/>
          <w:p>
            <w:pPr>
              <w:pStyle w:val="Compact"/>
              <w:jc w:val="left"/>
            </w:pPr>
            <w:r>
              <w:t xml:space="preserve">“Siemens / Allen Bradley”</w:t>
            </w:r>
          </w:p>
        </w:tc>
        <w:tc>
          <w:tcPr/>
          <w:p>
            <w:pPr>
              <w:pStyle w:val="Compact"/>
              <w:jc w:val="left"/>
            </w:pPr>
            <w:r>
              <w:t xml:space="preserve">not added (already has Siemens S7 PLC)</w:t>
            </w:r>
          </w:p>
        </w:tc>
        <w:tc>
          <w:tcPr/>
          <w:p>
            <w:pPr>
              <w:pStyle w:val="Compact"/>
              <w:jc w:val="center"/>
            </w:pPr>
            <w:r>
              <w:rPr>
                <w:b/>
                <w:bCs/>
              </w:rPr>
              <w:t xml:space="preserve">no</w:t>
            </w:r>
          </w:p>
        </w:tc>
      </w:tr>
      <w:tr>
        <w:tc>
          <w:tcPr/>
          <w:p>
            <w:pPr>
              <w:pStyle w:val="Compact"/>
              <w:jc w:val="left"/>
            </w:pPr>
            <w:r>
              <w:t xml:space="preserve">Grinding Media section content</w:t>
            </w:r>
          </w:p>
        </w:tc>
        <w:tc>
          <w:tcPr/>
          <w:p>
            <w:pPr>
              <w:pStyle w:val="Compact"/>
              <w:jc w:val="left"/>
            </w:pPr>
            <w:r>
              <w:t xml:space="preserve">identical</w:t>
            </w:r>
          </w:p>
        </w:tc>
        <w:tc>
          <w:tcPr/>
          <w:p>
            <w:pPr>
              <w:pStyle w:val="Compact"/>
              <w:jc w:val="left"/>
            </w:pPr>
            <w:r>
              <w:t xml:space="preserve">identical</w:t>
            </w:r>
          </w:p>
        </w:tc>
        <w:tc>
          <w:tcPr/>
          <w:p>
            <w:pPr>
              <w:pStyle w:val="Compact"/>
              <w:jc w:val="center"/>
            </w:pPr>
            <w:r>
              <w:t xml:space="preserve">yes</w:t>
            </w:r>
          </w:p>
        </w:tc>
      </w:tr>
      <w:tr>
        <w:tc>
          <w:tcPr/>
          <w:p>
            <w:pPr>
              <w:pStyle w:val="Compact"/>
              <w:jc w:val="left"/>
            </w:pPr>
            <w:r>
              <w:t xml:space="preserve">Onsite Services section content</w:t>
            </w:r>
          </w:p>
        </w:tc>
        <w:tc>
          <w:tcPr/>
          <w:p>
            <w:pPr>
              <w:pStyle w:val="Compact"/>
              <w:jc w:val="left"/>
            </w:pPr>
            <w:r>
              <w:t xml:space="preserve">identical</w:t>
            </w:r>
          </w:p>
        </w:tc>
        <w:tc>
          <w:tcPr/>
          <w:p>
            <w:pPr>
              <w:pStyle w:val="Compact"/>
              <w:jc w:val="left"/>
            </w:pPr>
            <w:r>
              <w:t xml:space="preserve">identical</w:t>
            </w:r>
          </w:p>
        </w:tc>
        <w:tc>
          <w:tcPr/>
          <w:p>
            <w:pPr>
              <w:pStyle w:val="Compact"/>
              <w:jc w:val="center"/>
            </w:pPr>
            <w:r>
              <w:t xml:space="preserve">yes</w:t>
            </w:r>
          </w:p>
        </w:tc>
      </w:tr>
      <w:tr>
        <w:tc>
          <w:tcPr/>
          <w:p>
            <w:pPr>
              <w:pStyle w:val="Compact"/>
              <w:jc w:val="left"/>
            </w:pPr>
            <w:r>
              <w:t xml:space="preserve">Price Summary: structure expansion</w:t>
            </w:r>
          </w:p>
        </w:tc>
        <w:tc>
          <w:tcPr/>
          <w:p>
            <w:pPr>
              <w:pStyle w:val="Compact"/>
              <w:jc w:val="left"/>
            </w:pPr>
            <w:r>
              <w:t xml:space="preserve">4 new line items</w:t>
            </w:r>
          </w:p>
        </w:tc>
        <w:tc>
          <w:tcPr/>
          <w:p>
            <w:pPr>
              <w:pStyle w:val="Compact"/>
              <w:jc w:val="left"/>
            </w:pPr>
            <w:r>
              <w:t xml:space="preserve">4 new line items</w:t>
            </w:r>
          </w:p>
        </w:tc>
        <w:tc>
          <w:tcPr/>
          <w:p>
            <w:pPr>
              <w:pStyle w:val="Compact"/>
              <w:jc w:val="center"/>
            </w:pPr>
            <w:r>
              <w:t xml:space="preserve">yes</w:t>
            </w:r>
          </w:p>
        </w:tc>
      </w:tr>
      <w:tr>
        <w:tc>
          <w:tcPr/>
          <w:p>
            <w:pPr>
              <w:pStyle w:val="Compact"/>
              <w:jc w:val="left"/>
            </w:pPr>
            <w:r>
              <w:t xml:space="preserve">Price Summary: dual execution variants</w:t>
            </w:r>
          </w:p>
        </w:tc>
        <w:tc>
          <w:tcPr/>
          <w:p>
            <w:pPr>
              <w:pStyle w:val="Compact"/>
              <w:jc w:val="left"/>
            </w:pPr>
            <w:r>
              <w:t xml:space="preserve">no (single)</w:t>
            </w:r>
          </w:p>
        </w:tc>
        <w:tc>
          <w:tcPr/>
          <w:p>
            <w:pPr>
              <w:pStyle w:val="Compact"/>
              <w:jc w:val="left"/>
            </w:pPr>
            <w:r>
              <w:t xml:space="preserve">yes (ZrO₂ + SiC)</w:t>
            </w:r>
          </w:p>
        </w:tc>
        <w:tc>
          <w:tcPr/>
          <w:p>
            <w:pPr>
              <w:pStyle w:val="Compact"/>
              <w:jc w:val="center"/>
            </w:pPr>
            <w:r>
              <w:rPr>
                <w:b/>
                <w:bCs/>
              </w:rPr>
              <w:t xml:space="preserve">no</w:t>
            </w:r>
          </w:p>
        </w:tc>
      </w:tr>
      <w:tr>
        <w:tc>
          <w:tcPr/>
          <w:p>
            <w:pPr>
              <w:pStyle w:val="Compact"/>
              <w:jc w:val="left"/>
            </w:pPr>
            <w:r>
              <w:t xml:space="preserve">Options: spare parts factor</w:t>
            </w:r>
          </w:p>
        </w:tc>
        <w:tc>
          <w:tcPr/>
          <w:p>
            <w:pPr>
              <w:pStyle w:val="Compact"/>
              <w:jc w:val="left"/>
            </w:pPr>
            <w:r>
              <w:t xml:space="preserve">×2.834</w:t>
            </w:r>
          </w:p>
        </w:tc>
        <w:tc>
          <w:tcPr/>
          <w:p>
            <w:pPr>
              <w:pStyle w:val="Compact"/>
              <w:jc w:val="left"/>
            </w:pPr>
            <w:r>
              <w:t xml:space="preserve">×2.834</w:t>
            </w:r>
          </w:p>
        </w:tc>
        <w:tc>
          <w:tcPr/>
          <w:p>
            <w:pPr>
              <w:pStyle w:val="Compact"/>
              <w:jc w:val="center"/>
            </w:pPr>
            <w:r>
              <w:t xml:space="preserve">yes</w:t>
            </w:r>
          </w:p>
        </w:tc>
      </w:tr>
      <w:tr>
        <w:tc>
          <w:tcPr/>
          <w:p>
            <w:pPr>
              <w:pStyle w:val="Compact"/>
              <w:jc w:val="left"/>
            </w:pPr>
            <w:r>
              <w:t xml:space="preserve">Options: Audit Trail/FDA present in CHE</w:t>
            </w:r>
          </w:p>
        </w:tc>
        <w:tc>
          <w:tcPr/>
          <w:p>
            <w:pPr>
              <w:pStyle w:val="Compact"/>
              <w:jc w:val="left"/>
            </w:pPr>
            <w:r>
              <w:t xml:space="preserve">no</w:t>
            </w:r>
          </w:p>
        </w:tc>
        <w:tc>
          <w:tcPr/>
          <w:p>
            <w:pPr>
              <w:pStyle w:val="Compact"/>
              <w:jc w:val="left"/>
            </w:pPr>
            <w:r>
              <w:t xml:space="preserve">yes (removed in USA)</w:t>
            </w:r>
          </w:p>
        </w:tc>
        <w:tc>
          <w:tcPr/>
          <w:p>
            <w:pPr>
              <w:pStyle w:val="Compact"/>
              <w:jc w:val="center"/>
            </w:pPr>
            <w:r>
              <w:rPr>
                <w:b/>
                <w:bCs/>
              </w:rPr>
              <w:t xml:space="preserve">no</w:t>
            </w:r>
          </w:p>
        </w:tc>
      </w:tr>
      <w:tr>
        <w:tc>
          <w:tcPr/>
          <w:p>
            <w:pPr>
              <w:pStyle w:val="Compact"/>
              <w:jc w:val="left"/>
            </w:pPr>
            <w:r>
              <w:t xml:space="preserve">Options: alt pump subsection</w:t>
            </w:r>
          </w:p>
        </w:tc>
        <w:tc>
          <w:tcPr/>
          <w:p>
            <w:pPr>
              <w:pStyle w:val="Compact"/>
              <w:jc w:val="left"/>
            </w:pPr>
            <w:r>
              <w:t xml:space="preserve">yes (9.3)</w:t>
            </w:r>
          </w:p>
        </w:tc>
        <w:tc>
          <w:tcPr/>
          <w:p>
            <w:pPr>
              <w:pStyle w:val="Compact"/>
              <w:jc w:val="left"/>
            </w:pPr>
            <w:r>
              <w:t xml:space="preserve">no</w:t>
            </w:r>
          </w:p>
        </w:tc>
        <w:tc>
          <w:tcPr/>
          <w:p>
            <w:pPr>
              <w:pStyle w:val="Compact"/>
              <w:jc w:val="center"/>
            </w:pPr>
            <w:r>
              <w:rPr>
                <w:b/>
                <w:bCs/>
              </w:rPr>
              <w:t xml:space="preserve">no</w:t>
            </w:r>
          </w:p>
        </w:tc>
      </w:tr>
      <w:tr>
        <w:tc>
          <w:tcPr/>
          <w:p>
            <w:pPr>
              <w:pStyle w:val="Compact"/>
              <w:jc w:val="left"/>
            </w:pPr>
            <w:r>
              <w:t xml:space="preserve">Documentation subsection (9.2)</w:t>
            </w:r>
          </w:p>
        </w:tc>
        <w:tc>
          <w:tcPr/>
          <w:p>
            <w:pPr>
              <w:pStyle w:val="Compact"/>
              <w:jc w:val="left"/>
            </w:pPr>
            <w:r>
              <w:t xml:space="preserve">identical</w:t>
            </w:r>
          </w:p>
        </w:tc>
        <w:tc>
          <w:tcPr/>
          <w:p>
            <w:pPr>
              <w:pStyle w:val="Compact"/>
              <w:jc w:val="left"/>
            </w:pPr>
            <w:r>
              <w:t xml:space="preserve">identical</w:t>
            </w:r>
          </w:p>
        </w:tc>
        <w:tc>
          <w:tcPr/>
          <w:p>
            <w:pPr>
              <w:pStyle w:val="Compact"/>
              <w:jc w:val="center"/>
            </w:pPr>
            <w:r>
              <w:t xml:space="preserve">yes</w:t>
            </w:r>
          </w:p>
        </w:tc>
      </w:tr>
      <w:tr>
        <w:tc>
          <w:tcPr/>
          <w:p>
            <w:pPr>
              <w:pStyle w:val="Compact"/>
              <w:jc w:val="left"/>
            </w:pPr>
            <w:r>
              <w:t xml:space="preserve">Terms of Delivery: payment split</w:t>
            </w:r>
          </w:p>
        </w:tc>
        <w:tc>
          <w:tcPr/>
          <w:p>
            <w:pPr>
              <w:pStyle w:val="Compact"/>
              <w:jc w:val="left"/>
            </w:pPr>
            <w:r>
              <w:t xml:space="preserve">40/40/20</w:t>
            </w:r>
          </w:p>
        </w:tc>
        <w:tc>
          <w:tcPr/>
          <w:p>
            <w:pPr>
              <w:pStyle w:val="Compact"/>
              <w:jc w:val="left"/>
            </w:pPr>
            <w:r>
              <w:t xml:space="preserve">40/50/10</w:t>
            </w:r>
          </w:p>
        </w:tc>
        <w:tc>
          <w:tcPr/>
          <w:p>
            <w:pPr>
              <w:pStyle w:val="Compact"/>
              <w:jc w:val="center"/>
            </w:pPr>
            <w:r>
              <w:rPr>
                <w:b/>
                <w:bCs/>
              </w:rPr>
              <w:t xml:space="preserve">no</w:t>
            </w:r>
          </w:p>
        </w:tc>
      </w:tr>
      <w:tr>
        <w:tc>
          <w:tcPr/>
          <w:p>
            <w:pPr>
              <w:pStyle w:val="Compact"/>
              <w:jc w:val="left"/>
            </w:pPr>
            <w:r>
              <w:t xml:space="preserve">Terms of Delivery: all other fields</w:t>
            </w:r>
          </w:p>
        </w:tc>
        <w:tc>
          <w:tcPr/>
          <w:p>
            <w:pPr>
              <w:pStyle w:val="Compact"/>
              <w:jc w:val="left"/>
            </w:pPr>
            <w:r>
              <w:t xml:space="preserve">identical</w:t>
            </w:r>
          </w:p>
        </w:tc>
        <w:tc>
          <w:tcPr/>
          <w:p>
            <w:pPr>
              <w:pStyle w:val="Compact"/>
              <w:jc w:val="left"/>
            </w:pPr>
            <w:r>
              <w:t xml:space="preserve">identical</w:t>
            </w:r>
          </w:p>
        </w:tc>
        <w:tc>
          <w:tcPr/>
          <w:p>
            <w:pPr>
              <w:pStyle w:val="Compact"/>
              <w:jc w:val="center"/>
            </w:pPr>
            <w:r>
              <w:t xml:space="preserve">yes</w:t>
            </w:r>
          </w:p>
        </w:tc>
      </w:tr>
      <w:tr>
        <w:tc>
          <w:tcPr/>
          <w:p>
            <w:pPr>
              <w:pStyle w:val="Compact"/>
              <w:jc w:val="left"/>
            </w:pPr>
            <w:r>
              <w:t xml:space="preserve">Footer: company name</w:t>
            </w:r>
          </w:p>
        </w:tc>
        <w:tc>
          <w:tcPr/>
          <w:p>
            <w:pPr>
              <w:pStyle w:val="Compact"/>
              <w:jc w:val="left"/>
            </w:pPr>
            <w:r>
              <w:t xml:space="preserve">WAB US Corp.</w:t>
            </w:r>
          </w:p>
        </w:tc>
        <w:tc>
          <w:tcPr/>
          <w:p>
            <w:pPr>
              <w:pStyle w:val="Compact"/>
              <w:jc w:val="left"/>
            </w:pPr>
            <w:r>
              <w:t xml:space="preserve">WAB US Corp.</w:t>
            </w:r>
          </w:p>
        </w:tc>
        <w:tc>
          <w:tcPr/>
          <w:p>
            <w:pPr>
              <w:pStyle w:val="Compact"/>
              <w:jc w:val="center"/>
            </w:pPr>
            <w:r>
              <w:t xml:space="preserve">yes</w:t>
            </w:r>
          </w:p>
        </w:tc>
      </w:tr>
    </w:tbl>
    <w:bookmarkStart w:id="27" w:name="key-findings-sections-58"/>
    <w:p>
      <w:pPr>
        <w:pStyle w:val="Heading3"/>
      </w:pPr>
      <w:r>
        <w:t xml:space="preserve">Key Findings (Sections 5–8)</w:t>
      </w:r>
    </w:p>
    <w:p>
      <w:pPr>
        <w:numPr>
          <w:ilvl w:val="0"/>
          <w:numId w:val="1001"/>
        </w:numPr>
      </w:pPr>
      <w:r>
        <w:rPr>
          <w:b/>
          <w:bCs/>
        </w:rPr>
        <w:t xml:space="preserve">Grinding Media, Onsite Services, and Documentation</w:t>
      </w:r>
      <w:r>
        <w:t xml:space="preserve"> </w:t>
      </w:r>
      <w:r>
        <w:t xml:space="preserve">are fully product-line-independent — identical content and pricing in both UBM and ECM.</w:t>
      </w:r>
    </w:p>
    <w:p>
      <w:pPr>
        <w:numPr>
          <w:ilvl w:val="0"/>
          <w:numId w:val="1001"/>
        </w:numPr>
      </w:pPr>
      <w:r>
        <w:rPr>
          <w:b/>
          <w:bCs/>
        </w:rPr>
        <w:t xml:space="preserve">Terms of Delivery</w:t>
      </w:r>
      <w:r>
        <w:t xml:space="preserve"> </w:t>
      </w:r>
      <w:r>
        <w:t xml:space="preserve">is almost product-line-independent, except for the</w:t>
      </w:r>
      <w:r>
        <w:t xml:space="preserve"> </w:t>
      </w:r>
      <w:r>
        <w:rPr>
          <w:b/>
          <w:bCs/>
        </w:rPr>
        <w:t xml:space="preserve">payment split</w:t>
      </w:r>
      <w:r>
        <w:t xml:space="preserve"> </w:t>
      </w:r>
      <w:r>
        <w:t xml:space="preserve">(40/40/20 for UBM vs 40/50/10 for ECM). All other fields are identical.</w:t>
      </w:r>
    </w:p>
    <w:p>
      <w:pPr>
        <w:numPr>
          <w:ilvl w:val="0"/>
          <w:numId w:val="1001"/>
        </w:numPr>
      </w:pPr>
      <w:r>
        <w:rPr>
          <w:b/>
          <w:bCs/>
        </w:rPr>
        <w:t xml:space="preserve">Motor Starter Cabinet</w:t>
      </w:r>
      <w:r>
        <w:t xml:space="preserve"> </w:t>
      </w:r>
      <w:r>
        <w:t xml:space="preserve">is product-line-specific — ECM retains its PLC and all contactors while UBM removes contactors and adds an automation vendor line. This reflects the different control architectures (ECM: WAB VIEW with Siemens S7 PLC; UBM: WAB BASIC without PLC).</w:t>
      </w:r>
    </w:p>
    <w:p>
      <w:pPr>
        <w:numPr>
          <w:ilvl w:val="0"/>
          <w:numId w:val="1001"/>
        </w:numPr>
      </w:pPr>
      <w:r>
        <w:rPr>
          <w:b/>
          <w:bCs/>
        </w:rPr>
        <w:t xml:space="preserve">Three distinct price factors</w:t>
      </w:r>
      <w:r>
        <w:t xml:space="preserve"> </w:t>
      </w:r>
      <w:r>
        <w:t xml:space="preserve">confirmed across both product lines:</w:t>
      </w:r>
    </w:p>
    <w:p>
      <w:pPr>
        <w:pStyle w:val="Compact"/>
        <w:numPr>
          <w:ilvl w:val="1"/>
          <w:numId w:val="1002"/>
        </w:numPr>
      </w:pPr>
      <w:r>
        <w:rPr>
          <w:b/>
          <w:bCs/>
        </w:rPr>
        <w:t xml:space="preserve">~1.694×</w:t>
      </w:r>
      <w:r>
        <w:t xml:space="preserve"> </w:t>
      </w:r>
      <w:r>
        <w:t xml:space="preserve">for equipment (Motor Starter Cabinet, Product Pump) — consistent across UBM and ECM</w:t>
      </w:r>
    </w:p>
    <w:p>
      <w:pPr>
        <w:pStyle w:val="Compact"/>
        <w:numPr>
          <w:ilvl w:val="1"/>
          <w:numId w:val="1002"/>
        </w:numPr>
      </w:pPr>
      <w:r>
        <w:rPr>
          <w:b/>
          <w:bCs/>
        </w:rPr>
        <w:t xml:space="preserve">~1.300×</w:t>
      </w:r>
      <w:r>
        <w:t xml:space="preserve"> </w:t>
      </w:r>
      <w:r>
        <w:t xml:space="preserve">for packing — consistent across both</w:t>
      </w:r>
    </w:p>
    <w:p>
      <w:pPr>
        <w:pStyle w:val="Compact"/>
        <w:numPr>
          <w:ilvl w:val="1"/>
          <w:numId w:val="1002"/>
        </w:numPr>
      </w:pPr>
      <w:r>
        <w:rPr>
          <w:b/>
          <w:bCs/>
        </w:rPr>
        <w:t xml:space="preserve">~2.834×</w:t>
      </w:r>
      <w:r>
        <w:t xml:space="preserve"> </w:t>
      </w:r>
      <w:r>
        <w:t xml:space="preserve">for spare parts/accessories — consistent across both</w:t>
      </w:r>
    </w:p>
    <w:p>
      <w:pPr>
        <w:pStyle w:val="Compact"/>
        <w:numPr>
          <w:ilvl w:val="1"/>
          <w:numId w:val="1002"/>
        </w:numPr>
      </w:pPr>
      <w:r>
        <w:rPr>
          <w:b/>
          <w:bCs/>
        </w:rPr>
        <w:t xml:space="preserve">~1.66×</w:t>
      </w:r>
      <w:r>
        <w:t xml:space="preserve"> </w:t>
      </w:r>
      <w:r>
        <w:t xml:space="preserve">for ECM Machine Execution only — lower than UBM’s 1.694×, suggesting a product-line-specific factor adjustment or manual override</w:t>
      </w:r>
    </w:p>
    <w:p>
      <w:pPr>
        <w:numPr>
          <w:ilvl w:val="0"/>
          <w:numId w:val="1001"/>
        </w:numPr>
      </w:pPr>
      <w:r>
        <w:rPr>
          <w:b/>
          <w:bCs/>
        </w:rPr>
        <w:t xml:space="preserve">Audit Trail / FDA option</w:t>
      </w:r>
      <w:r>
        <w:t xml:space="preserve"> </w:t>
      </w:r>
      <w:r>
        <w:t xml:space="preserve">exists only in ECM CHE and is removed in ECM USA — this is the only item that disappears from CHE to USA (all other CHE items are either retained or transformed).</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2026-02-07T23:13:08Z</dcterms:created>
  <dcterms:modified xsi:type="dcterms:W3CDTF">2026-02-07T23:13:08Z</dcterms:modified>
</cp:coreProperties>
</file>

<file path=docProps/custom.xml><?xml version="1.0" encoding="utf-8"?>
<Properties xmlns="http://schemas.openxmlformats.org/officeDocument/2006/custom-properties" xmlns:vt="http://schemas.openxmlformats.org/officeDocument/2006/docPropsVTypes"/>
</file>