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9cd7b6a243662c4ef97eda62af5682ae7e5a1d"/>
    <w:p>
      <w:pPr>
        <w:pStyle w:val="Heading1"/>
      </w:pPr>
      <w:r>
        <w:t xml:space="preserve">UBM 20 Template — Section-by-Section Comparison, Sections 5–8 (CHE vs USA)</w:t>
      </w:r>
    </w:p>
    <w:p>
      <w:pPr>
        <w:pStyle w:val="FirstParagraph"/>
      </w:pPr>
      <w:r>
        <w:rPr>
          <w:b/>
          <w:bCs/>
        </w:rPr>
        <w:t xml:space="preserve">CHE file:</w:t>
      </w:r>
      <w:r>
        <w:t xml:space="preserve"> </w:t>
      </w:r>
      <w:r>
        <w:rPr>
          <w:rStyle w:val="VerbatimChar"/>
        </w:rPr>
        <w:t xml:space="preserve">UBM 20 FU_FU E.docx</w:t>
      </w:r>
      <w:r>
        <w:t xml:space="preserve"> </w:t>
      </w:r>
      <w:r>
        <w:t xml:space="preserve">— sections 5, 6, 7, 8</w:t>
      </w:r>
      <w:r>
        <w:t xml:space="preserve"> </w:t>
      </w:r>
      <w:r>
        <w:rPr>
          <w:b/>
          <w:bCs/>
        </w:rPr>
        <w:t xml:space="preserve">USA file:</w:t>
      </w:r>
      <w:r>
        <w:t xml:space="preserve"> </w:t>
      </w:r>
      <w:r>
        <w:rPr>
          <w:rStyle w:val="VerbatimChar"/>
        </w:rPr>
        <w:t xml:space="preserve">UBM 20 FCFC_US_FCA Muttenz_11 2025.docx</w:t>
      </w:r>
      <w:r>
        <w:t xml:space="preserve"> </w:t>
      </w:r>
      <w:r>
        <w:t xml:space="preserve">— sections 5, 6, 7, 8, 9, 10</w:t>
      </w:r>
    </w:p>
    <w:p>
      <w:pPr>
        <w:pStyle w:val="BodyText"/>
      </w:pPr>
      <w:r>
        <w:t xml:space="preserve">Section numbering shifts in the USA template because two new sections (Grinding Media, Onsite Services) are inserted. The mapping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CHE section</w:t>
            </w:r>
          </w:p>
        </w:tc>
        <w:tc>
          <w:tcPr/>
          <w:p>
            <w:pPr>
              <w:pStyle w:val="Compact"/>
              <w:jc w:val="center"/>
            </w:pPr>
            <w:r>
              <w:t xml:space="preserve">USA section</w:t>
            </w:r>
          </w:p>
        </w:tc>
        <w:tc>
          <w:tcPr/>
          <w:p>
            <w:pPr>
              <w:pStyle w:val="Compact"/>
            </w:pPr>
            <w:r>
              <w:t xml:space="preserve">Title</w:t>
            </w:r>
          </w:p>
        </w:tc>
      </w:tr>
      <w:tr>
        <w:tc>
          <w:tcPr/>
          <w:p>
            <w:pPr>
              <w:pStyle w:val="Compact"/>
              <w:jc w:val="center"/>
            </w:pPr>
            <w:r>
              <w:t xml:space="preserve">5</w:t>
            </w:r>
          </w:p>
        </w:tc>
        <w:tc>
          <w:tcPr/>
          <w:p>
            <w:pPr>
              <w:pStyle w:val="Compact"/>
              <w:jc w:val="center"/>
            </w:pPr>
            <w:r>
              <w:t xml:space="preserve">5</w:t>
            </w:r>
          </w:p>
        </w:tc>
        <w:tc>
          <w:tcPr/>
          <w:p>
            <w:pPr>
              <w:pStyle w:val="Compact"/>
            </w:pPr>
            <w:r>
              <w:t xml:space="preserve">Motor Starter Cabinet</w:t>
            </w:r>
          </w:p>
        </w:tc>
      </w:tr>
      <w:tr>
        <w:tc>
          <w:tcPr/>
          <w:p>
            <w:pPr>
              <w:pStyle w:val="Compact"/>
              <w:jc w:val="center"/>
            </w:pPr>
            <w:r>
              <w:rPr>
                <w:i/>
                <w:iCs/>
              </w:rPr>
              <w:t xml:space="preserve">(none)</w:t>
            </w:r>
          </w:p>
        </w:tc>
        <w:tc>
          <w:tcPr/>
          <w:p>
            <w:pPr>
              <w:pStyle w:val="Compact"/>
              <w:jc w:val="center"/>
            </w:pPr>
            <w:r>
              <w:t xml:space="preserve">6</w:t>
            </w:r>
          </w:p>
        </w:tc>
        <w:tc>
          <w:tcPr/>
          <w:p>
            <w:pPr>
              <w:pStyle w:val="Compact"/>
            </w:pPr>
            <w:r>
              <w:t xml:space="preserve">Grinding Media (new)</w:t>
            </w:r>
          </w:p>
        </w:tc>
      </w:tr>
      <w:tr>
        <w:tc>
          <w:tcPr/>
          <w:p>
            <w:pPr>
              <w:pStyle w:val="Compact"/>
              <w:jc w:val="center"/>
            </w:pPr>
            <w:r>
              <w:rPr>
                <w:i/>
                <w:iCs/>
              </w:rPr>
              <w:t xml:space="preserve">(none)</w:t>
            </w:r>
          </w:p>
        </w:tc>
        <w:tc>
          <w:tcPr/>
          <w:p>
            <w:pPr>
              <w:pStyle w:val="Compact"/>
              <w:jc w:val="center"/>
            </w:pPr>
            <w:r>
              <w:t xml:space="preserve">7</w:t>
            </w:r>
          </w:p>
        </w:tc>
        <w:tc>
          <w:tcPr/>
          <w:p>
            <w:pPr>
              <w:pStyle w:val="Compact"/>
            </w:pPr>
            <w:r>
              <w:t xml:space="preserve">Onsite Services (new)</w:t>
            </w:r>
          </w:p>
        </w:tc>
      </w:tr>
      <w:tr>
        <w:tc>
          <w:tcPr/>
          <w:p>
            <w:pPr>
              <w:pStyle w:val="Compact"/>
              <w:jc w:val="center"/>
            </w:pPr>
            <w:r>
              <w:t xml:space="preserve">6</w:t>
            </w:r>
          </w:p>
        </w:tc>
        <w:tc>
          <w:tcPr/>
          <w:p>
            <w:pPr>
              <w:pStyle w:val="Compact"/>
              <w:jc w:val="center"/>
            </w:pPr>
            <w:r>
              <w:t xml:space="preserve">8</w:t>
            </w:r>
          </w:p>
        </w:tc>
        <w:tc>
          <w:tcPr/>
          <w:p>
            <w:pPr>
              <w:pStyle w:val="Compact"/>
            </w:pPr>
            <w:r>
              <w:t xml:space="preserve">Price Summary</w:t>
            </w:r>
          </w:p>
        </w:tc>
      </w:tr>
      <w:tr>
        <w:tc>
          <w:tcPr/>
          <w:p>
            <w:pPr>
              <w:pStyle w:val="Compact"/>
              <w:jc w:val="center"/>
            </w:pPr>
            <w:r>
              <w:t xml:space="preserve">7</w:t>
            </w:r>
          </w:p>
        </w:tc>
        <w:tc>
          <w:tcPr/>
          <w:p>
            <w:pPr>
              <w:pStyle w:val="Compact"/>
              <w:jc w:val="center"/>
            </w:pPr>
            <w:r>
              <w:t xml:space="preserve">9</w:t>
            </w:r>
          </w:p>
        </w:tc>
        <w:tc>
          <w:tcPr/>
          <w:p>
            <w:pPr>
              <w:pStyle w:val="Compact"/>
            </w:pPr>
            <w:r>
              <w:t xml:space="preserve">Options and Accessories</w:t>
            </w:r>
          </w:p>
        </w:tc>
      </w:tr>
      <w:tr>
        <w:tc>
          <w:tcPr/>
          <w:p>
            <w:pPr>
              <w:pStyle w:val="Compact"/>
              <w:jc w:val="center"/>
            </w:pPr>
            <w:r>
              <w:t xml:space="preserve">8</w:t>
            </w:r>
          </w:p>
        </w:tc>
        <w:tc>
          <w:tcPr/>
          <w:p>
            <w:pPr>
              <w:pStyle w:val="Compact"/>
              <w:jc w:val="center"/>
            </w:pPr>
            <w:r>
              <w:t xml:space="preserve">10</w:t>
            </w:r>
          </w:p>
        </w:tc>
        <w:tc>
          <w:tcPr/>
          <w:p>
            <w:pPr>
              <w:pStyle w:val="Compact"/>
            </w:pPr>
            <w:r>
              <w:t xml:space="preserve">Terms of Delivery</w:t>
            </w:r>
          </w:p>
        </w:tc>
      </w:tr>
    </w:tbl>
    <w:p>
      <w:r>
        <w:pict>
          <v:rect style="width:0;height:1.5pt" o:hralign="center" o:hrstd="t" o:hr="t"/>
        </w:pict>
      </w:r>
    </w:p>
    <w:bookmarkStart w:id="11" w:name="section-5-motor-starter-cabinet-msc-fcfc"/>
    <w:p>
      <w:pPr>
        <w:pStyle w:val="Heading2"/>
      </w:pPr>
      <w:r>
        <w:t xml:space="preserve">Section 5 — Motor Starter Cabinet MSC-FC/FC</w:t>
      </w:r>
    </w:p>
    <w:p>
      <w:pPr>
        <w:pStyle w:val="FirstParagraph"/>
      </w:pPr>
      <w:r>
        <w:t xml:space="preserve">Both templates use the same section title:</w:t>
      </w:r>
      <w:r>
        <w:t xml:space="preserve"> </w:t>
      </w:r>
      <w:r>
        <w:t xml:space="preserve">“Motor Starter Cabinet MSC-FC/FC”</w:t>
      </w:r>
      <w:r>
        <w:t xml:space="preserve">.</w:t>
      </w:r>
    </w:p>
    <w:bookmarkStart w:id="9" w:name="cabinet-specification"/>
    <w:p>
      <w:pPr>
        <w:pStyle w:val="Heading3"/>
      </w:pPr>
      <w:r>
        <w:t xml:space="preserve">5.1 Cabinet Specification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(UBM 20 FU_FU)</w:t>
            </w:r>
          </w:p>
        </w:tc>
        <w:tc>
          <w:tcPr/>
          <w:p>
            <w:pPr>
              <w:pStyle w:val="Compact"/>
            </w:pPr>
            <w:r>
              <w:t xml:space="preserve">USA (UBM 20 FCFC)</w:t>
            </w:r>
          </w:p>
        </w:tc>
      </w:tr>
      <w:tr>
        <w:tc>
          <w:tcPr/>
          <w:p>
            <w:pPr>
              <w:pStyle w:val="Compact"/>
            </w:pPr>
            <w:r>
              <w:rPr>
                <w:b/>
                <w:bCs/>
              </w:rPr>
              <w:t xml:space="preserve">Important remark:</w:t>
            </w:r>
            <w:r>
              <w:t xml:space="preserve"> </w:t>
            </w:r>
            <w:r>
              <w:t xml:space="preserve">The motor starter cabinet has to be mounted outside of the explosion hazardous area. The motor starter cabinet is delivered without cable connection to the DYNO-MILL and the product pump.</w:t>
            </w:r>
          </w:p>
        </w:tc>
        <w:tc>
          <w:tcPr/>
          <w:p>
            <w:pPr>
              <w:pStyle w:val="Compact"/>
            </w:pPr>
            <w:r>
              <w:t xml:space="preserve">Motor starter cabinet to be mounted beside the DYNO-MILL / outside of the hazardous area, including:</w:t>
            </w:r>
          </w:p>
        </w:tc>
      </w:tr>
      <w:tr>
        <w:tc>
          <w:tcPr/>
          <w:p>
            <w:pPr>
              <w:pStyle w:val="Compact"/>
            </w:pPr>
            <w:r>
              <w:rPr>
                <w:b/>
                <w:bCs/>
              </w:rPr>
              <w:t xml:space="preserve">Protection:</w:t>
            </w:r>
            <w:r>
              <w:t xml:space="preserve"> </w:t>
            </w:r>
            <w:r>
              <w:t xml:space="preserve">IP 55 (acc. IEC 60529)</w:t>
            </w:r>
          </w:p>
        </w:tc>
        <w:tc>
          <w:tcPr/>
          <w:p>
            <w:pPr>
              <w:pStyle w:val="Compact"/>
            </w:pPr>
            <w:r>
              <w:rPr>
                <w:i/>
                <w:iCs/>
              </w:rPr>
              <w:t xml:space="preserve">(protection rating removed)</w:t>
            </w:r>
          </w:p>
        </w:tc>
      </w:tr>
      <w:tr>
        <w:tc>
          <w:tcPr/>
          <w:p>
            <w:pPr>
              <w:pStyle w:val="Compact"/>
            </w:pPr>
            <w:r>
              <w:t xml:space="preserve">Inside completely wired for connection to</w:t>
            </w:r>
            <w:r>
              <w:t xml:space="preserve"> </w:t>
            </w:r>
            <w:r>
              <w:rPr>
                <w:b/>
                <w:bCs/>
              </w:rPr>
              <w:t xml:space="preserve">3 x 400 V, 50 Hz</w:t>
            </w:r>
          </w:p>
        </w:tc>
        <w:tc>
          <w:tcPr/>
          <w:p>
            <w:pPr>
              <w:pStyle w:val="Compact"/>
            </w:pPr>
            <w:r>
              <w:t xml:space="preserve">Inside completely wired for connection to</w:t>
            </w:r>
            <w:r>
              <w:t xml:space="preserve"> </w:t>
            </w:r>
            <w:r>
              <w:rPr>
                <w:b/>
                <w:bCs/>
              </w:rPr>
              <w:t xml:space="preserve">460 V AC, 60 Hz, 3 phase</w:t>
            </w:r>
          </w:p>
        </w:tc>
      </w:tr>
      <w:tr>
        <w:tc>
          <w:tcPr/>
          <w:p>
            <w:pPr>
              <w:pStyle w:val="Compact"/>
            </w:pPr>
            <w:r>
              <w:t xml:space="preserve">Prefuses</w:t>
            </w:r>
          </w:p>
        </w:tc>
        <w:tc>
          <w:tcPr/>
          <w:p>
            <w:pPr>
              <w:pStyle w:val="Compact"/>
            </w:pPr>
            <w:r>
              <w:t xml:space="preserve">Prefuses</w:t>
            </w:r>
          </w:p>
        </w:tc>
      </w:tr>
      <w:tr>
        <w:tc>
          <w:tcPr/>
          <w:p>
            <w:pPr>
              <w:pStyle w:val="Compact"/>
            </w:pPr>
            <w:r>
              <w:rPr>
                <w:b/>
                <w:bCs/>
              </w:rPr>
              <w:t xml:space="preserve">Transformer 400 V/24 VDC</w:t>
            </w:r>
            <w:r>
              <w:t xml:space="preserve"> </w:t>
            </w:r>
            <w:r>
              <w:t xml:space="preserve">for control voltage</w:t>
            </w:r>
          </w:p>
        </w:tc>
        <w:tc>
          <w:tcPr/>
          <w:p>
            <w:pPr>
              <w:pStyle w:val="Compact"/>
            </w:pPr>
            <w:r>
              <w:rPr>
                <w:b/>
                <w:bCs/>
              </w:rPr>
              <w:t xml:space="preserve">24 V DC power supply</w:t>
            </w:r>
            <w:r>
              <w:t xml:space="preserve"> </w:t>
            </w:r>
            <w:r>
              <w:t xml:space="preserve">for control voltage</w:t>
            </w:r>
          </w:p>
        </w:tc>
      </w:tr>
      <w:tr>
        <w:tc>
          <w:tcPr/>
          <w:p>
            <w:pPr>
              <w:pStyle w:val="Compact"/>
            </w:pPr>
            <w:r>
              <w:t xml:space="preserve">Main switch</w:t>
            </w:r>
          </w:p>
        </w:tc>
        <w:tc>
          <w:tcPr/>
          <w:p>
            <w:pPr>
              <w:pStyle w:val="Compact"/>
            </w:pPr>
            <w:r>
              <w:t xml:space="preserve">Main switch</w:t>
            </w:r>
          </w:p>
        </w:tc>
      </w:tr>
      <w:tr>
        <w:tc>
          <w:tcPr/>
          <w:p>
            <w:pPr>
              <w:pStyle w:val="Compact"/>
            </w:pPr>
            <w:r>
              <w:rPr>
                <w:b/>
                <w:bCs/>
              </w:rPr>
              <w:t xml:space="preserve">Current transformer for ammeter</w:t>
            </w:r>
          </w:p>
        </w:tc>
        <w:tc>
          <w:tcPr/>
          <w:p>
            <w:pPr>
              <w:pStyle w:val="Compact"/>
            </w:pPr>
            <w:r>
              <w:rPr>
                <w:i/>
                <w:iCs/>
              </w:rPr>
              <w:t xml:space="preserve">(removed)</w:t>
            </w:r>
          </w:p>
        </w:tc>
      </w:tr>
      <w:tr>
        <w:tc>
          <w:tcPr/>
          <w:p>
            <w:pPr>
              <w:pStyle w:val="Compact"/>
            </w:pPr>
            <w:r>
              <w:t xml:space="preserve">Contactor for the mill motor</w:t>
            </w:r>
          </w:p>
        </w:tc>
        <w:tc>
          <w:tcPr/>
          <w:p>
            <w:pPr>
              <w:pStyle w:val="Compact"/>
            </w:pPr>
            <w:r>
              <w:rPr>
                <w:i/>
                <w:iCs/>
              </w:rPr>
              <w:t xml:space="preserve">(removed — mill motor handled by frequency converter)</w:t>
            </w:r>
          </w:p>
        </w:tc>
      </w:tr>
      <w:tr>
        <w:tc>
          <w:tcPr/>
          <w:p>
            <w:pPr>
              <w:pStyle w:val="Compact"/>
            </w:pPr>
            <w:r>
              <w:t xml:space="preserve">Contactor for the pump motor</w:t>
            </w:r>
          </w:p>
        </w:tc>
        <w:tc>
          <w:tcPr/>
          <w:p>
            <w:pPr>
              <w:pStyle w:val="Compact"/>
            </w:pPr>
            <w:r>
              <w:rPr>
                <w:i/>
                <w:iCs/>
              </w:rPr>
              <w:t xml:space="preserve">(removed — pump motor handled by frequency converter)</w:t>
            </w:r>
          </w:p>
        </w:tc>
      </w:tr>
      <w:tr>
        <w:tc>
          <w:tcPr/>
          <w:p>
            <w:pPr>
              <w:pStyle w:val="Compact"/>
            </w:pPr>
            <w:r>
              <w:t xml:space="preserve">Contactor for the rinsing liquid pump motor</w:t>
            </w:r>
          </w:p>
        </w:tc>
        <w:tc>
          <w:tcPr/>
          <w:p>
            <w:pPr>
              <w:pStyle w:val="Compact"/>
            </w:pPr>
            <w:r>
              <w:t xml:space="preserve">Contactor for the rinsing liquid pump motor</w:t>
            </w:r>
          </w:p>
        </w:tc>
      </w:tr>
      <w:tr>
        <w:tc>
          <w:tcPr/>
          <w:p>
            <w:pPr>
              <w:pStyle w:val="Compact"/>
            </w:pPr>
            <w:r>
              <w:t xml:space="preserve">Frequency converter for the mill motor</w:t>
            </w:r>
          </w:p>
        </w:tc>
        <w:tc>
          <w:tcPr/>
          <w:p>
            <w:pPr>
              <w:pStyle w:val="Compact"/>
            </w:pPr>
            <w:r>
              <w:t xml:space="preserve">Frequency converter for the mill motor</w:t>
            </w:r>
          </w:p>
        </w:tc>
      </w:tr>
      <w:tr>
        <w:tc>
          <w:tcPr/>
          <w:p>
            <w:pPr>
              <w:pStyle w:val="Compact"/>
            </w:pPr>
            <w:r>
              <w:t xml:space="preserve">Frequency converter for the product pump motor</w:t>
            </w:r>
          </w:p>
        </w:tc>
        <w:tc>
          <w:tcPr/>
          <w:p>
            <w:pPr>
              <w:pStyle w:val="Compact"/>
            </w:pPr>
            <w:r>
              <w:t xml:space="preserve">Frequency converter for the product pump motor</w:t>
            </w:r>
          </w:p>
        </w:tc>
      </w:tr>
      <w:tr>
        <w:tc>
          <w:tcPr/>
          <w:p>
            <w:pPr>
              <w:pStyle w:val="Compact"/>
            </w:pPr>
            <w:r>
              <w:t xml:space="preserve">Time counter</w:t>
            </w:r>
          </w:p>
        </w:tc>
        <w:tc>
          <w:tcPr/>
          <w:p>
            <w:pPr>
              <w:pStyle w:val="Compact"/>
            </w:pPr>
            <w:r>
              <w:t xml:space="preserve">Time counter</w:t>
            </w:r>
          </w:p>
        </w:tc>
      </w:tr>
      <w:tr>
        <w:tc>
          <w:tcPr/>
          <w:p>
            <w:pPr>
              <w:pStyle w:val="Compact"/>
            </w:pPr>
            <w:r>
              <w:t xml:space="preserve">Relays for safety and control instruments</w:t>
            </w:r>
          </w:p>
        </w:tc>
        <w:tc>
          <w:tcPr/>
          <w:p>
            <w:pPr>
              <w:pStyle w:val="Compact"/>
            </w:pPr>
            <w:r>
              <w:t xml:space="preserve">Relays for safety and control instruments</w:t>
            </w:r>
          </w:p>
        </w:tc>
      </w:tr>
      <w:tr>
        <w:tc>
          <w:tcPr/>
          <w:p>
            <w:pPr>
              <w:pStyle w:val="Compact"/>
            </w:pPr>
            <w:r>
              <w:rPr>
                <w:i/>
                <w:iCs/>
              </w:rPr>
              <w:t xml:space="preserve">(not present)</w:t>
            </w:r>
          </w:p>
        </w:tc>
        <w:tc>
          <w:tcPr/>
          <w:p>
            <w:pPr>
              <w:pStyle w:val="Compact"/>
            </w:pPr>
            <w:r>
              <w:rPr>
                <w:b/>
                <w:bCs/>
              </w:rPr>
              <w:t xml:space="preserve">Siemens / Allen Bradley automation, or similar per vendor</w:t>
            </w:r>
          </w:p>
        </w:tc>
      </w:tr>
      <w:tr>
        <w:tc>
          <w:tcPr/>
          <w:p>
            <w:pPr>
              <w:pStyle w:val="Compact"/>
            </w:pPr>
            <w:r>
              <w:t xml:space="preserve">Housing of painted sheet steel (grey)</w:t>
            </w:r>
          </w:p>
        </w:tc>
        <w:tc>
          <w:tcPr/>
          <w:p>
            <w:pPr>
              <w:pStyle w:val="Compact"/>
            </w:pPr>
            <w:r>
              <w:rPr>
                <w:b/>
                <w:bCs/>
              </w:rPr>
              <w:t xml:space="preserve">NEMA 12</w:t>
            </w:r>
            <w:r>
              <w:t xml:space="preserve"> </w:t>
            </w:r>
            <w:r>
              <w:t xml:space="preserve">housing of painted</w:t>
            </w:r>
            <w:r>
              <w:t xml:space="preserve"> </w:t>
            </w:r>
            <w:r>
              <w:rPr>
                <w:b/>
                <w:bCs/>
              </w:rPr>
              <w:t xml:space="preserve">in</w:t>
            </w:r>
            <w:r>
              <w:t xml:space="preserve"> </w:t>
            </w:r>
            <w:r>
              <w:t xml:space="preserve">grey</w:t>
            </w:r>
          </w:p>
        </w:tc>
      </w:tr>
      <w:tr>
        <w:tc>
          <w:tcPr/>
          <w:p>
            <w:pPr>
              <w:pStyle w:val="Compact"/>
            </w:pPr>
            <w:r>
              <w:rPr>
                <w:i/>
                <w:iCs/>
              </w:rPr>
              <w:t xml:space="preserve">(cable note at top)</w:t>
            </w:r>
          </w:p>
        </w:tc>
        <w:tc>
          <w:tcPr/>
          <w:p>
            <w:pPr>
              <w:pStyle w:val="Compact"/>
            </w:pPr>
            <w:r>
              <w:t xml:space="preserve">The motor starter cabinet is delivered without cable connection to the DYNO-MILL and the product pump.</w:t>
            </w:r>
            <w:r>
              <w:t xml:space="preserve"> </w:t>
            </w:r>
            <w:r>
              <w:rPr>
                <w:i/>
                <w:iCs/>
              </w:rPr>
              <w:t xml:space="preserve">(moved to bottom)</w:t>
            </w:r>
          </w:p>
        </w:tc>
      </w:tr>
    </w:tbl>
    <w:p>
      <w:pPr>
        <w:pStyle w:val="BodyText"/>
      </w:pPr>
      <w:r>
        <w:rPr>
          <w:b/>
          <w:bCs/>
        </w:rPr>
        <w:t xml:space="preserve">Difference: Major</w:t>
      </w:r>
      <w:r>
        <w:t xml:space="preserve"> </w:t>
      </w:r>
      <w:r>
        <w:t xml:space="preserve">— Voltage/frequency changed (400V/50Hz→460V/60Hz). IP 55 protection rating removed, replaced by NEMA 12 housing standard. Transformer replaced by DC power supply. Current transformer for ammeter removed (consistent with ammeter moving to digital display in section 3.4). Mill and pump motor contactors removed. Siemens/Allen Bradley automation line added. Text restructured:</w:t>
      </w:r>
      <w:r>
        <w:t xml:space="preserve"> </w:t>
      </w:r>
      <w:r>
        <w:t xml:space="preserve">“Important remark”</w:t>
      </w:r>
      <w:r>
        <w:t xml:space="preserve"> </w:t>
      </w:r>
      <w:r>
        <w:t xml:space="preserve">label removed, cable-connection note moved to bottom. Opening sentence rephrased.</w:t>
      </w:r>
    </w:p>
    <w:p>
      <w:r>
        <w:pict>
          <v:rect style="width:0;height:1.5pt" o:hralign="center" o:hrstd="t" o:hr="t"/>
        </w:pict>
      </w:r>
    </w:p>
    <w:bookmarkEnd w:id="9"/>
    <w:bookmarkStart w:id="10" w:name="price-motor-starter-cabinet"/>
    <w:p>
      <w:pPr>
        <w:pStyle w:val="Heading3"/>
      </w:pPr>
      <w:r>
        <w:t xml:space="preserve">5.2 Price — Motor Starter Cabinet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(UBM 20 FU_FU)</w:t>
            </w:r>
          </w:p>
        </w:tc>
        <w:tc>
          <w:tcPr/>
          <w:p>
            <w:pPr>
              <w:pStyle w:val="Compact"/>
            </w:pPr>
            <w:r>
              <w:t xml:space="preserve">USA (UBM 20 FCFC)</w:t>
            </w:r>
          </w:p>
        </w:tc>
      </w:tr>
      <w:tr>
        <w:tc>
          <w:tcPr/>
          <w:p>
            <w:pPr>
              <w:pStyle w:val="Compact"/>
            </w:pPr>
            <w:r>
              <w:t xml:space="preserve">Price Motor Starter Cabinet:</w:t>
            </w:r>
            <w:r>
              <w:t xml:space="preserve"> </w:t>
            </w:r>
            <w:r>
              <w:rPr>
                <w:b/>
                <w:bCs/>
              </w:rPr>
              <w:t xml:space="preserve">CHF 27’260.00</w:t>
            </w:r>
          </w:p>
        </w:tc>
        <w:tc>
          <w:tcPr/>
          <w:p>
            <w:pPr>
              <w:pStyle w:val="Compact"/>
            </w:pPr>
            <w:r>
              <w:t xml:space="preserve">Price Motor Starter Cabinet:</w:t>
            </w:r>
            <w:r>
              <w:t xml:space="preserve"> </w:t>
            </w:r>
            <w:r>
              <w:rPr>
                <w:b/>
                <w:bCs/>
              </w:rPr>
              <w:t xml:space="preserve">USD 46,178.00</w:t>
            </w:r>
          </w:p>
        </w:tc>
      </w:tr>
    </w:tbl>
    <w:p>
      <w:pPr>
        <w:pStyle w:val="BodyText"/>
      </w:pPr>
      <w:r>
        <w:rPr>
          <w:b/>
          <w:bCs/>
        </w:rPr>
        <w:t xml:space="preserve">Difference: Major</w:t>
      </w:r>
      <w:r>
        <w:t xml:space="preserve"> </w:t>
      </w:r>
      <w:r>
        <w:t xml:space="preserve">— Currency CHF→USD. Factor: 46,178 / 27,260 ≈</w:t>
      </w:r>
      <w:r>
        <w:t xml:space="preserve"> </w:t>
      </w:r>
      <w:r>
        <w:rPr>
          <w:b/>
          <w:bCs/>
        </w:rPr>
        <w:t xml:space="preserve">1.694×</w:t>
      </w:r>
      <w:r>
        <w:t xml:space="preserve"> </w:t>
      </w:r>
      <w:r>
        <w:t xml:space="preserve">(matches sections 3 and 4 exactly).</w:t>
      </w:r>
    </w:p>
    <w:p>
      <w:r>
        <w:pict>
          <v:rect style="width:0;height:1.5pt" o:hralign="center" o:hrstd="t" o:hr="t"/>
        </w:pict>
      </w:r>
    </w:p>
    <w:bookmarkEnd w:id="10"/>
    <w:bookmarkEnd w:id="11"/>
    <w:bookmarkStart w:id="12" w:name="section-6-grinding-media-usa-only"/>
    <w:p>
      <w:pPr>
        <w:pStyle w:val="Heading2"/>
      </w:pPr>
      <w:r>
        <w:t xml:space="preserve">Section 6 — Grinding Media (USA only)</w:t>
      </w:r>
    </w:p>
    <w:p>
      <w:pPr>
        <w:pStyle w:val="FirstParagraph"/>
      </w:pPr>
      <w:r>
        <w:t xml:space="preserve">This section does not exist in the CHE template. It is entirely new in the USA version.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(UBM 20 FU_FU)</w:t>
            </w:r>
          </w:p>
        </w:tc>
        <w:tc>
          <w:tcPr/>
          <w:p>
            <w:pPr>
              <w:pStyle w:val="Compact"/>
            </w:pPr>
            <w:r>
              <w:t xml:space="preserve">USA (UBM 20 FCFC)</w:t>
            </w:r>
          </w:p>
        </w:tc>
      </w:tr>
      <w:tr>
        <w:tc>
          <w:tcPr/>
          <w:p>
            <w:pPr>
              <w:pStyle w:val="Compact"/>
            </w:pPr>
            <w:r>
              <w:rPr>
                <w:i/>
                <w:iCs/>
              </w:rPr>
              <w:t xml:space="preserve">(section does not exist)</w:t>
            </w:r>
          </w:p>
        </w:tc>
        <w:tc>
          <w:tcPr/>
          <w:p>
            <w:pPr>
              <w:pStyle w:val="Compact"/>
            </w:pPr>
            <w:r>
              <w:rPr>
                <w:b/>
                <w:bCs/>
              </w:rPr>
              <w:t xml:space="preserve">6 – Grinding Media</w:t>
            </w:r>
          </w:p>
        </w:tc>
      </w:tr>
      <w:tr>
        <w:tc>
          <w:tcPr/>
          <w:p>
            <w:pPr>
              <w:pStyle w:val="Compact"/>
            </w:pPr>
          </w:p>
        </w:tc>
        <w:tc>
          <w:tcPr/>
          <w:p>
            <w:pPr>
              <w:pStyle w:val="Compact"/>
            </w:pPr>
            <w:r>
              <w:t xml:space="preserve">1× High strength and wear resistant yttria-stabilized zirconia beads, for fine grinding applications with controlled particle size reduction — 0.6 mm Zirmil Y, quantity 60 kg (screen 0.25 mm)</w:t>
            </w:r>
          </w:p>
        </w:tc>
      </w:tr>
      <w:tr>
        <w:tc>
          <w:tcPr/>
          <w:p>
            <w:pPr>
              <w:pStyle w:val="Compact"/>
            </w:pPr>
          </w:p>
        </w:tc>
        <w:tc>
          <w:tcPr/>
          <w:p>
            <w:pPr>
              <w:pStyle w:val="Compact"/>
            </w:pPr>
            <w:r>
              <w:t xml:space="preserve">Price Grinding Media: USD x,xxx.00</w:t>
            </w:r>
            <w:r>
              <w:t xml:space="preserve"> </w:t>
            </w:r>
            <w:r>
              <w:rPr>
                <w:i/>
                <w:iCs/>
              </w:rPr>
              <w:t xml:space="preserve">(placeholder)</w:t>
            </w:r>
          </w:p>
        </w:tc>
      </w:tr>
    </w:tbl>
    <w:p>
      <w:pPr>
        <w:pStyle w:val="BodyText"/>
      </w:pPr>
      <w:r>
        <w:rPr>
          <w:b/>
          <w:bCs/>
        </w:rPr>
        <w:t xml:space="preserve">Difference: Major (new section)</w:t>
      </w:r>
      <w:r>
        <w:t xml:space="preserve"> </w:t>
      </w:r>
      <w:r>
        <w:t xml:space="preserve">— Entirely new USA-only section. Price is a placeholder (x,xxx.00), suggesting it is filled in per-quote. Content specifies grinding media type and quantity.</w:t>
      </w:r>
    </w:p>
    <w:p>
      <w:r>
        <w:pict>
          <v:rect style="width:0;height:1.5pt" o:hralign="center" o:hrstd="t" o:hr="t"/>
        </w:pict>
      </w:r>
    </w:p>
    <w:bookmarkEnd w:id="12"/>
    <w:bookmarkStart w:id="13" w:name="section-7-onsite-services-usa-only"/>
    <w:p>
      <w:pPr>
        <w:pStyle w:val="Heading2"/>
      </w:pPr>
      <w:r>
        <w:t xml:space="preserve">Section 7 — Onsite Services (USA only)</w:t>
      </w:r>
    </w:p>
    <w:p>
      <w:pPr>
        <w:pStyle w:val="FirstParagraph"/>
      </w:pPr>
      <w:r>
        <w:t xml:space="preserve">This section does not exist in the CHE template. It is entirely new in the USA version.</w:t>
      </w:r>
    </w:p>
    <w:p>
      <w:pPr>
        <w:pStyle w:val="BodyText"/>
      </w:pPr>
      <w:r>
        <w:t xml:space="preserve">Note: The section header uses a</w:t>
      </w:r>
      <w:r>
        <w:t xml:space="preserve"> </w:t>
      </w:r>
      <w:r>
        <w:rPr>
          <w:rStyle w:val="VerbatimChar"/>
        </w:rPr>
        <w:t xml:space="preserve">Heading 1</w:t>
      </w:r>
      <w:r>
        <w:t xml:space="preserve"> </w:t>
      </w:r>
      <w:r>
        <w:t xml:space="preserve">paragraph style rather than the standard single-row table header pattern, which is an inconsistency in the USA template.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(UBM 20 FU_FU)</w:t>
            </w:r>
          </w:p>
        </w:tc>
        <w:tc>
          <w:tcPr/>
          <w:p>
            <w:pPr>
              <w:pStyle w:val="Compact"/>
            </w:pPr>
            <w:r>
              <w:t xml:space="preserve">USA (UBM 20 FCFC)</w:t>
            </w:r>
          </w:p>
        </w:tc>
      </w:tr>
      <w:tr>
        <w:tc>
          <w:tcPr/>
          <w:p>
            <w:pPr>
              <w:pStyle w:val="Compact"/>
            </w:pPr>
            <w:r>
              <w:rPr>
                <w:i/>
                <w:iCs/>
              </w:rPr>
              <w:t xml:space="preserve">(section does not exist)</w:t>
            </w:r>
          </w:p>
        </w:tc>
        <w:tc>
          <w:tcPr/>
          <w:p>
            <w:pPr>
              <w:pStyle w:val="Compact"/>
            </w:pPr>
            <w:r>
              <w:rPr>
                <w:b/>
                <w:bCs/>
              </w:rPr>
              <w:t xml:space="preserve">7 – Onsite Services</w:t>
            </w:r>
          </w:p>
        </w:tc>
      </w:tr>
      <w:tr>
        <w:tc>
          <w:tcPr/>
          <w:p>
            <w:pPr>
              <w:pStyle w:val="Compact"/>
            </w:pPr>
          </w:p>
        </w:tc>
        <w:tc>
          <w:tcPr/>
          <w:p>
            <w:pPr>
              <w:pStyle w:val="Compact"/>
            </w:pPr>
            <w:r>
              <w:t xml:space="preserve">1× Two-day onsite startup and commissioning service, including:</w:t>
            </w:r>
          </w:p>
        </w:tc>
      </w:tr>
      <w:tr>
        <w:tc>
          <w:tcPr/>
          <w:p>
            <w:pPr>
              <w:pStyle w:val="Compact"/>
            </w:pPr>
          </w:p>
        </w:tc>
        <w:tc>
          <w:tcPr/>
          <w:p>
            <w:pPr>
              <w:pStyle w:val="Compact"/>
            </w:pPr>
            <w:r>
              <w:t xml:space="preserve">- Startup &amp; commissioning (1 day) – no charge</w:t>
            </w:r>
          </w:p>
        </w:tc>
      </w:tr>
      <w:tr>
        <w:tc>
          <w:tcPr/>
          <w:p>
            <w:pPr>
              <w:pStyle w:val="Compact"/>
            </w:pPr>
          </w:p>
        </w:tc>
        <w:tc>
          <w:tcPr/>
          <w:p>
            <w:pPr>
              <w:pStyle w:val="Compact"/>
            </w:pPr>
            <w:r>
              <w:t xml:space="preserve">- Operational &amp; maintenance training (1 day) – no charge</w:t>
            </w:r>
          </w:p>
        </w:tc>
      </w:tr>
      <w:tr>
        <w:tc>
          <w:tcPr/>
          <w:p>
            <w:pPr>
              <w:pStyle w:val="Compact"/>
            </w:pPr>
          </w:p>
        </w:tc>
        <w:tc>
          <w:tcPr/>
          <w:p>
            <w:pPr>
              <w:pStyle w:val="Compact"/>
            </w:pPr>
            <w:r>
              <w:t xml:space="preserve">With charge:</w:t>
            </w:r>
          </w:p>
        </w:tc>
      </w:tr>
      <w:tr>
        <w:tc>
          <w:tcPr/>
          <w:p>
            <w:pPr>
              <w:pStyle w:val="Compact"/>
            </w:pPr>
          </w:p>
        </w:tc>
        <w:tc>
          <w:tcPr/>
          <w:p>
            <w:pPr>
              <w:pStyle w:val="Compact"/>
            </w:pPr>
            <w:r>
              <w:t xml:space="preserve">- Roundtrip travel time from Allendale, NJ to City, State</w:t>
            </w:r>
          </w:p>
        </w:tc>
      </w:tr>
      <w:tr>
        <w:tc>
          <w:tcPr/>
          <w:p>
            <w:pPr>
              <w:pStyle w:val="Compact"/>
            </w:pPr>
          </w:p>
        </w:tc>
        <w:tc>
          <w:tcPr/>
          <w:p>
            <w:pPr>
              <w:pStyle w:val="Compact"/>
            </w:pPr>
            <w:r>
              <w:t xml:space="preserve">- Travel expenses, per diem, transportation &amp; accommodation</w:t>
            </w:r>
          </w:p>
        </w:tc>
      </w:tr>
      <w:tr>
        <w:tc>
          <w:tcPr/>
          <w:p>
            <w:pPr>
              <w:pStyle w:val="Compact"/>
            </w:pPr>
          </w:p>
        </w:tc>
        <w:tc>
          <w:tcPr/>
          <w:p>
            <w:pPr>
              <w:pStyle w:val="Compact"/>
            </w:pPr>
            <w:r>
              <w:t xml:space="preserve">Price Onsite Services (</w:t>
            </w:r>
            <w:r>
              <w:rPr>
                <w:i/>
                <w:iCs/>
              </w:rPr>
              <w:t xml:space="preserve">): USD x,xxx.00</w:t>
            </w:r>
            <w:r>
              <w:rPr>
                <w:i/>
                <w:iCs/>
              </w:rPr>
              <w:t xml:space="preserve"> </w:t>
            </w:r>
            <w:r>
              <w:t xml:space="preserve">(placeholder)*</w:t>
            </w:r>
          </w:p>
        </w:tc>
      </w:tr>
      <w:tr>
        <w:tc>
          <w:tcPr/>
          <w:p>
            <w:pPr>
              <w:pStyle w:val="Compact"/>
            </w:pPr>
          </w:p>
        </w:tc>
        <w:tc>
          <w:tcPr/>
          <w:p>
            <w:pPr>
              <w:pStyle w:val="Compact"/>
            </w:pPr>
            <w:r>
              <w:t xml:space="preserve">(*) Please confirm dates with WAB at least 2 weeks prior to execution of site visit</w:t>
            </w:r>
          </w:p>
        </w:tc>
      </w:tr>
    </w:tbl>
    <w:p>
      <w:pPr>
        <w:pStyle w:val="BodyText"/>
      </w:pPr>
      <w:r>
        <w:rPr>
          <w:b/>
          <w:bCs/>
        </w:rPr>
        <w:t xml:space="preserve">Difference: Major (new section)</w:t>
      </w:r>
      <w:r>
        <w:t xml:space="preserve"> </w:t>
      </w:r>
      <w:r>
        <w:t xml:space="preserve">— Entirely new USA-only section. Two-day onsite service with startup/training at no charge, travel costs billed separately. Price is a placeholder.</w:t>
      </w:r>
    </w:p>
    <w:p>
      <w:r>
        <w:pict>
          <v:rect style="width:0;height:1.5pt" o:hralign="center" o:hrstd="t" o:hr="t"/>
        </w:pict>
      </w:r>
    </w:p>
    <w:bookmarkEnd w:id="13"/>
    <w:bookmarkStart w:id="15" w:name="Xb4a28aacb7eb494f41115702b221490444876f2"/>
    <w:p>
      <w:pPr>
        <w:pStyle w:val="Heading2"/>
      </w:pPr>
      <w:r>
        <w:t xml:space="preserve">Price Summary — CHE section 6 vs USA section 8</w:t>
      </w:r>
    </w:p>
    <w:bookmarkStart w:id="14" w:name="line-items"/>
    <w:p>
      <w:pPr>
        <w:pStyle w:val="Heading3"/>
      </w:pPr>
      <w:r>
        <w:t xml:space="preserve">6.1 Line Items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Section 6 (UBM 20 FU_FU)</w:t>
            </w:r>
          </w:p>
        </w:tc>
        <w:tc>
          <w:tcPr/>
          <w:p>
            <w:pPr>
              <w:pStyle w:val="Compact"/>
            </w:pPr>
            <w:r>
              <w:t xml:space="preserve">USA Section 8 (UBM 20 FCFC)</w:t>
            </w:r>
          </w:p>
        </w:tc>
      </w:tr>
      <w:tr>
        <w:tc>
          <w:tcPr/>
          <w:p>
            <w:pPr>
              <w:pStyle w:val="Compact"/>
            </w:pPr>
            <w:r>
              <w:t xml:space="preserve">3 – Machine Execution: CHF 89’750.00</w:t>
            </w:r>
          </w:p>
        </w:tc>
        <w:tc>
          <w:tcPr/>
          <w:p>
            <w:pPr>
              <w:pStyle w:val="Compact"/>
            </w:pPr>
            <w:r>
              <w:t xml:space="preserve">3 – Machine Execution: USD 152,037.00</w:t>
            </w:r>
          </w:p>
        </w:tc>
      </w:tr>
      <w:tr>
        <w:tc>
          <w:tcPr/>
          <w:p>
            <w:pPr>
              <w:pStyle w:val="Compact"/>
            </w:pPr>
            <w:r>
              <w:t xml:space="preserve">4 – Product Pump: CHF 8’560.00</w:t>
            </w:r>
          </w:p>
        </w:tc>
        <w:tc>
          <w:tcPr/>
          <w:p>
            <w:pPr>
              <w:pStyle w:val="Compact"/>
            </w:pPr>
            <w:r>
              <w:t xml:space="preserve">4 – Product Pump: USD 14,501.00</w:t>
            </w:r>
          </w:p>
        </w:tc>
      </w:tr>
      <w:tr>
        <w:tc>
          <w:tcPr/>
          <w:p>
            <w:pPr>
              <w:pStyle w:val="Compact"/>
            </w:pPr>
            <w:r>
              <w:t xml:space="preserve">5 – Motor Starter Cabinet: CHF 27’260.00</w:t>
            </w:r>
          </w:p>
        </w:tc>
        <w:tc>
          <w:tcPr/>
          <w:p>
            <w:pPr>
              <w:pStyle w:val="Compact"/>
            </w:pPr>
            <w:r>
              <w:t xml:space="preserve">5 – Motor Starter Cabinet: USD 46,178.00</w:t>
            </w:r>
          </w:p>
        </w:tc>
      </w:tr>
      <w:tr>
        <w:tc>
          <w:tcPr/>
          <w:p>
            <w:pPr>
              <w:pStyle w:val="Compact"/>
            </w:pPr>
            <w:r>
              <w:rPr>
                <w:i/>
                <w:iCs/>
              </w:rPr>
              <w:t xml:space="preserve">(not present)</w:t>
            </w:r>
          </w:p>
        </w:tc>
        <w:tc>
          <w:tcPr/>
          <w:p>
            <w:pPr>
              <w:pStyle w:val="Compact"/>
            </w:pPr>
            <w:r>
              <w:rPr>
                <w:b/>
                <w:bCs/>
              </w:rPr>
              <w:t xml:space="preserve">Transportation from Muttenz: USD</w:t>
            </w:r>
            <w:r>
              <w:rPr>
                <w:b/>
                <w:bCs/>
              </w:rPr>
              <w:t xml:space="preserve"> </w:t>
            </w:r>
            <w:r>
              <w:rPr>
                <w:b/>
                <w:bCs/>
                <w:i/>
                <w:iCs/>
              </w:rPr>
              <w:t xml:space="preserve">(blank)</w:t>
            </w:r>
          </w:p>
        </w:tc>
      </w:tr>
      <w:tr>
        <w:tc>
          <w:tcPr/>
          <w:p>
            <w:pPr>
              <w:pStyle w:val="Compact"/>
            </w:pPr>
            <w:r>
              <w:rPr>
                <w:i/>
                <w:iCs/>
              </w:rPr>
              <w:t xml:space="preserve">(not present)</w:t>
            </w:r>
          </w:p>
        </w:tc>
        <w:tc>
          <w:tcPr/>
          <w:p>
            <w:pPr>
              <w:pStyle w:val="Compact"/>
            </w:pPr>
            <w:r>
              <w:rPr>
                <w:b/>
                <w:bCs/>
              </w:rPr>
              <w:t xml:space="preserve">6 – Grinding Media: USD x,xxx.00</w:t>
            </w:r>
          </w:p>
        </w:tc>
      </w:tr>
      <w:tr>
        <w:tc>
          <w:tcPr/>
          <w:p>
            <w:pPr>
              <w:pStyle w:val="Compact"/>
            </w:pPr>
            <w:r>
              <w:rPr>
                <w:i/>
                <w:iCs/>
              </w:rPr>
              <w:t xml:space="preserve">(not present)</w:t>
            </w:r>
          </w:p>
        </w:tc>
        <w:tc>
          <w:tcPr/>
          <w:p>
            <w:pPr>
              <w:pStyle w:val="Compact"/>
            </w:pPr>
            <w:r>
              <w:rPr>
                <w:b/>
                <w:bCs/>
              </w:rPr>
              <w:t xml:space="preserve">7 – Onsite Services: USD x,xxx.00</w:t>
            </w:r>
          </w:p>
        </w:tc>
      </w:tr>
      <w:tr>
        <w:tc>
          <w:tcPr/>
          <w:p>
            <w:pPr>
              <w:pStyle w:val="Compact"/>
            </w:pPr>
            <w:r>
              <w:rPr>
                <w:i/>
                <w:iCs/>
              </w:rPr>
              <w:t xml:space="preserve">(not present)</w:t>
            </w:r>
          </w:p>
        </w:tc>
        <w:tc>
          <w:tcPr/>
          <w:p>
            <w:pPr>
              <w:pStyle w:val="Compact"/>
            </w:pPr>
            <w:r>
              <w:rPr>
                <w:b/>
                <w:bCs/>
              </w:rPr>
              <w:t xml:space="preserve">9 – Options and Accessories: USD x,xxx.00</w:t>
            </w:r>
          </w:p>
        </w:tc>
      </w:tr>
      <w:tr>
        <w:tc>
          <w:tcPr/>
          <w:p>
            <w:pPr>
              <w:pStyle w:val="Compact"/>
            </w:pPr>
            <w:r>
              <w:rPr>
                <w:b/>
                <w:bCs/>
              </w:rPr>
              <w:t xml:space="preserve">Price for 1 DYNO-MILL UBM 20: CHF 125’570.00</w:t>
            </w:r>
          </w:p>
        </w:tc>
        <w:tc>
          <w:tcPr/>
          <w:p>
            <w:pPr>
              <w:pStyle w:val="Compact"/>
            </w:pPr>
            <w:r>
              <w:rPr>
                <w:b/>
                <w:bCs/>
              </w:rPr>
              <w:t xml:space="preserve">Price for 1 DYNO-MILL UBM 20: USD 212,716.00</w:t>
            </w:r>
          </w:p>
        </w:tc>
      </w:tr>
      <w:tr>
        <w:tc>
          <w:tcPr/>
          <w:p>
            <w:pPr>
              <w:pStyle w:val="Compact"/>
            </w:pPr>
            <w:r>
              <w:t xml:space="preserve">Packing, incl. wooden case: CHF 1’650.00</w:t>
            </w:r>
          </w:p>
        </w:tc>
        <w:tc>
          <w:tcPr/>
          <w:p>
            <w:pPr>
              <w:pStyle w:val="Compact"/>
            </w:pPr>
            <w:r>
              <w:t xml:space="preserve">Packing, incl. wooden case: USD 2,145.00</w:t>
            </w:r>
          </w:p>
        </w:tc>
      </w:tr>
      <w:tr>
        <w:tc>
          <w:tcPr/>
          <w:p>
            <w:pPr>
              <w:pStyle w:val="Compact"/>
            </w:pPr>
            <w:r>
              <w:rPr>
                <w:b/>
                <w:bCs/>
              </w:rPr>
              <w:t xml:space="preserve">TOTAL PRICE, FCA Muttenz, packed: CHF 127’220.00</w:t>
            </w:r>
          </w:p>
        </w:tc>
        <w:tc>
          <w:tcPr/>
          <w:p>
            <w:pPr>
              <w:pStyle w:val="Compact"/>
            </w:pPr>
            <w:r>
              <w:rPr>
                <w:b/>
                <w:bCs/>
              </w:rPr>
              <w:t xml:space="preserve">TOTAL PRICE, FCA Muttenz, packed: USD xxx,xxx.00</w:t>
            </w:r>
          </w:p>
        </w:tc>
      </w:tr>
      <w:tr>
        <w:tc>
          <w:tcPr/>
          <w:p>
            <w:pPr>
              <w:pStyle w:val="Compact"/>
            </w:pPr>
            <w:r>
              <w:rPr>
                <w:i/>
                <w:iCs/>
              </w:rPr>
              <w:t xml:space="preserve">(not present)</w:t>
            </w:r>
          </w:p>
        </w:tc>
        <w:tc>
          <w:tcPr/>
          <w:p>
            <w:pPr>
              <w:pStyle w:val="Compact"/>
            </w:pPr>
            <w:r>
              <w:t xml:space="preserve">**(*) Sales tax may apply, please provide tax exempt certificate if applicable**</w:t>
            </w:r>
          </w:p>
        </w:tc>
      </w:tr>
    </w:tbl>
    <w:p>
      <w:pPr>
        <w:pStyle w:val="BodyText"/>
      </w:pPr>
      <w:r>
        <w:rPr>
          <w:b/>
          <w:bCs/>
        </w:rPr>
        <w:t xml:space="preserve">Difference: Major</w:t>
      </w:r>
      <w:r>
        <w:t xml:space="preserve"> </w:t>
      </w:r>
      <w:r>
        <w:t xml:space="preserve">— Structure expanded significantly:</w:t>
      </w:r>
      <w:r>
        <w:t xml:space="preserve"> </w:t>
      </w:r>
      <w:r>
        <w:t xml:space="preserve">- USA adds 4 new line items: Transportation from Muttenz (blank), Grinding Media, Onsite Services, Options and Accessories (all placeholders).</w:t>
      </w:r>
      <w:r>
        <w:t xml:space="preserve"> </w:t>
      </w:r>
      <w:r>
        <w:t xml:space="preserve">- CHE has 7 rows (including blank), USA has 10 rows.</w:t>
      </w:r>
      <w:r>
        <w:t xml:space="preserve"> </w:t>
      </w:r>
      <w:r>
        <w:t xml:space="preserve">- Machine subtotal factor: 212,716 / 125,570 ≈</w:t>
      </w:r>
      <w:r>
        <w:t xml:space="preserve"> </w:t>
      </w:r>
      <w:r>
        <w:rPr>
          <w:b/>
          <w:bCs/>
        </w:rPr>
        <w:t xml:space="preserve">1.694×</w:t>
      </w:r>
      <w:r>
        <w:t xml:space="preserve">.</w:t>
      </w:r>
      <w:r>
        <w:t xml:space="preserve"> </w:t>
      </w:r>
      <w:r>
        <w:t xml:space="preserve">- Packing factor: 2,145 / 1,650 ≈</w:t>
      </w:r>
      <w:r>
        <w:t xml:space="preserve"> </w:t>
      </w:r>
      <w:r>
        <w:rPr>
          <w:b/>
          <w:bCs/>
        </w:rPr>
        <w:t xml:space="preserve">1.300×</w:t>
      </w:r>
      <w:r>
        <w:t xml:space="preserve"> </w:t>
      </w:r>
      <w:r>
        <w:t xml:space="preserve">(appears to use only the MU multiplier of 1.30, not the full FX×MU).</w:t>
      </w:r>
      <w:r>
        <w:t xml:space="preserve"> </w:t>
      </w:r>
      <w:r>
        <w:t xml:space="preserve">- USA total is a placeholder (xxx,xxx.00) since several line items are unfilled.</w:t>
      </w:r>
      <w:r>
        <w:t xml:space="preserve"> </w:t>
      </w:r>
      <w:r>
        <w:t xml:space="preserve">- Sales tax disclaimer added.</w:t>
      </w:r>
    </w:p>
    <w:p>
      <w:r>
        <w:pict>
          <v:rect style="width:0;height:1.5pt" o:hralign="center" o:hrstd="t" o:hr="t"/>
        </w:pict>
      </w:r>
    </w:p>
    <w:bookmarkEnd w:id="14"/>
    <w:bookmarkEnd w:id="15"/>
    <w:bookmarkStart w:id="20" w:name="X47c19281569e9d5812361b97f1fd1e02f9c3ab0"/>
    <w:p>
      <w:pPr>
        <w:pStyle w:val="Heading2"/>
      </w:pPr>
      <w:r>
        <w:t xml:space="preserve">Options and Accessories — CHE section 7 vs USA section 9</w:t>
      </w:r>
    </w:p>
    <w:bookmarkStart w:id="16" w:name="header-note"/>
    <w:p>
      <w:pPr>
        <w:pStyle w:val="Heading3"/>
      </w:pPr>
      <w:r>
        <w:t xml:space="preserve">7.1 Header Note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Section 7 (UBM 20 FU_FU)</w:t>
            </w:r>
          </w:p>
        </w:tc>
        <w:tc>
          <w:tcPr/>
          <w:p>
            <w:pPr>
              <w:pStyle w:val="Compact"/>
            </w:pPr>
            <w:r>
              <w:t xml:space="preserve">USA Section 9 (UBM 20 FCFC)</w:t>
            </w:r>
          </w:p>
        </w:tc>
      </w:tr>
      <w:tr>
        <w:tc>
          <w:tcPr/>
          <w:p>
            <w:pPr>
              <w:pStyle w:val="Compact"/>
            </w:pPr>
            <w:r>
              <w:t xml:space="preserve">(not included in the total price)</w:t>
            </w:r>
          </w:p>
        </w:tc>
        <w:tc>
          <w:tcPr/>
          <w:p>
            <w:pPr>
              <w:pStyle w:val="Compact"/>
            </w:pPr>
            <w:r>
              <w:t xml:space="preserve">(Not included in the total price)</w:t>
            </w:r>
          </w:p>
        </w:tc>
      </w:tr>
    </w:tbl>
    <w:p>
      <w:pPr>
        <w:pStyle w:val="BodyText"/>
      </w:pPr>
      <w:r>
        <w:rPr>
          <w:b/>
          <w:bCs/>
        </w:rPr>
        <w:t xml:space="preserve">Difference: Minor</w:t>
      </w:r>
      <w:r>
        <w:t xml:space="preserve"> </w:t>
      </w:r>
      <w:r>
        <w:t xml:space="preserve">— Capitalisation of</w:t>
      </w:r>
      <w:r>
        <w:t xml:space="preserve"> </w:t>
      </w:r>
      <w:r>
        <w:t xml:space="preserve">“Not”</w:t>
      </w:r>
      <w:r>
        <w:t xml:space="preserve">.</w:t>
      </w:r>
    </w:p>
    <w:p>
      <w:r>
        <w:pict>
          <v:rect style="width:0;height:1.5pt" o:hralign="center" o:hrstd="t" o:hr="t"/>
        </w:pict>
      </w:r>
    </w:p>
    <w:bookmarkEnd w:id="16"/>
    <w:bookmarkStart w:id="17" w:name="spare-and-replacement-parts"/>
    <w:p>
      <w:pPr>
        <w:pStyle w:val="Heading3"/>
      </w:pPr>
      <w:r>
        <w:t xml:space="preserve">7.2 Spare and Replacement Parts</w:t>
      </w:r>
    </w:p>
    <w:p>
      <w:pPr>
        <w:pStyle w:val="FirstParagraph"/>
      </w:pPr>
      <w:r>
        <w:t xml:space="preserve">CHE has a flat list. USA organises the same items under subsection</w:t>
      </w:r>
      <w:r>
        <w:t xml:space="preserve"> </w:t>
      </w:r>
      <w:r>
        <w:t xml:space="preserve">“9.1 Spare and Replacement Parts”</w:t>
      </w:r>
      <w:r>
        <w:t xml:space="preserve">.</w:t>
      </w:r>
    </w:p>
    <w:tbl>
      <w:tblPr>
        <w:tblStyle w:val="Table"/>
        <w:tblW w:type="pct" w:w="5000"/>
        <w:tblLayout w:type="fixed"/>
        <w:tblLook w:firstRow="1" w:lastRow="0" w:firstColumn="0" w:lastColumn="0" w:noHBand="0" w:noVBand="0" w:val="0020"/>
      </w:tblPr>
      <w:tblGrid>
        <w:gridCol w:w="1320"/>
        <w:gridCol w:w="2420"/>
        <w:gridCol w:w="2420"/>
        <w:gridCol w:w="1760"/>
      </w:tblGrid>
      <w:tr>
        <w:trPr>
          <w:tblHeader w:val="on"/>
        </w:trPr>
        <w:tc>
          <w:tcPr/>
          <w:p>
            <w:pPr>
              <w:pStyle w:val="Compact"/>
            </w:pPr>
            <w:r>
              <w:t xml:space="preserve">Item</w:t>
            </w:r>
          </w:p>
        </w:tc>
        <w:tc>
          <w:tcPr/>
          <w:p>
            <w:pPr>
              <w:pStyle w:val="Compact"/>
              <w:jc w:val="right"/>
            </w:pPr>
            <w:r>
              <w:t xml:space="preserve">CHE (CHF)</w:t>
            </w:r>
          </w:p>
        </w:tc>
        <w:tc>
          <w:tcPr/>
          <w:p>
            <w:pPr>
              <w:pStyle w:val="Compact"/>
              <w:jc w:val="right"/>
            </w:pPr>
            <w:r>
              <w:t xml:space="preserve">USA (USD)</w:t>
            </w:r>
          </w:p>
        </w:tc>
        <w:tc>
          <w:tcPr/>
          <w:p>
            <w:pPr>
              <w:pStyle w:val="Compact"/>
              <w:jc w:val="center"/>
            </w:pPr>
            <w:r>
              <w:t xml:space="preserve">Factor</w:t>
            </w:r>
          </w:p>
        </w:tc>
      </w:tr>
      <w:tr>
        <w:tc>
          <w:tcPr/>
          <w:p>
            <w:pPr>
              <w:pStyle w:val="Compact"/>
            </w:pPr>
            <w:r>
              <w:t xml:space="preserve">WAB cylindrical slot screen 0.07 mm (art. 252159)</w:t>
            </w:r>
          </w:p>
        </w:tc>
        <w:tc>
          <w:tcPr/>
          <w:p>
            <w:pPr>
              <w:pStyle w:val="Compact"/>
              <w:jc w:val="right"/>
            </w:pPr>
            <w:r>
              <w:t xml:space="preserve">2’740.00</w:t>
            </w:r>
          </w:p>
        </w:tc>
        <w:tc>
          <w:tcPr/>
          <w:p>
            <w:pPr>
              <w:pStyle w:val="Compact"/>
              <w:jc w:val="right"/>
            </w:pPr>
            <w:r>
              <w:t xml:space="preserve">7,765.00</w:t>
            </w:r>
          </w:p>
        </w:tc>
        <w:tc>
          <w:tcPr/>
          <w:p>
            <w:pPr>
              <w:pStyle w:val="Compact"/>
              <w:jc w:val="center"/>
            </w:pPr>
            <w:r>
              <w:t xml:space="preserve">2.834×</w:t>
            </w:r>
          </w:p>
        </w:tc>
      </w:tr>
      <w:tr>
        <w:tc>
          <w:tcPr/>
          <w:p>
            <w:pPr>
              <w:pStyle w:val="Compact"/>
            </w:pPr>
            <w:r>
              <w:t xml:space="preserve">WAB cylindrical slot screen 0.13 mm (art. 250918)</w:t>
            </w:r>
          </w:p>
        </w:tc>
        <w:tc>
          <w:tcPr/>
          <w:p>
            <w:pPr>
              <w:pStyle w:val="Compact"/>
              <w:jc w:val="right"/>
            </w:pPr>
            <w:r>
              <w:t xml:space="preserve">2’740.00</w:t>
            </w:r>
          </w:p>
        </w:tc>
        <w:tc>
          <w:tcPr/>
          <w:p>
            <w:pPr>
              <w:pStyle w:val="Compact"/>
              <w:jc w:val="right"/>
            </w:pPr>
            <w:r>
              <w:t xml:space="preserve">7,765.00</w:t>
            </w:r>
          </w:p>
        </w:tc>
        <w:tc>
          <w:tcPr/>
          <w:p>
            <w:pPr>
              <w:pStyle w:val="Compact"/>
              <w:jc w:val="center"/>
            </w:pPr>
            <w:r>
              <w:t xml:space="preserve">2.834×</w:t>
            </w:r>
          </w:p>
        </w:tc>
      </w:tr>
      <w:tr>
        <w:tc>
          <w:tcPr/>
          <w:p>
            <w:pPr>
              <w:pStyle w:val="Compact"/>
            </w:pPr>
            <w:r>
              <w:t xml:space="preserve">WAB cylindrical slot screen 0.25 mm (art. 250916)</w:t>
            </w:r>
            <w:r>
              <w:t xml:space="preserve"> </w:t>
            </w:r>
            <w:r>
              <w:rPr>
                <w:i/>
                <w:iCs/>
              </w:rPr>
              <w:t xml:space="preserve">(incl. in sec 3)</w:t>
            </w:r>
          </w:p>
        </w:tc>
        <w:tc>
          <w:tcPr/>
          <w:p>
            <w:pPr>
              <w:pStyle w:val="Compact"/>
              <w:jc w:val="right"/>
            </w:pPr>
            <w:r>
              <w:t xml:space="preserve">2’740.00</w:t>
            </w:r>
          </w:p>
        </w:tc>
        <w:tc>
          <w:tcPr/>
          <w:p>
            <w:pPr>
              <w:pStyle w:val="Compact"/>
              <w:jc w:val="right"/>
            </w:pPr>
            <w:r>
              <w:t xml:space="preserve">7,765.00</w:t>
            </w:r>
          </w:p>
        </w:tc>
        <w:tc>
          <w:tcPr/>
          <w:p>
            <w:pPr>
              <w:pStyle w:val="Compact"/>
              <w:jc w:val="center"/>
            </w:pPr>
            <w:r>
              <w:t xml:space="preserve">2.834×</w:t>
            </w:r>
          </w:p>
        </w:tc>
      </w:tr>
      <w:tr>
        <w:tc>
          <w:tcPr/>
          <w:p>
            <w:pPr>
              <w:pStyle w:val="Compact"/>
            </w:pPr>
            <w:r>
              <w:t xml:space="preserve">WAB cylindrical slot screen 0.40 mm (art. 250914)</w:t>
            </w:r>
          </w:p>
        </w:tc>
        <w:tc>
          <w:tcPr/>
          <w:p>
            <w:pPr>
              <w:pStyle w:val="Compact"/>
              <w:jc w:val="right"/>
            </w:pPr>
            <w:r>
              <w:t xml:space="preserve">2’740.00</w:t>
            </w:r>
          </w:p>
        </w:tc>
        <w:tc>
          <w:tcPr/>
          <w:p>
            <w:pPr>
              <w:pStyle w:val="Compact"/>
              <w:jc w:val="right"/>
            </w:pPr>
            <w:r>
              <w:t xml:space="preserve">7,765.00</w:t>
            </w:r>
          </w:p>
        </w:tc>
        <w:tc>
          <w:tcPr/>
          <w:p>
            <w:pPr>
              <w:pStyle w:val="Compact"/>
              <w:jc w:val="center"/>
            </w:pPr>
            <w:r>
              <w:t xml:space="preserve">2.834×</w:t>
            </w:r>
          </w:p>
        </w:tc>
      </w:tr>
      <w:tr>
        <w:tc>
          <w:tcPr/>
          <w:p>
            <w:pPr>
              <w:pStyle w:val="Compact"/>
            </w:pPr>
            <w:r>
              <w:t xml:space="preserve">WAB cylindrical slot screen 0.60 mm (art. 250907)</w:t>
            </w:r>
          </w:p>
        </w:tc>
        <w:tc>
          <w:tcPr/>
          <w:p>
            <w:pPr>
              <w:pStyle w:val="Compact"/>
              <w:jc w:val="right"/>
            </w:pPr>
            <w:r>
              <w:t xml:space="preserve">2’800.00</w:t>
            </w:r>
          </w:p>
        </w:tc>
        <w:tc>
          <w:tcPr/>
          <w:p>
            <w:pPr>
              <w:pStyle w:val="Compact"/>
              <w:jc w:val="right"/>
            </w:pPr>
            <w:r>
              <w:t xml:space="preserve">7,935.00</w:t>
            </w:r>
          </w:p>
        </w:tc>
        <w:tc>
          <w:tcPr/>
          <w:p>
            <w:pPr>
              <w:pStyle w:val="Compact"/>
              <w:jc w:val="center"/>
            </w:pPr>
            <w:r>
              <w:t xml:space="preserve">2.834×</w:t>
            </w:r>
          </w:p>
        </w:tc>
      </w:tr>
      <w:tr>
        <w:tc>
          <w:tcPr/>
          <w:p>
            <w:pPr>
              <w:pStyle w:val="Compact"/>
            </w:pPr>
            <w:r>
              <w:t xml:space="preserve">Ball check valve DN 1½” with flange connection</w:t>
            </w:r>
          </w:p>
        </w:tc>
        <w:tc>
          <w:tcPr/>
          <w:p>
            <w:pPr>
              <w:pStyle w:val="Compact"/>
              <w:jc w:val="right"/>
            </w:pPr>
            <w:r>
              <w:t xml:space="preserve">1’890.00</w:t>
            </w:r>
          </w:p>
        </w:tc>
        <w:tc>
          <w:tcPr/>
          <w:p>
            <w:pPr>
              <w:pStyle w:val="Compact"/>
              <w:jc w:val="right"/>
            </w:pPr>
            <w:r>
              <w:t xml:space="preserve">5,356.00</w:t>
            </w:r>
          </w:p>
        </w:tc>
        <w:tc>
          <w:tcPr/>
          <w:p>
            <w:pPr>
              <w:pStyle w:val="Compact"/>
              <w:jc w:val="center"/>
            </w:pPr>
            <w:r>
              <w:t xml:space="preserve">2.834×</w:t>
            </w:r>
          </w:p>
        </w:tc>
      </w:tr>
      <w:tr>
        <w:tc>
          <w:tcPr/>
          <w:p>
            <w:pPr>
              <w:pStyle w:val="Compact"/>
            </w:pPr>
            <w:r>
              <w:t xml:space="preserve">Drain cock with screen (extra charge)</w:t>
            </w:r>
          </w:p>
        </w:tc>
        <w:tc>
          <w:tcPr/>
          <w:p>
            <w:pPr>
              <w:pStyle w:val="Compact"/>
              <w:jc w:val="right"/>
            </w:pPr>
            <w:r>
              <w:t xml:space="preserve">415.00</w:t>
            </w:r>
          </w:p>
        </w:tc>
        <w:tc>
          <w:tcPr/>
          <w:p>
            <w:pPr>
              <w:pStyle w:val="Compact"/>
              <w:jc w:val="right"/>
            </w:pPr>
            <w:r>
              <w:t xml:space="preserve">1,176.00</w:t>
            </w:r>
          </w:p>
        </w:tc>
        <w:tc>
          <w:tcPr/>
          <w:p>
            <w:pPr>
              <w:pStyle w:val="Compact"/>
              <w:jc w:val="center"/>
            </w:pPr>
            <w:r>
              <w:t xml:space="preserve">2.834×</w:t>
            </w:r>
          </w:p>
        </w:tc>
      </w:tr>
      <w:tr>
        <w:tc>
          <w:tcPr/>
          <w:p>
            <w:pPr>
              <w:pStyle w:val="Compact"/>
            </w:pPr>
            <w:r>
              <w:t xml:space="preserve">Set of torque wrenches (art. 241106)</w:t>
            </w:r>
          </w:p>
        </w:tc>
        <w:tc>
          <w:tcPr/>
          <w:p>
            <w:pPr>
              <w:pStyle w:val="Compact"/>
              <w:jc w:val="right"/>
            </w:pPr>
            <w:r>
              <w:t xml:space="preserve">1’030.00</w:t>
            </w:r>
          </w:p>
        </w:tc>
        <w:tc>
          <w:tcPr/>
          <w:p>
            <w:pPr>
              <w:pStyle w:val="Compact"/>
              <w:jc w:val="right"/>
            </w:pPr>
            <w:r>
              <w:t xml:space="preserve">2,919.00</w:t>
            </w:r>
          </w:p>
        </w:tc>
        <w:tc>
          <w:tcPr/>
          <w:p>
            <w:pPr>
              <w:pStyle w:val="Compact"/>
              <w:jc w:val="center"/>
            </w:pPr>
            <w:r>
              <w:t xml:space="preserve">2.835×</w:t>
            </w:r>
          </w:p>
        </w:tc>
      </w:tr>
      <w:tr>
        <w:tc>
          <w:tcPr/>
          <w:p>
            <w:pPr>
              <w:pStyle w:val="Compact"/>
            </w:pPr>
            <w:r>
              <w:t xml:space="preserve">Grinding cylinder silicon carbide (extra charge)</w:t>
            </w:r>
          </w:p>
        </w:tc>
        <w:tc>
          <w:tcPr/>
          <w:p>
            <w:pPr>
              <w:pStyle w:val="Compact"/>
              <w:jc w:val="right"/>
            </w:pPr>
            <w:r>
              <w:t xml:space="preserve">12’890.00</w:t>
            </w:r>
          </w:p>
        </w:tc>
        <w:tc>
          <w:tcPr/>
          <w:p>
            <w:pPr>
              <w:pStyle w:val="Compact"/>
              <w:jc w:val="right"/>
            </w:pPr>
            <w:r>
              <w:t xml:space="preserve">36,530.00</w:t>
            </w:r>
          </w:p>
        </w:tc>
        <w:tc>
          <w:tcPr/>
          <w:p>
            <w:pPr>
              <w:pStyle w:val="Compact"/>
              <w:jc w:val="center"/>
            </w:pPr>
            <w:r>
              <w:t xml:space="preserve">2.834×</w:t>
            </w:r>
          </w:p>
        </w:tc>
      </w:tr>
      <w:tr>
        <w:tc>
          <w:tcPr/>
          <w:p>
            <w:pPr>
              <w:pStyle w:val="Compact"/>
            </w:pPr>
            <w:r>
              <w:t xml:space="preserve">O-rings perfluorelastomer→</w:t>
            </w:r>
            <w:r>
              <w:rPr>
                <w:b/>
                <w:bCs/>
              </w:rPr>
              <w:t xml:space="preserve">Perfluor</w:t>
            </w:r>
            <w:r>
              <w:t xml:space="preserve"> </w:t>
            </w:r>
            <w:r>
              <w:t xml:space="preserve">(extra charge)</w:t>
            </w:r>
          </w:p>
        </w:tc>
        <w:tc>
          <w:tcPr/>
          <w:p>
            <w:pPr>
              <w:pStyle w:val="Compact"/>
              <w:jc w:val="right"/>
            </w:pPr>
            <w:r>
              <w:t xml:space="preserve">2’145.00</w:t>
            </w:r>
          </w:p>
        </w:tc>
        <w:tc>
          <w:tcPr/>
          <w:p>
            <w:pPr>
              <w:pStyle w:val="Compact"/>
              <w:jc w:val="right"/>
            </w:pPr>
            <w:r>
              <w:t xml:space="preserve">6,079.00</w:t>
            </w:r>
          </w:p>
        </w:tc>
        <w:tc>
          <w:tcPr/>
          <w:p>
            <w:pPr>
              <w:pStyle w:val="Compact"/>
              <w:jc w:val="center"/>
            </w:pPr>
            <w:r>
              <w:t xml:space="preserve">2.834×</w:t>
            </w:r>
          </w:p>
        </w:tc>
      </w:tr>
    </w:tbl>
    <w:p>
      <w:pPr>
        <w:pStyle w:val="BodyText"/>
      </w:pPr>
      <w:r>
        <w:rPr>
          <w:b/>
          <w:bCs/>
        </w:rPr>
        <w:t xml:space="preserve">Difference: Modest</w:t>
      </w:r>
      <w:r>
        <w:t xml:space="preserve"> </w:t>
      </w:r>
      <w:r>
        <w:t xml:space="preserve">— All items identical in description (only</w:t>
      </w:r>
      <w:r>
        <w:t xml:space="preserve"> </w:t>
      </w:r>
      <w:r>
        <w:t xml:space="preserve">“perfluorelastomer”</w:t>
      </w:r>
      <w:r>
        <w:t xml:space="preserve">→</w:t>
      </w:r>
      <w:r>
        <w:t xml:space="preserve">“Perfluor”</w:t>
      </w:r>
      <w:r>
        <w:t xml:space="preserve">). Currency CHF→USD. The price factor is a remarkably consistent</w:t>
      </w:r>
      <w:r>
        <w:t xml:space="preserve"> </w:t>
      </w:r>
      <w:r>
        <w:rPr>
          <w:b/>
          <w:bCs/>
        </w:rPr>
        <w:t xml:space="preserve">~2.834×</w:t>
      </w:r>
      <w:r>
        <w:t xml:space="preserve"> </w:t>
      </w:r>
      <w:r>
        <w:t xml:space="preserve">across all items — very different from the ~1.694× factor used in sections 3-5. This suggests Options/Accessories use a different multiplier combination, possibly FX multiplier_2 × MU multiplier_1 = 1.54 × 1.84 ≈ 2.834, or some other combination of the available factors.</w:t>
      </w:r>
    </w:p>
    <w:p>
      <w:r>
        <w:pict>
          <v:rect style="width:0;height:1.5pt" o:hralign="center" o:hrstd="t" o:hr="t"/>
        </w:pict>
      </w:r>
    </w:p>
    <w:bookmarkEnd w:id="17"/>
    <w:bookmarkStart w:id="18" w:name="alternate-product-pump"/>
    <w:p>
      <w:pPr>
        <w:pStyle w:val="Heading3"/>
      </w:pPr>
      <w:r>
        <w:t xml:space="preserve">7.3 Alternate Product Pump</w:t>
      </w:r>
    </w:p>
    <w:p>
      <w:pPr>
        <w:pStyle w:val="FirstParagraph"/>
      </w:pPr>
      <w:r>
        <w:t xml:space="preserve">CHE has a</w:t>
      </w:r>
      <w:r>
        <w:t xml:space="preserve"> </w:t>
      </w:r>
      <w:r>
        <w:t xml:space="preserve">“Product Pump FZ 2500”</w:t>
      </w:r>
      <w:r>
        <w:t xml:space="preserve"> </w:t>
      </w:r>
      <w:r>
        <w:t xml:space="preserve">subsection. USA has</w:t>
      </w:r>
      <w:r>
        <w:t xml:space="preserve"> </w:t>
      </w:r>
      <w:r>
        <w:t xml:space="preserve">“9.3 Alternate Product Pump”</w:t>
      </w:r>
      <w:r>
        <w:t xml:space="preserve"> </w:t>
      </w:r>
      <w:r>
        <w:t xml:space="preserve">with</w:t>
      </w:r>
      <w:r>
        <w:t xml:space="preserve"> </w:t>
      </w:r>
      <w:r>
        <w:t xml:space="preserve">“Product Pump (2300 l/h)”</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(UBM 20 FU_FU) — Product Pump FZ 2500</w:t>
            </w:r>
          </w:p>
        </w:tc>
        <w:tc>
          <w:tcPr/>
          <w:p>
            <w:pPr>
              <w:pStyle w:val="Compact"/>
            </w:pPr>
            <w:r>
              <w:t xml:space="preserve">USA (UBM 20 FCFC) — 9.3 Alternate Product Pump (2300 l/h)</w:t>
            </w:r>
          </w:p>
        </w:tc>
      </w:tr>
      <w:tr>
        <w:tc>
          <w:tcPr/>
          <w:p>
            <w:pPr>
              <w:pStyle w:val="Compact"/>
            </w:pPr>
            <w:r>
              <w:t xml:space="preserve">1× Gear pump for throughputs up to</w:t>
            </w:r>
            <w:r>
              <w:t xml:space="preserve"> </w:t>
            </w:r>
            <w:r>
              <w:rPr>
                <w:b/>
                <w:bCs/>
              </w:rPr>
              <w:t xml:space="preserve">2500 l/h</w:t>
            </w:r>
          </w:p>
        </w:tc>
        <w:tc>
          <w:tcPr/>
          <w:p>
            <w:pPr>
              <w:pStyle w:val="Compact"/>
            </w:pPr>
            <w:r>
              <w:t xml:space="preserve">1× Gear pump for throughputs up to</w:t>
            </w:r>
            <w:r>
              <w:t xml:space="preserve"> </w:t>
            </w:r>
            <w:r>
              <w:rPr>
                <w:b/>
                <w:bCs/>
              </w:rPr>
              <w:t xml:space="preserve">2300 l/h</w:t>
            </w:r>
          </w:p>
        </w:tc>
      </w:tr>
      <w:tr>
        <w:tc>
          <w:tcPr/>
          <w:p>
            <w:pPr>
              <w:pStyle w:val="Compact"/>
            </w:pPr>
            <w:r>
              <w:rPr>
                <w:b/>
                <w:bCs/>
              </w:rPr>
              <w:t xml:space="preserve">Explosion protection of the product pump:</w:t>
            </w:r>
            <w:r>
              <w:t xml:space="preserve"> </w:t>
            </w:r>
            <w:r>
              <w:t xml:space="preserve">Directive 2014/34/EU — II 2 G Ex h IIB T3 Gb X</w:t>
            </w:r>
          </w:p>
        </w:tc>
        <w:tc>
          <w:tcPr/>
          <w:p>
            <w:pPr>
              <w:pStyle w:val="Compact"/>
            </w:pPr>
            <w:r>
              <w:rPr>
                <w:i/>
                <w:iCs/>
              </w:rPr>
              <w:t xml:space="preserve">(ATEX declaration removed)</w:t>
            </w:r>
          </w:p>
        </w:tc>
      </w:tr>
      <w:tr>
        <w:tc>
          <w:tcPr/>
          <w:p>
            <w:pPr>
              <w:pStyle w:val="Compact"/>
            </w:pPr>
            <w:r>
              <w:t xml:space="preserve">The gear pump is mounted on a separate baseplate with</w:t>
            </w:r>
            <w:r>
              <w:t xml:space="preserve"> </w:t>
            </w:r>
            <w:r>
              <w:rPr>
                <w:b/>
                <w:bCs/>
              </w:rPr>
              <w:t xml:space="preserve">legs</w:t>
            </w:r>
            <w:r>
              <w:t xml:space="preserve">, for</w:t>
            </w:r>
            <w:r>
              <w:t xml:space="preserve"> </w:t>
            </w:r>
            <w:r>
              <w:rPr>
                <w:b/>
                <w:bCs/>
              </w:rPr>
              <w:t xml:space="preserve">the operation</w:t>
            </w:r>
            <w:r>
              <w:t xml:space="preserve"> </w:t>
            </w:r>
            <w:r>
              <w:t xml:space="preserve">beside the DYNO-MILL UBM 20.</w:t>
            </w:r>
          </w:p>
        </w:tc>
        <w:tc>
          <w:tcPr/>
          <w:p>
            <w:pPr>
              <w:pStyle w:val="Compact"/>
            </w:pPr>
            <w:r>
              <w:t xml:space="preserve">The</w:t>
            </w:r>
            <w:r>
              <w:t xml:space="preserve"> </w:t>
            </w:r>
            <w:r>
              <w:rPr>
                <w:b/>
                <w:bCs/>
              </w:rPr>
              <w:t xml:space="preserve">pump</w:t>
            </w:r>
            <w:r>
              <w:t xml:space="preserve"> </w:t>
            </w:r>
            <w:r>
              <w:t xml:space="preserve">is mounted on a separate baseplate with</w:t>
            </w:r>
            <w:r>
              <w:t xml:space="preserve"> </w:t>
            </w:r>
            <w:r>
              <w:rPr>
                <w:b/>
                <w:bCs/>
              </w:rPr>
              <w:t xml:space="preserve">feet</w:t>
            </w:r>
            <w:r>
              <w:t xml:space="preserve">, for</w:t>
            </w:r>
            <w:r>
              <w:t xml:space="preserve"> </w:t>
            </w:r>
            <w:r>
              <w:rPr>
                <w:b/>
                <w:bCs/>
              </w:rPr>
              <w:t xml:space="preserve">operation</w:t>
            </w:r>
            <w:r>
              <w:t xml:space="preserve"> </w:t>
            </w:r>
            <w:r>
              <w:t xml:space="preserve">beside the DYNO-MILL UBM 20.</w:t>
            </w:r>
          </w:p>
        </w:tc>
      </w:tr>
      <w:tr>
        <w:tc>
          <w:tcPr/>
          <w:p>
            <w:pPr>
              <w:pStyle w:val="Compact"/>
            </w:pPr>
            <w:r>
              <w:t xml:space="preserve">Motor</w:t>
            </w:r>
            <w:r>
              <w:t xml:space="preserve"> </w:t>
            </w:r>
            <w:r>
              <w:rPr>
                <w:b/>
                <w:bCs/>
              </w:rPr>
              <w:t xml:space="preserve">1.5 kW, 3 x 400 V, 50 Hz, 1500 min⁻¹</w:t>
            </w:r>
          </w:p>
        </w:tc>
        <w:tc>
          <w:tcPr/>
          <w:p>
            <w:pPr>
              <w:pStyle w:val="Compact"/>
            </w:pPr>
            <w:r>
              <w:t xml:space="preserve">Motor</w:t>
            </w:r>
            <w:r>
              <w:t xml:space="preserve"> </w:t>
            </w:r>
            <w:r>
              <w:rPr>
                <w:b/>
                <w:bCs/>
              </w:rPr>
              <w:t xml:space="preserve">2 HP (1.5 kW), 3 x 460 V, 60 Hz, 1750 rpm, TEFC(-XP)</w:t>
            </w:r>
          </w:p>
        </w:tc>
      </w:tr>
      <w:tr>
        <w:tc>
          <w:tcPr/>
          <w:p>
            <w:pPr>
              <w:pStyle w:val="Compact"/>
            </w:pPr>
            <w:r>
              <w:rPr>
                <w:b/>
                <w:bCs/>
              </w:rPr>
              <w:t xml:space="preserve">II 2 G Ex db eb IIC T4 Gb, IP 55, with 3 PTC probes, 5 – 80 Hz</w:t>
            </w:r>
          </w:p>
        </w:tc>
        <w:tc>
          <w:tcPr/>
          <w:p>
            <w:pPr>
              <w:pStyle w:val="Compact"/>
            </w:pPr>
            <w:r>
              <w:rPr>
                <w:i/>
                <w:iCs/>
              </w:rPr>
              <w:t xml:space="preserve">(ATEX removed)</w:t>
            </w:r>
          </w:p>
        </w:tc>
      </w:tr>
      <w:tr>
        <w:tc>
          <w:tcPr/>
          <w:p>
            <w:pPr>
              <w:pStyle w:val="Compact"/>
            </w:pPr>
            <w:r>
              <w:t xml:space="preserve">Reducing gear</w:t>
            </w:r>
          </w:p>
        </w:tc>
        <w:tc>
          <w:tcPr/>
          <w:p>
            <w:pPr>
              <w:pStyle w:val="Compact"/>
            </w:pPr>
            <w:r>
              <w:rPr>
                <w:b/>
                <w:bCs/>
              </w:rPr>
              <w:t xml:space="preserve">Rotational speed variable by frequency regulation and speed reducer gear</w:t>
            </w:r>
          </w:p>
        </w:tc>
      </w:tr>
      <w:tr>
        <w:tc>
          <w:tcPr/>
          <w:p>
            <w:pPr>
              <w:pStyle w:val="Compact"/>
            </w:pPr>
            <w:r>
              <w:t xml:space="preserve">Single mechanical seal with O-rings (Kalrez)</w:t>
            </w:r>
          </w:p>
        </w:tc>
        <w:tc>
          <w:tcPr/>
          <w:p>
            <w:pPr>
              <w:pStyle w:val="Compact"/>
            </w:pPr>
            <w:r>
              <w:t xml:space="preserve">Single mechanical seal with O-rings (Kalrez)</w:t>
            </w:r>
          </w:p>
        </w:tc>
      </w:tr>
      <w:tr>
        <w:tc>
          <w:tcPr/>
          <w:p>
            <w:pPr>
              <w:pStyle w:val="Compact"/>
            </w:pPr>
            <w:r>
              <w:rPr>
                <w:b/>
                <w:bCs/>
              </w:rPr>
              <w:t xml:space="preserve">Temperature control by means of 1 PTC probe</w:t>
            </w:r>
          </w:p>
        </w:tc>
        <w:tc>
          <w:tcPr/>
          <w:p>
            <w:pPr>
              <w:pStyle w:val="Compact"/>
            </w:pPr>
            <w:r>
              <w:rPr>
                <w:i/>
                <w:iCs/>
              </w:rPr>
              <w:t xml:space="preserve">(removed)</w:t>
            </w:r>
          </w:p>
        </w:tc>
      </w:tr>
      <w:tr>
        <w:tc>
          <w:tcPr/>
          <w:p>
            <w:pPr>
              <w:pStyle w:val="Compact"/>
            </w:pPr>
            <w:r>
              <w:rPr>
                <w:b/>
                <w:bCs/>
              </w:rPr>
              <w:t xml:space="preserve">Product connections with hose stem</w:t>
            </w:r>
          </w:p>
        </w:tc>
        <w:tc>
          <w:tcPr/>
          <w:p>
            <w:pPr>
              <w:pStyle w:val="Compact"/>
            </w:pPr>
            <w:r>
              <w:rPr>
                <w:b/>
                <w:bCs/>
              </w:rPr>
              <w:t xml:space="preserve">Tri-Clamp connection</w:t>
            </w:r>
            <w:r>
              <w:t xml:space="preserve"> </w:t>
            </w:r>
            <w:r>
              <w:t xml:space="preserve">for product hose</w:t>
            </w:r>
          </w:p>
        </w:tc>
      </w:tr>
      <w:tr>
        <w:tc>
          <w:tcPr/>
          <w:p>
            <w:pPr>
              <w:pStyle w:val="Compact"/>
            </w:pPr>
            <w:r>
              <w:rPr>
                <w:b/>
                <w:bCs/>
              </w:rPr>
              <w:t xml:space="preserve">Filling hopper with ball valve mounted on the pump inlet</w:t>
            </w:r>
          </w:p>
        </w:tc>
        <w:tc>
          <w:tcPr/>
          <w:p>
            <w:pPr>
              <w:pStyle w:val="Compact"/>
            </w:pPr>
            <w:r>
              <w:rPr>
                <w:i/>
                <w:iCs/>
              </w:rPr>
              <w:t xml:space="preserve">(removed)</w:t>
            </w:r>
          </w:p>
        </w:tc>
      </w:tr>
      <w:tr>
        <w:tc>
          <w:tcPr/>
          <w:p>
            <w:pPr>
              <w:pStyle w:val="Compact"/>
            </w:pPr>
            <w:r>
              <w:rPr>
                <w:i/>
                <w:iCs/>
              </w:rPr>
              <w:t xml:space="preserve">(not present)</w:t>
            </w:r>
          </w:p>
        </w:tc>
        <w:tc>
          <w:tcPr/>
          <w:p>
            <w:pPr>
              <w:pStyle w:val="Compact"/>
            </w:pPr>
            <w:r>
              <w:rPr>
                <w:b/>
                <w:bCs/>
              </w:rPr>
              <w:t xml:space="preserve">Max. pressure 4 bar</w:t>
            </w:r>
          </w:p>
        </w:tc>
      </w:tr>
      <w:tr>
        <w:tc>
          <w:tcPr/>
          <w:p>
            <w:pPr>
              <w:pStyle w:val="Compact"/>
            </w:pPr>
            <w:r>
              <w:rPr>
                <w:i/>
                <w:iCs/>
              </w:rPr>
              <w:t xml:space="preserve">(not present)</w:t>
            </w:r>
          </w:p>
        </w:tc>
        <w:tc>
          <w:tcPr/>
          <w:p>
            <w:pPr>
              <w:pStyle w:val="Compact"/>
            </w:pPr>
            <w:r>
              <w:rPr>
                <w:b/>
                <w:bCs/>
              </w:rPr>
              <w:t xml:space="preserve">Tubing between feed tank, pump, mill, and discharge is not included</w:t>
            </w:r>
          </w:p>
        </w:tc>
      </w:tr>
      <w:tr>
        <w:tc>
          <w:tcPr/>
          <w:p>
            <w:pPr>
              <w:pStyle w:val="Compact"/>
            </w:pPr>
            <w:r>
              <w:t xml:space="preserve">Price Product Pump:</w:t>
            </w:r>
            <w:r>
              <w:t xml:space="preserve"> </w:t>
            </w:r>
            <w:r>
              <w:rPr>
                <w:b/>
                <w:bCs/>
              </w:rPr>
              <w:t xml:space="preserve">CHF 9’320.00</w:t>
            </w:r>
          </w:p>
        </w:tc>
        <w:tc>
          <w:tcPr/>
          <w:p>
            <w:pPr>
              <w:pStyle w:val="Compact"/>
            </w:pPr>
            <w:r>
              <w:t xml:space="preserve">Price Product Pump:</w:t>
            </w:r>
            <w:r>
              <w:t xml:space="preserve"> </w:t>
            </w:r>
            <w:r>
              <w:rPr>
                <w:b/>
                <w:bCs/>
              </w:rPr>
              <w:t xml:space="preserve">USD 15,788.00</w:t>
            </w:r>
          </w:p>
        </w:tc>
      </w:tr>
    </w:tbl>
    <w:p>
      <w:pPr>
        <w:pStyle w:val="BodyText"/>
      </w:pPr>
      <w:r>
        <w:rPr>
          <w:b/>
          <w:bCs/>
        </w:rPr>
        <w:t xml:space="preserve">Difference: Major</w:t>
      </w:r>
      <w:r>
        <w:t xml:space="preserve"> </w:t>
      </w:r>
      <w:r>
        <w:t xml:space="preserve">— Same transformation pattern as main Product Pump (section 4): throughput reduced (2500→2300 l/h), ATEX removed, motor specs changed to US standards,</w:t>
      </w:r>
      <w:r>
        <w:t xml:space="preserve"> </w:t>
      </w:r>
      <w:r>
        <w:t xml:space="preserve">“gear pump”</w:t>
      </w:r>
      <w:r>
        <w:t xml:space="preserve">→</w:t>
      </w:r>
      <w:r>
        <w:t xml:space="preserve">“pump”</w:t>
      </w:r>
      <w:r>
        <w:t xml:space="preserve">, legs→feet, hose stem→Tri-Clamp, hopper and PTC removed, tubing disclaimer added. Price factor: 15,788 / 9,320 ≈</w:t>
      </w:r>
      <w:r>
        <w:t xml:space="preserve"> </w:t>
      </w:r>
      <w:r>
        <w:rPr>
          <w:b/>
          <w:bCs/>
        </w:rPr>
        <w:t xml:space="preserve">1.694×</w:t>
      </w:r>
      <w:r>
        <w:t xml:space="preserve"> </w:t>
      </w:r>
      <w:r>
        <w:t xml:space="preserve">(matches main sections).</w:t>
      </w:r>
    </w:p>
    <w:p>
      <w:r>
        <w:pict>
          <v:rect style="width:0;height:1.5pt" o:hralign="center" o:hrstd="t" o:hr="t"/>
        </w:pict>
      </w:r>
    </w:p>
    <w:bookmarkEnd w:id="18"/>
    <w:bookmarkStart w:id="19" w:name="documentation-usa-only"/>
    <w:p>
      <w:pPr>
        <w:pStyle w:val="Heading3"/>
      </w:pPr>
      <w:r>
        <w:t xml:space="preserve">7.4 Documentation (USA only)</w:t>
      </w:r>
    </w:p>
    <w:p>
      <w:pPr>
        <w:pStyle w:val="FirstParagraph"/>
      </w:pPr>
      <w:r>
        <w:t xml:space="preserve">This subsection does not exist in the CHE template.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(UBM 20 FU_FU)</w:t>
            </w:r>
          </w:p>
        </w:tc>
        <w:tc>
          <w:tcPr/>
          <w:p>
            <w:pPr>
              <w:pStyle w:val="Compact"/>
            </w:pPr>
            <w:r>
              <w:t xml:space="preserve">USA (UBM 20 FCFC) — 9.2 Documentation (*)</w:t>
            </w:r>
          </w:p>
        </w:tc>
      </w:tr>
      <w:tr>
        <w:tc>
          <w:tcPr/>
          <w:p>
            <w:pPr>
              <w:pStyle w:val="Compact"/>
            </w:pPr>
            <w:r>
              <w:rPr>
                <w:i/>
                <w:iCs/>
              </w:rPr>
              <w:t xml:space="preserve">(not present)</w:t>
            </w:r>
          </w:p>
        </w:tc>
        <w:tc>
          <w:tcPr/>
          <w:p>
            <w:pPr>
              <w:pStyle w:val="Compact"/>
            </w:pPr>
            <w:r>
              <w:t xml:space="preserve">1× IQ+OQ qualification documents: USD 7,930.00</w:t>
            </w:r>
          </w:p>
        </w:tc>
      </w:tr>
      <w:tr>
        <w:tc>
          <w:tcPr/>
          <w:p>
            <w:pPr>
              <w:pStyle w:val="Compact"/>
            </w:pPr>
            <w:r>
              <w:rPr>
                <w:i/>
                <w:iCs/>
              </w:rPr>
              <w:t xml:space="preserve">(not present)</w:t>
            </w:r>
          </w:p>
        </w:tc>
        <w:tc>
          <w:tcPr/>
          <w:p>
            <w:pPr>
              <w:pStyle w:val="Compact"/>
            </w:pPr>
            <w:r>
              <w:t xml:space="preserve">1× FAT qualification documents, with realization by WAB, incl. measuring and calibration of instruments: USD 12,560.00</w:t>
            </w:r>
          </w:p>
        </w:tc>
      </w:tr>
      <w:tr>
        <w:tc>
          <w:tcPr/>
          <w:p>
            <w:pPr>
              <w:pStyle w:val="Compact"/>
            </w:pPr>
            <w:r>
              <w:rPr>
                <w:i/>
                <w:iCs/>
              </w:rPr>
              <w:t xml:space="preserve">(not present)</w:t>
            </w:r>
          </w:p>
        </w:tc>
        <w:tc>
          <w:tcPr/>
          <w:p>
            <w:pPr>
              <w:pStyle w:val="Compact"/>
            </w:pPr>
            <w:r>
              <w:t xml:space="preserve">1× SAT qualification documents (without realization by WAB): USD 7,130.00</w:t>
            </w:r>
          </w:p>
        </w:tc>
      </w:tr>
      <w:tr>
        <w:tc>
          <w:tcPr/>
          <w:p>
            <w:pPr>
              <w:pStyle w:val="Compact"/>
            </w:pPr>
          </w:p>
        </w:tc>
        <w:tc>
          <w:tcPr/>
          <w:p>
            <w:pPr>
              <w:pStyle w:val="Compact"/>
            </w:pPr>
            <w:r>
              <w:t xml:space="preserve">(*) These options may add time to the delivery</w:t>
            </w:r>
          </w:p>
        </w:tc>
      </w:tr>
    </w:tbl>
    <w:p>
      <w:pPr>
        <w:pStyle w:val="BodyText"/>
      </w:pPr>
      <w:r>
        <w:rPr>
          <w:b/>
          <w:bCs/>
        </w:rPr>
        <w:t xml:space="preserve">Difference: Major (new subsection)</w:t>
      </w:r>
      <w:r>
        <w:t xml:space="preserve"> </w:t>
      </w:r>
      <w:r>
        <w:t xml:space="preserve">— Entirely new USA-only subsection offering qualification documents (IQ/OQ, FAT, SAT). These are regulatory/compliance deliverables common in US pharmaceutical and food-industry contexts.</w:t>
      </w:r>
    </w:p>
    <w:p>
      <w:r>
        <w:pict>
          <v:rect style="width:0;height:1.5pt" o:hralign="center" o:hrstd="t" o:hr="t"/>
        </w:pict>
      </w:r>
    </w:p>
    <w:bookmarkEnd w:id="19"/>
    <w:bookmarkEnd w:id="20"/>
    <w:bookmarkStart w:id="22" w:name="X0956ee811444523996ba7e7f7d7f440eec01a8c"/>
    <w:p>
      <w:pPr>
        <w:pStyle w:val="Heading2"/>
      </w:pPr>
      <w:r>
        <w:t xml:space="preserve">Terms of Delivery — CHE section 8 vs USA section 10</w:t>
      </w:r>
    </w:p>
    <w:bookmarkStart w:id="21" w:name="row-by-row-comparison"/>
    <w:p>
      <w:pPr>
        <w:pStyle w:val="Heading3"/>
      </w:pPr>
      <w:r>
        <w:t xml:space="preserve">8.1 Row-by-Row Comparison</w:t>
      </w:r>
    </w:p>
    <w:tbl>
      <w:tblPr>
        <w:tblStyle w:val="Table"/>
        <w:tblW w:type="pct" w:w="5000"/>
        <w:tblLayout w:type="fixed"/>
        <w:tblLook w:firstRow="1" w:lastRow="0" w:firstColumn="0" w:lastColumn="0" w:noHBand="0" w:noVBand="0" w:val="0020"/>
      </w:tblPr>
      <w:tblGrid>
        <w:gridCol w:w="4264"/>
        <w:gridCol w:w="1827"/>
        <w:gridCol w:w="1827"/>
      </w:tblGrid>
      <w:tr>
        <w:trPr>
          <w:tblHeader w:val="on"/>
        </w:trPr>
        <w:tc>
          <w:tcPr/>
          <w:p>
            <w:pPr>
              <w:pStyle w:val="Compact"/>
            </w:pPr>
            <w:r>
              <w:t xml:space="preserve">Field</w:t>
            </w:r>
          </w:p>
        </w:tc>
        <w:tc>
          <w:tcPr/>
          <w:p>
            <w:pPr>
              <w:pStyle w:val="Compact"/>
            </w:pPr>
            <w:r>
              <w:t xml:space="preserve">CHE Section 8 (UBM 20 FU_FU)</w:t>
            </w:r>
          </w:p>
        </w:tc>
        <w:tc>
          <w:tcPr/>
          <w:p>
            <w:pPr>
              <w:pStyle w:val="Compact"/>
            </w:pPr>
            <w:r>
              <w:t xml:space="preserve">USA Section 10 (UBM 20 FCFC)</w:t>
            </w:r>
          </w:p>
        </w:tc>
      </w:tr>
      <w:tr>
        <w:tc>
          <w:tcPr/>
          <w:p>
            <w:pPr>
              <w:pStyle w:val="Compact"/>
            </w:pPr>
            <w:r>
              <w:rPr>
                <w:b/>
                <w:bCs/>
              </w:rPr>
              <w:t xml:space="preserve">Quotation</w:t>
            </w:r>
          </w:p>
        </w:tc>
        <w:tc>
          <w:tcPr/>
          <w:p>
            <w:pPr>
              <w:pStyle w:val="Compact"/>
            </w:pPr>
            <w:r>
              <w:t xml:space="preserve">FCA Muttenz (INCOTERMS 2020), packed,</w:t>
            </w:r>
            <w:r>
              <w:t xml:space="preserve"> </w:t>
            </w:r>
            <w:r>
              <w:rPr>
                <w:b/>
                <w:bCs/>
              </w:rPr>
              <w:t xml:space="preserve">excluding duty and taxes to import the goods into the country of destination</w:t>
            </w:r>
          </w:p>
        </w:tc>
        <w:tc>
          <w:tcPr/>
          <w:p>
            <w:pPr>
              <w:pStyle w:val="Compact"/>
            </w:pPr>
            <w:r>
              <w:t xml:space="preserve">FCA Muttenz (INCOTERMS 2020), packed,</w:t>
            </w:r>
            <w:r>
              <w:t xml:space="preserve"> </w:t>
            </w:r>
            <w:r>
              <w:rPr>
                <w:b/>
                <w:bCs/>
              </w:rPr>
              <w:t xml:space="preserve">including freight from Switzerland to the U.S., as well as the tariffs, duties, and taxes to import the goods.</w:t>
            </w:r>
          </w:p>
        </w:tc>
      </w:tr>
      <w:tr>
        <w:tc>
          <w:tcPr/>
          <w:p>
            <w:pPr>
              <w:pStyle w:val="Compact"/>
            </w:pPr>
            <w:r>
              <w:rPr>
                <w:b/>
                <w:bCs/>
              </w:rPr>
              <w:t xml:space="preserve">Payment conditions</w:t>
            </w:r>
          </w:p>
        </w:tc>
        <w:tc>
          <w:tcPr/>
          <w:p>
            <w:pPr>
              <w:pStyle w:val="Compact"/>
            </w:pPr>
            <w:r>
              <w:t xml:space="preserve">40% at placement of purchase order; 40% before delivery; 20% at latest 30 days date of invoice / date of shipping documents — Against irrevocable and confirmed Letter of Credit to our favour through our bank (UBS Switzerland AG, Basel, IBAN CH92…)</w:t>
            </w:r>
          </w:p>
        </w:tc>
        <w:tc>
          <w:tcPr/>
          <w:p>
            <w:pPr>
              <w:pStyle w:val="Compact"/>
            </w:pPr>
            <w:r>
              <w:rPr>
                <w:b/>
                <w:bCs/>
              </w:rPr>
              <w:t xml:space="preserve">40% of the purchase order (PO)</w:t>
            </w:r>
            <w:r>
              <w:t xml:space="preserve"> </w:t>
            </w:r>
            <w:r>
              <w:t xml:space="preserve">as first down payment, payable upon receipt of invoice;</w:t>
            </w:r>
            <w:r>
              <w:t xml:space="preserve"> </w:t>
            </w:r>
            <w:r>
              <w:rPr>
                <w:b/>
                <w:bCs/>
              </w:rPr>
              <w:t xml:space="preserve">40% second down payment</w:t>
            </w:r>
            <w:r>
              <w:t xml:space="preserve">, invoiced and payable 30 days before shipping;</w:t>
            </w:r>
            <w:r>
              <w:t xml:space="preserve"> </w:t>
            </w:r>
            <w:r>
              <w:rPr>
                <w:b/>
                <w:bCs/>
              </w:rPr>
              <w:t xml:space="preserve">20% NET 30 days</w:t>
            </w:r>
            <w:r>
              <w:t xml:space="preserve"> </w:t>
            </w:r>
            <w:r>
              <w:t xml:space="preserve">date of shipping / invoiced and payable upon completion of onsite startup by WAB and operational acceptance by customer,</w:t>
            </w:r>
            <w:r>
              <w:t xml:space="preserve"> </w:t>
            </w:r>
            <w:r>
              <w:rPr>
                <w:b/>
                <w:bCs/>
              </w:rPr>
              <w:t xml:space="preserve">not to exceed 60 days after delivery date</w:t>
            </w:r>
            <w:r>
              <w:t xml:space="preserve"> </w:t>
            </w:r>
            <w:r>
              <w:t xml:space="preserve">— Bank Information:</w:t>
            </w:r>
            <w:r>
              <w:t xml:space="preserve"> </w:t>
            </w:r>
            <w:r>
              <w:rPr>
                <w:b/>
                <w:bCs/>
              </w:rPr>
              <w:t xml:space="preserve">Citibank, N.A., 1 Broadway, New York, NY 10004, Acct: 4978514689, ABA: 021000089, Name on acct: WAB-US Corp</w:t>
            </w:r>
          </w:p>
        </w:tc>
      </w:tr>
      <w:tr>
        <w:tc>
          <w:tcPr/>
          <w:p>
            <w:pPr>
              <w:pStyle w:val="Compact"/>
            </w:pPr>
            <w:r>
              <w:rPr>
                <w:b/>
                <w:bCs/>
              </w:rPr>
              <w:t xml:space="preserve">Delivery time / Lead time</w:t>
            </w:r>
          </w:p>
        </w:tc>
        <w:tc>
          <w:tcPr/>
          <w:p>
            <w:pPr>
              <w:pStyle w:val="Compact"/>
            </w:pPr>
            <w:r>
              <w:rPr>
                <w:b/>
                <w:bCs/>
              </w:rPr>
              <w:t xml:space="preserve">Delivery time:</w:t>
            </w:r>
            <w:r>
              <w:t xml:space="preserve"> </w:t>
            </w:r>
            <w:r>
              <w:t xml:space="preserve">Approx. __ weeks FCA Muttenz from receipt of down payment / L/C and after clarification of all technical and commercial details.</w:t>
            </w:r>
          </w:p>
        </w:tc>
        <w:tc>
          <w:tcPr/>
          <w:p>
            <w:pPr>
              <w:pStyle w:val="Compact"/>
            </w:pPr>
            <w:r>
              <w:rPr>
                <w:b/>
                <w:bCs/>
              </w:rPr>
              <w:t xml:space="preserve">Lead time:</w:t>
            </w:r>
            <w:r>
              <w:t xml:space="preserve"> </w:t>
            </w:r>
            <w:r>
              <w:t xml:space="preserve">Approx. X weeks FCA Muttenz from receipt of down payment and after clarification of all technical and commercial details</w:t>
            </w:r>
          </w:p>
        </w:tc>
      </w:tr>
      <w:tr>
        <w:tc>
          <w:tcPr/>
          <w:p>
            <w:pPr>
              <w:pStyle w:val="Compact"/>
            </w:pPr>
            <w:r>
              <w:rPr>
                <w:b/>
                <w:bCs/>
              </w:rPr>
              <w:t xml:space="preserve">Customer side services</w:t>
            </w:r>
          </w:p>
        </w:tc>
        <w:tc>
          <w:tcPr/>
          <w:p>
            <w:pPr>
              <w:pStyle w:val="Compact"/>
            </w:pPr>
            <w:r>
              <w:t xml:space="preserve">The customer is responsible for installing and connecting the machine according to our instructions. The grinding media DYNO-Beads to operate the agitator bead mill can be ordered with the machine or from our local representatives.</w:t>
            </w:r>
          </w:p>
        </w:tc>
        <w:tc>
          <w:tcPr/>
          <w:p>
            <w:pPr>
              <w:pStyle w:val="Compact"/>
            </w:pPr>
            <w:r>
              <w:t xml:space="preserve">The customer is responsible for installing and connecting the</w:t>
            </w:r>
            <w:r>
              <w:t xml:space="preserve"> </w:t>
            </w:r>
            <w:r>
              <w:rPr>
                <w:b/>
                <w:bCs/>
              </w:rPr>
              <w:t xml:space="preserve">machines</w:t>
            </w:r>
            <w:r>
              <w:t xml:space="preserve"> </w:t>
            </w:r>
            <w:r>
              <w:t xml:space="preserve">according to our instructions.</w:t>
            </w:r>
            <w:r>
              <w:t xml:space="preserve"> </w:t>
            </w:r>
            <w:r>
              <w:rPr>
                <w:b/>
                <w:bCs/>
              </w:rPr>
              <w:t xml:space="preserve">These services can be ordered separately from us.</w:t>
            </w:r>
          </w:p>
        </w:tc>
      </w:tr>
      <w:tr>
        <w:tc>
          <w:tcPr/>
          <w:p>
            <w:pPr>
              <w:pStyle w:val="Compact"/>
            </w:pPr>
            <w:r>
              <w:rPr>
                <w:b/>
                <w:bCs/>
              </w:rPr>
              <w:t xml:space="preserve">Start-up</w:t>
            </w:r>
          </w:p>
        </w:tc>
        <w:tc>
          <w:tcPr/>
          <w:p>
            <w:pPr>
              <w:pStyle w:val="Compact"/>
            </w:pPr>
            <w:r>
              <w:t xml:space="preserve">Will be invoiced separately from us or our representatives.</w:t>
            </w:r>
          </w:p>
        </w:tc>
        <w:tc>
          <w:tcPr/>
          <w:p>
            <w:pPr>
              <w:pStyle w:val="Compact"/>
            </w:pPr>
            <w:r>
              <w:rPr>
                <w:b/>
                <w:bCs/>
              </w:rPr>
              <w:t xml:space="preserve">Included in this proposal / Will be invoiced separately, if requested</w:t>
            </w:r>
          </w:p>
        </w:tc>
      </w:tr>
      <w:tr>
        <w:tc>
          <w:tcPr/>
          <w:p>
            <w:pPr>
              <w:pStyle w:val="Compact"/>
            </w:pPr>
            <w:r>
              <w:rPr>
                <w:b/>
                <w:bCs/>
              </w:rPr>
              <w:t xml:space="preserve">Validity</w:t>
            </w:r>
          </w:p>
        </w:tc>
        <w:tc>
          <w:tcPr/>
          <w:p>
            <w:pPr>
              <w:pStyle w:val="Compact"/>
            </w:pPr>
            <w:r>
              <w:t xml:space="preserve">This</w:t>
            </w:r>
            <w:r>
              <w:t xml:space="preserve"> </w:t>
            </w:r>
            <w:r>
              <w:rPr>
                <w:b/>
                <w:bCs/>
              </w:rPr>
              <w:t xml:space="preserve">quotation</w:t>
            </w:r>
            <w:r>
              <w:t xml:space="preserve"> </w:t>
            </w:r>
            <w:r>
              <w:t xml:space="preserve">is valid until end of</w:t>
            </w:r>
            <w:r>
              <w:t xml:space="preserve"> </w:t>
            </w:r>
            <w:r>
              <w:rPr>
                <w:b/>
                <w:bCs/>
              </w:rPr>
              <w:t xml:space="preserve">XXXX</w:t>
            </w:r>
            <w:r>
              <w:t xml:space="preserve">.</w:t>
            </w:r>
          </w:p>
        </w:tc>
        <w:tc>
          <w:tcPr/>
          <w:p>
            <w:pPr>
              <w:pStyle w:val="Compact"/>
            </w:pPr>
            <w:r>
              <w:t xml:space="preserve">This</w:t>
            </w:r>
            <w:r>
              <w:t xml:space="preserve"> </w:t>
            </w:r>
            <w:r>
              <w:rPr>
                <w:b/>
                <w:bCs/>
              </w:rPr>
              <w:t xml:space="preserve">offer</w:t>
            </w:r>
            <w:r>
              <w:t xml:space="preserve"> </w:t>
            </w:r>
            <w:r>
              <w:t xml:space="preserve">is valid for</w:t>
            </w:r>
            <w:r>
              <w:t xml:space="preserve"> </w:t>
            </w:r>
            <w:r>
              <w:rPr>
                <w:b/>
                <w:bCs/>
              </w:rPr>
              <w:t xml:space="preserve">30 days</w:t>
            </w:r>
            <w:r>
              <w:t xml:space="preserve">.</w:t>
            </w:r>
          </w:p>
        </w:tc>
      </w:tr>
      <w:tr>
        <w:tc>
          <w:tcPr/>
          <w:p>
            <w:pPr>
              <w:pStyle w:val="Compact"/>
            </w:pPr>
            <w:r>
              <w:rPr>
                <w:i/>
                <w:iCs/>
              </w:rPr>
              <w:t xml:space="preserve">(not present)</w:t>
            </w:r>
          </w:p>
        </w:tc>
        <w:tc>
          <w:tcPr/>
          <w:p>
            <w:pPr>
              <w:pStyle w:val="Compact"/>
            </w:pPr>
            <w:r>
              <w:rPr>
                <w:b/>
                <w:bCs/>
              </w:rPr>
              <w:t xml:space="preserve">Documentation:</w:t>
            </w:r>
            <w:r>
              <w:t xml:space="preserve"> </w:t>
            </w:r>
            <w:r>
              <w:t xml:space="preserve">1 Operation manual in English.</w:t>
            </w:r>
          </w:p>
        </w:tc>
        <w:tc>
          <w:tcPr/>
          <w:p>
            <w:pPr>
              <w:pStyle w:val="Compact"/>
            </w:pPr>
          </w:p>
        </w:tc>
      </w:tr>
      <w:tr>
        <w:tc>
          <w:tcPr/>
          <w:p>
            <w:pPr>
              <w:pStyle w:val="Compact"/>
            </w:pPr>
            <w:r>
              <w:rPr>
                <w:i/>
                <w:iCs/>
              </w:rPr>
              <w:t xml:space="preserve">(not present)</w:t>
            </w:r>
          </w:p>
        </w:tc>
        <w:tc>
          <w:tcPr/>
          <w:p>
            <w:pPr>
              <w:pStyle w:val="Compact"/>
            </w:pPr>
            <w:r>
              <w:rPr>
                <w:b/>
                <w:bCs/>
              </w:rPr>
              <w:t xml:space="preserve">Warranty:</w:t>
            </w:r>
            <w:r>
              <w:t xml:space="preserve"> </w:t>
            </w:r>
            <w:r>
              <w:t xml:space="preserve">According to our</w:t>
            </w:r>
            <w:r>
              <w:t xml:space="preserve"> </w:t>
            </w:r>
            <w:r>
              <w:t xml:space="preserve">‘Standard Terms and Conditions of Sale’</w:t>
            </w:r>
            <w:r>
              <w:t xml:space="preserve">. The warranty excludes all wear parts.</w:t>
            </w:r>
          </w:p>
        </w:tc>
        <w:tc>
          <w:tcPr/>
          <w:p>
            <w:pPr>
              <w:pStyle w:val="Compact"/>
            </w:pPr>
          </w:p>
        </w:tc>
      </w:tr>
      <w:tr>
        <w:tc>
          <w:tcPr/>
          <w:p>
            <w:pPr>
              <w:pStyle w:val="Compact"/>
            </w:pPr>
            <w:r>
              <w:rPr>
                <w:b/>
                <w:bCs/>
              </w:rPr>
              <w:t xml:space="preserve">Property reservation</w:t>
            </w:r>
          </w:p>
        </w:tc>
        <w:tc>
          <w:tcPr/>
          <w:p>
            <w:pPr>
              <w:pStyle w:val="Compact"/>
            </w:pPr>
            <w:r>
              <w:t xml:space="preserve">The goods remain our property without any restrictions, until fully paid.</w:t>
            </w:r>
          </w:p>
        </w:tc>
        <w:tc>
          <w:tcPr/>
          <w:p>
            <w:pPr>
              <w:pStyle w:val="Compact"/>
            </w:pPr>
            <w:r>
              <w:t xml:space="preserve">The goods remain our property without any restrictions, until fully paid.</w:t>
            </w:r>
          </w:p>
        </w:tc>
      </w:tr>
      <w:tr>
        <w:tc>
          <w:tcPr/>
          <w:p>
            <w:pPr>
              <w:pStyle w:val="Compact"/>
            </w:pPr>
            <w:r>
              <w:rPr>
                <w:b/>
                <w:bCs/>
              </w:rPr>
              <w:t xml:space="preserve">Delivery terms</w:t>
            </w:r>
          </w:p>
        </w:tc>
        <w:tc>
          <w:tcPr/>
          <w:p>
            <w:pPr>
              <w:pStyle w:val="Compact"/>
            </w:pPr>
            <w:r>
              <w:t xml:space="preserve">According the document</w:t>
            </w:r>
            <w:r>
              <w:t xml:space="preserve"> </w:t>
            </w:r>
            <w:r>
              <w:t xml:space="preserve">“General Conditions of Contract for the supply of machinery and spare part”</w:t>
            </w:r>
            <w:r>
              <w:t xml:space="preserve"> </w:t>
            </w:r>
            <w:r>
              <w:t xml:space="preserve">in its current version provided by the following link on our web page — https://www.wab-group.com/fileadmin/GC-WAB-AG.pdf</w:t>
            </w:r>
          </w:p>
        </w:tc>
        <w:tc>
          <w:tcPr/>
          <w:p>
            <w:pPr>
              <w:pStyle w:val="Compact"/>
            </w:pPr>
            <w:r>
              <w:t xml:space="preserve">According to our</w:t>
            </w:r>
            <w:r>
              <w:t xml:space="preserve"> </w:t>
            </w:r>
            <w:r>
              <w:rPr>
                <w:b/>
                <w:bCs/>
              </w:rPr>
              <w:t xml:space="preserve">‘Standard Terms and Conditions of Sale’</w:t>
            </w:r>
            <w:r>
              <w:rPr>
                <w:b/>
                <w:bCs/>
              </w:rPr>
              <w:t xml:space="preserve">.</w:t>
            </w:r>
          </w:p>
        </w:tc>
      </w:tr>
      <w:tr>
        <w:tc>
          <w:tcPr/>
          <w:p>
            <w:pPr>
              <w:pStyle w:val="Compact"/>
            </w:pPr>
            <w:r>
              <w:rPr>
                <w:i/>
                <w:iCs/>
              </w:rPr>
              <w:t xml:space="preserve">(not present)</w:t>
            </w:r>
          </w:p>
        </w:tc>
        <w:tc>
          <w:tcPr/>
          <w:p>
            <w:pPr>
              <w:pStyle w:val="Compact"/>
            </w:pPr>
            <w:r>
              <w:rPr>
                <w:b/>
                <w:bCs/>
              </w:rPr>
              <w:t xml:space="preserve">Disclaimer:</w:t>
            </w:r>
            <w:r>
              <w:t xml:space="preserve"> </w:t>
            </w:r>
            <w:r>
              <w:t xml:space="preserve">Due to ongoing tariff changes, any duties or charges imposed after order confirmation are the customer’s responsibility and will be added to the final invoice. By ordering, the customer agrees to cover these costs.</w:t>
            </w:r>
          </w:p>
        </w:tc>
        <w:tc>
          <w:tcPr/>
          <w:p>
            <w:pPr>
              <w:pStyle w:val="Compact"/>
            </w:pPr>
          </w:p>
        </w:tc>
      </w:tr>
      <w:tr>
        <w:tc>
          <w:tcPr/>
          <w:p>
            <w:pPr>
              <w:pStyle w:val="Compact"/>
            </w:pPr>
            <w:r>
              <w:rPr>
                <w:b/>
                <w:bCs/>
              </w:rPr>
              <w:t xml:space="preserve">Origin</w:t>
            </w:r>
          </w:p>
        </w:tc>
        <w:tc>
          <w:tcPr/>
          <w:p>
            <w:pPr>
              <w:pStyle w:val="Compact"/>
            </w:pPr>
            <w:r>
              <w:t xml:space="preserve">The</w:t>
            </w:r>
            <w:r>
              <w:t xml:space="preserve"> </w:t>
            </w:r>
            <w:r>
              <w:rPr>
                <w:b/>
                <w:bCs/>
              </w:rPr>
              <w:t xml:space="preserve">above mentioned</w:t>
            </w:r>
            <w:r>
              <w:t xml:space="preserve"> </w:t>
            </w:r>
            <w:r>
              <w:t xml:space="preserve">goods are of Swiss origin (HS Code 8479.82).</w:t>
            </w:r>
          </w:p>
        </w:tc>
        <w:tc>
          <w:tcPr/>
          <w:p>
            <w:pPr>
              <w:pStyle w:val="Compact"/>
            </w:pPr>
            <w:r>
              <w:t xml:space="preserve">The</w:t>
            </w:r>
            <w:r>
              <w:t xml:space="preserve"> </w:t>
            </w:r>
            <w:r>
              <w:rPr>
                <w:b/>
                <w:bCs/>
              </w:rPr>
              <w:t xml:space="preserve">above-mentioned</w:t>
            </w:r>
            <w:r>
              <w:t xml:space="preserve"> </w:t>
            </w:r>
            <w:r>
              <w:t xml:space="preserve">goods are of Swiss origin (HS Code 8479.82).</w:t>
            </w:r>
            <w:r>
              <w:t xml:space="preserve"> </w:t>
            </w:r>
            <w:r>
              <w:rPr>
                <w:b/>
                <w:bCs/>
              </w:rPr>
              <w:t xml:space="preserve">Changes reserved.</w:t>
            </w:r>
          </w:p>
        </w:tc>
      </w:tr>
      <w:tr>
        <w:tc>
          <w:tcPr/>
          <w:p>
            <w:pPr>
              <w:pStyle w:val="Compact"/>
            </w:pPr>
            <w:r>
              <w:rPr>
                <w:b/>
                <w:bCs/>
              </w:rPr>
              <w:t xml:space="preserve">Footer</w:t>
            </w:r>
          </w:p>
        </w:tc>
        <w:tc>
          <w:tcPr/>
          <w:p>
            <w:pPr>
              <w:pStyle w:val="Compact"/>
            </w:pPr>
            <w:r>
              <w:t xml:space="preserve">WILLY A. BACHOFEN AG</w:t>
            </w:r>
            <w:r>
              <w:t xml:space="preserve"> </w:t>
            </w:r>
            <w:r>
              <w:rPr>
                <w:i/>
                <w:iCs/>
              </w:rPr>
              <w:t xml:space="preserve">(+ empty signature table)</w:t>
            </w:r>
          </w:p>
        </w:tc>
        <w:tc>
          <w:tcPr/>
          <w:p>
            <w:pPr>
              <w:pStyle w:val="Compact"/>
            </w:pPr>
            <w:r>
              <w:rPr>
                <w:b/>
                <w:bCs/>
              </w:rPr>
              <w:t xml:space="preserve">WAB US Corp.</w:t>
            </w:r>
            <w:r>
              <w:t xml:space="preserve"> </w:t>
            </w:r>
            <w:r>
              <w:t xml:space="preserve">— Name — Area Sales Manager — (phone) — (email)</w:t>
            </w:r>
          </w:p>
        </w:tc>
      </w:tr>
    </w:tbl>
    <w:p>
      <w:pPr>
        <w:pStyle w:val="BodyText"/>
      </w:pPr>
      <w:r>
        <w:rPr>
          <w:b/>
          <w:bCs/>
        </w:rPr>
        <w:t xml:space="preserve">Difference: Major</w:t>
      </w:r>
      <w:r>
        <w:t xml:space="preserve"> </w:t>
      </w:r>
      <w:r>
        <w:t xml:space="preserve">— This section is almost entirely rewritten:</w:t>
      </w:r>
      <w:r>
        <w:t xml:space="preserve"> </w:t>
      </w:r>
      <w:r>
        <w:t xml:space="preserve">1.</w:t>
      </w:r>
      <w:r>
        <w:t xml:space="preserve"> </w:t>
      </w:r>
      <w:r>
        <w:rPr>
          <w:b/>
          <w:bCs/>
        </w:rPr>
        <w:t xml:space="preserve">Quotation</w:t>
      </w:r>
      <w:r>
        <w:t xml:space="preserve">: CHE excludes duties/taxes; USA includes freight, tariffs, duties, and taxes.</w:t>
      </w:r>
      <w:r>
        <w:t xml:space="preserve"> </w:t>
      </w:r>
      <w:r>
        <w:t xml:space="preserve">2.</w:t>
      </w:r>
      <w:r>
        <w:t xml:space="preserve"> </w:t>
      </w:r>
      <w:r>
        <w:rPr>
          <w:b/>
          <w:bCs/>
        </w:rPr>
        <w:t xml:space="preserve">Payment</w:t>
      </w:r>
      <w:r>
        <w:t xml:space="preserve">: CHE uses Letter of Credit with UBS (Swiss bank); USA uses direct payment terms with Citibank (US bank). Payment schedule similar but USA adds NET 30 language and 60-day cap.</w:t>
      </w:r>
      <w:r>
        <w:t xml:space="preserve"> </w:t>
      </w:r>
      <w:r>
        <w:t xml:space="preserve">3.</w:t>
      </w:r>
      <w:r>
        <w:t xml:space="preserve"> </w:t>
      </w:r>
      <w:r>
        <w:rPr>
          <w:b/>
          <w:bCs/>
        </w:rPr>
        <w:t xml:space="preserve">Delivery/Lead time</w:t>
      </w:r>
      <w:r>
        <w:t xml:space="preserve">: Label renamed, L/C reference removed.</w:t>
      </w:r>
      <w:r>
        <w:t xml:space="preserve"> </w:t>
      </w:r>
      <w:r>
        <w:t xml:space="preserve">4.</w:t>
      </w:r>
      <w:r>
        <w:t xml:space="preserve"> </w:t>
      </w:r>
      <w:r>
        <w:rPr>
          <w:b/>
          <w:bCs/>
        </w:rPr>
        <w:t xml:space="preserve">Customer services</w:t>
      </w:r>
      <w:r>
        <w:t xml:space="preserve">: Grinding media ordering note removed; replaced with general service offering.</w:t>
      </w:r>
      <w:r>
        <w:t xml:space="preserve"> </w:t>
      </w:r>
      <w:r>
        <w:t xml:space="preserve">5.</w:t>
      </w:r>
      <w:r>
        <w:t xml:space="preserve"> </w:t>
      </w:r>
      <w:r>
        <w:rPr>
          <w:b/>
          <w:bCs/>
        </w:rPr>
        <w:t xml:space="preserve">Start-up</w:t>
      </w:r>
      <w:r>
        <w:t xml:space="preserve">: CHE always invoiced separately; USA included or invoiced on request.</w:t>
      </w:r>
      <w:r>
        <w:t xml:space="preserve"> </w:t>
      </w:r>
      <w:r>
        <w:t xml:space="preserve">6.</w:t>
      </w:r>
      <w:r>
        <w:t xml:space="preserve"> </w:t>
      </w:r>
      <w:r>
        <w:rPr>
          <w:b/>
          <w:bCs/>
        </w:rPr>
        <w:t xml:space="preserve">Validity</w:t>
      </w:r>
      <w:r>
        <w:t xml:space="preserve">: Open-ended (end of XXXX) → fixed 30-day validity.</w:t>
      </w:r>
      <w:r>
        <w:t xml:space="preserve"> </w:t>
      </w:r>
      <w:r>
        <w:t xml:space="preserve">7.</w:t>
      </w:r>
      <w:r>
        <w:t xml:space="preserve"> </w:t>
      </w:r>
      <w:r>
        <w:rPr>
          <w:b/>
          <w:bCs/>
        </w:rPr>
        <w:t xml:space="preserve">Documentation and Warranty</w:t>
      </w:r>
      <w:r>
        <w:t xml:space="preserve">: New USA-only rows.</w:t>
      </w:r>
      <w:r>
        <w:t xml:space="preserve"> </w:t>
      </w:r>
      <w:r>
        <w:t xml:space="preserve">8.</w:t>
      </w:r>
      <w:r>
        <w:t xml:space="preserve"> </w:t>
      </w:r>
      <w:r>
        <w:rPr>
          <w:b/>
          <w:bCs/>
        </w:rPr>
        <w:t xml:space="preserve">Delivery terms</w:t>
      </w:r>
      <w:r>
        <w:t xml:space="preserve">: Specific WAB AG PDF link → generic reference to standard T&amp;C.</w:t>
      </w:r>
      <w:r>
        <w:t xml:space="preserve"> </w:t>
      </w:r>
      <w:r>
        <w:t xml:space="preserve">9.</w:t>
      </w:r>
      <w:r>
        <w:t xml:space="preserve"> </w:t>
      </w:r>
      <w:r>
        <w:rPr>
          <w:b/>
          <w:bCs/>
        </w:rPr>
        <w:t xml:space="preserve">Disclaimer</w:t>
      </w:r>
      <w:r>
        <w:t xml:space="preserve">: New USA-only tariff-change disclaimer.</w:t>
      </w:r>
      <w:r>
        <w:t xml:space="preserve"> </w:t>
      </w:r>
      <w:r>
        <w:t xml:space="preserve">10.</w:t>
      </w:r>
      <w:r>
        <w:t xml:space="preserve"> </w:t>
      </w:r>
      <w:r>
        <w:rPr>
          <w:b/>
          <w:bCs/>
        </w:rPr>
        <w:t xml:space="preserve">Origin</w:t>
      </w:r>
      <w:r>
        <w:t xml:space="preserve">: Minor text edit +</w:t>
      </w:r>
      <w:r>
        <w:t xml:space="preserve"> </w:t>
      </w:r>
      <w:r>
        <w:t xml:space="preserve">“Changes reserved”</w:t>
      </w:r>
      <w:r>
        <w:t xml:space="preserve"> </w:t>
      </w:r>
      <w:r>
        <w:t xml:space="preserve">added.</w:t>
      </w:r>
      <w:r>
        <w:t xml:space="preserve"> </w:t>
      </w:r>
      <w:r>
        <w:t xml:space="preserve">11.</w:t>
      </w:r>
      <w:r>
        <w:t xml:space="preserve"> </w:t>
      </w:r>
      <w:r>
        <w:rPr>
          <w:b/>
          <w:bCs/>
        </w:rPr>
        <w:t xml:space="preserve">Footer</w:t>
      </w:r>
      <w:r>
        <w:t xml:space="preserve">: Company name (WILLY A. BACHOFEN AG → WAB US Corp.) and expanded contact block.</w:t>
      </w:r>
    </w:p>
    <w:p>
      <w:r>
        <w:pict>
          <v:rect style="width:0;height:1.5pt" o:hralign="center" o:hrstd="t" o:hr="t"/>
        </w:pict>
      </w:r>
    </w:p>
    <w:bookmarkEnd w:id="21"/>
    <w:bookmarkEnd w:id="22"/>
    <w:bookmarkStart w:id="24" w:name="summary-of-differences-sections-58"/>
    <w:p>
      <w:pPr>
        <w:pStyle w:val="Heading2"/>
      </w:pPr>
      <w:r>
        <w:t xml:space="preserve">Summary of Differences (Sections 5–8)</w:t>
      </w:r>
    </w:p>
    <w:tbl>
      <w:tblPr>
        <w:tblStyle w:val="Table"/>
        <w:tblW w:type="pct" w:w="5000"/>
        <w:tblLayout w:type="fixed"/>
        <w:tblLook w:firstRow="1" w:lastRow="0" w:firstColumn="0" w:lastColumn="0" w:noHBand="0" w:noVBand="0" w:val="0020"/>
      </w:tblPr>
      <w:tblGrid>
        <w:gridCol w:w="3099"/>
        <w:gridCol w:w="1721"/>
        <w:gridCol w:w="1721"/>
        <w:gridCol w:w="1377"/>
      </w:tblGrid>
      <w:tr>
        <w:trPr>
          <w:tblHeader w:val="on"/>
        </w:trPr>
        <w:tc>
          <w:tcPr/>
          <w:p>
            <w:pPr>
              <w:pStyle w:val="Compact"/>
              <w:jc w:val="left"/>
            </w:pPr>
            <w:r>
              <w:t xml:space="preserve">Section</w:t>
            </w:r>
          </w:p>
        </w:tc>
        <w:tc>
          <w:tcPr/>
          <w:p>
            <w:pPr>
              <w:pStyle w:val="Compact"/>
              <w:jc w:val="center"/>
            </w:pPr>
            <w:r>
              <w:t xml:space="preserve">CHE # → USA #</w:t>
            </w:r>
          </w:p>
        </w:tc>
        <w:tc>
          <w:tcPr/>
          <w:p>
            <w:pPr>
              <w:pStyle w:val="Compact"/>
              <w:jc w:val="center"/>
            </w:pPr>
            <w:r>
              <w:t xml:space="preserve">Assessment</w:t>
            </w:r>
          </w:p>
        </w:tc>
        <w:tc>
          <w:tcPr/>
          <w:p>
            <w:pPr>
              <w:pStyle w:val="Compact"/>
              <w:jc w:val="left"/>
            </w:pPr>
            <w:r>
              <w:t xml:space="preserve">Key Changes</w:t>
            </w:r>
          </w:p>
        </w:tc>
      </w:tr>
      <w:tr>
        <w:tc>
          <w:tcPr/>
          <w:p>
            <w:pPr>
              <w:pStyle w:val="Compact"/>
              <w:jc w:val="left"/>
            </w:pPr>
            <w:r>
              <w:t xml:space="preserve">Motor Starter Cabinet — spec</w:t>
            </w:r>
          </w:p>
        </w:tc>
        <w:tc>
          <w:tcPr/>
          <w:p>
            <w:pPr>
              <w:pStyle w:val="Compact"/>
              <w:jc w:val="center"/>
            </w:pPr>
            <w:r>
              <w:t xml:space="preserve">5 → 5</w:t>
            </w:r>
          </w:p>
        </w:tc>
        <w:tc>
          <w:tcPr/>
          <w:p>
            <w:pPr>
              <w:pStyle w:val="Compact"/>
              <w:jc w:val="center"/>
            </w:pPr>
            <w:r>
              <w:rPr>
                <w:b/>
                <w:bCs/>
              </w:rPr>
              <w:t xml:space="preserve">Major</w:t>
            </w:r>
          </w:p>
        </w:tc>
        <w:tc>
          <w:tcPr/>
          <w:p>
            <w:pPr>
              <w:pStyle w:val="Compact"/>
              <w:jc w:val="left"/>
            </w:pPr>
            <w:r>
              <w:t xml:space="preserve">400V→460V, IP 55→NEMA 12, contactors removed, automation vendor added</w:t>
            </w:r>
          </w:p>
        </w:tc>
      </w:tr>
      <w:tr>
        <w:tc>
          <w:tcPr/>
          <w:p>
            <w:pPr>
              <w:pStyle w:val="Compact"/>
              <w:jc w:val="left"/>
            </w:pPr>
            <w:r>
              <w:t xml:space="preserve">Motor Starter Cabinet — price</w:t>
            </w:r>
          </w:p>
        </w:tc>
        <w:tc>
          <w:tcPr/>
          <w:p>
            <w:pPr>
              <w:pStyle w:val="Compact"/>
              <w:jc w:val="center"/>
            </w:pPr>
            <w:r>
              <w:t xml:space="preserve">5 → 5</w:t>
            </w:r>
          </w:p>
        </w:tc>
        <w:tc>
          <w:tcPr/>
          <w:p>
            <w:pPr>
              <w:pStyle w:val="Compact"/>
              <w:jc w:val="center"/>
            </w:pPr>
            <w:r>
              <w:rPr>
                <w:b/>
                <w:bCs/>
              </w:rPr>
              <w:t xml:space="preserve">Major</w:t>
            </w:r>
          </w:p>
        </w:tc>
        <w:tc>
          <w:tcPr/>
          <w:p>
            <w:pPr>
              <w:pStyle w:val="Compact"/>
              <w:jc w:val="left"/>
            </w:pPr>
            <w:r>
              <w:t xml:space="preserve">CHF 27,260 → USD 46,178 (×1.694)</w:t>
            </w:r>
          </w:p>
        </w:tc>
      </w:tr>
      <w:tr>
        <w:tc>
          <w:tcPr/>
          <w:p>
            <w:pPr>
              <w:pStyle w:val="Compact"/>
              <w:jc w:val="left"/>
            </w:pPr>
            <w:r>
              <w:t xml:space="preserve">Grinding Media</w:t>
            </w:r>
          </w:p>
        </w:tc>
        <w:tc>
          <w:tcPr/>
          <w:p>
            <w:pPr>
              <w:pStyle w:val="Compact"/>
              <w:jc w:val="center"/>
            </w:pPr>
            <w:r>
              <w:rPr>
                <w:i/>
                <w:iCs/>
              </w:rPr>
              <w:t xml:space="preserve">(new)</w:t>
            </w:r>
            <w:r>
              <w:t xml:space="preserve"> </w:t>
            </w:r>
            <w:r>
              <w:t xml:space="preserve">→ 6</w:t>
            </w:r>
          </w:p>
        </w:tc>
        <w:tc>
          <w:tcPr/>
          <w:p>
            <w:pPr>
              <w:pStyle w:val="Compact"/>
              <w:jc w:val="center"/>
            </w:pPr>
            <w:r>
              <w:rPr>
                <w:b/>
                <w:bCs/>
              </w:rPr>
              <w:t xml:space="preserve">Major</w:t>
            </w:r>
          </w:p>
        </w:tc>
        <w:tc>
          <w:tcPr/>
          <w:p>
            <w:pPr>
              <w:pStyle w:val="Compact"/>
              <w:jc w:val="left"/>
            </w:pPr>
            <w:r>
              <w:t xml:space="preserve">Entirely new section (zirconia beads)</w:t>
            </w:r>
          </w:p>
        </w:tc>
      </w:tr>
      <w:tr>
        <w:tc>
          <w:tcPr/>
          <w:p>
            <w:pPr>
              <w:pStyle w:val="Compact"/>
              <w:jc w:val="left"/>
            </w:pPr>
            <w:r>
              <w:t xml:space="preserve">Onsite Services</w:t>
            </w:r>
          </w:p>
        </w:tc>
        <w:tc>
          <w:tcPr/>
          <w:p>
            <w:pPr>
              <w:pStyle w:val="Compact"/>
              <w:jc w:val="center"/>
            </w:pPr>
            <w:r>
              <w:rPr>
                <w:i/>
                <w:iCs/>
              </w:rPr>
              <w:t xml:space="preserve">(new)</w:t>
            </w:r>
            <w:r>
              <w:t xml:space="preserve"> </w:t>
            </w:r>
            <w:r>
              <w:t xml:space="preserve">→ 7</w:t>
            </w:r>
          </w:p>
        </w:tc>
        <w:tc>
          <w:tcPr/>
          <w:p>
            <w:pPr>
              <w:pStyle w:val="Compact"/>
              <w:jc w:val="center"/>
            </w:pPr>
            <w:r>
              <w:rPr>
                <w:b/>
                <w:bCs/>
              </w:rPr>
              <w:t xml:space="preserve">Major</w:t>
            </w:r>
          </w:p>
        </w:tc>
        <w:tc>
          <w:tcPr/>
          <w:p>
            <w:pPr>
              <w:pStyle w:val="Compact"/>
              <w:jc w:val="left"/>
            </w:pPr>
            <w:r>
              <w:t xml:space="preserve">Entirely new section (2-day startup)</w:t>
            </w:r>
          </w:p>
        </w:tc>
      </w:tr>
      <w:tr>
        <w:tc>
          <w:tcPr/>
          <w:p>
            <w:pPr>
              <w:pStyle w:val="Compact"/>
              <w:jc w:val="left"/>
            </w:pPr>
            <w:r>
              <w:t xml:space="preserve">Price Summary</w:t>
            </w:r>
          </w:p>
        </w:tc>
        <w:tc>
          <w:tcPr/>
          <w:p>
            <w:pPr>
              <w:pStyle w:val="Compact"/>
              <w:jc w:val="center"/>
            </w:pPr>
            <w:r>
              <w:t xml:space="preserve">6 → 8</w:t>
            </w:r>
          </w:p>
        </w:tc>
        <w:tc>
          <w:tcPr/>
          <w:p>
            <w:pPr>
              <w:pStyle w:val="Compact"/>
              <w:jc w:val="center"/>
            </w:pPr>
            <w:r>
              <w:rPr>
                <w:b/>
                <w:bCs/>
              </w:rPr>
              <w:t xml:space="preserve">Major</w:t>
            </w:r>
          </w:p>
        </w:tc>
        <w:tc>
          <w:tcPr/>
          <w:p>
            <w:pPr>
              <w:pStyle w:val="Compact"/>
              <w:jc w:val="left"/>
            </w:pPr>
            <w:r>
              <w:t xml:space="preserve">4 new line items, tax disclaimer, packing ×1.30</w:t>
            </w:r>
          </w:p>
        </w:tc>
      </w:tr>
      <w:tr>
        <w:tc>
          <w:tcPr/>
          <w:p>
            <w:pPr>
              <w:pStyle w:val="Compact"/>
              <w:jc w:val="left"/>
            </w:pPr>
            <w:r>
              <w:t xml:space="preserve">Options — spare parts</w:t>
            </w:r>
          </w:p>
        </w:tc>
        <w:tc>
          <w:tcPr/>
          <w:p>
            <w:pPr>
              <w:pStyle w:val="Compact"/>
              <w:jc w:val="center"/>
            </w:pPr>
            <w:r>
              <w:t xml:space="preserve">7 → 9.1</w:t>
            </w:r>
          </w:p>
        </w:tc>
        <w:tc>
          <w:tcPr/>
          <w:p>
            <w:pPr>
              <w:pStyle w:val="Compact"/>
              <w:jc w:val="center"/>
            </w:pPr>
            <w:r>
              <w:t xml:space="preserve">Modest</w:t>
            </w:r>
          </w:p>
        </w:tc>
        <w:tc>
          <w:tcPr/>
          <w:p>
            <w:pPr>
              <w:pStyle w:val="Compact"/>
              <w:jc w:val="left"/>
            </w:pPr>
            <w:r>
              <w:t xml:space="preserve">Same items, currency swap, factor ×2.834</w:t>
            </w:r>
          </w:p>
        </w:tc>
      </w:tr>
      <w:tr>
        <w:tc>
          <w:tcPr/>
          <w:p>
            <w:pPr>
              <w:pStyle w:val="Compact"/>
              <w:jc w:val="left"/>
            </w:pPr>
            <w:r>
              <w:t xml:space="preserve">Options — documentation</w:t>
            </w:r>
          </w:p>
        </w:tc>
        <w:tc>
          <w:tcPr/>
          <w:p>
            <w:pPr>
              <w:pStyle w:val="Compact"/>
              <w:jc w:val="center"/>
            </w:pPr>
            <w:r>
              <w:rPr>
                <w:i/>
                <w:iCs/>
              </w:rPr>
              <w:t xml:space="preserve">(new)</w:t>
            </w:r>
            <w:r>
              <w:t xml:space="preserve"> </w:t>
            </w:r>
            <w:r>
              <w:t xml:space="preserve">→ 9.2</w:t>
            </w:r>
          </w:p>
        </w:tc>
        <w:tc>
          <w:tcPr/>
          <w:p>
            <w:pPr>
              <w:pStyle w:val="Compact"/>
              <w:jc w:val="center"/>
            </w:pPr>
            <w:r>
              <w:rPr>
                <w:b/>
                <w:bCs/>
              </w:rPr>
              <w:t xml:space="preserve">Major</w:t>
            </w:r>
          </w:p>
        </w:tc>
        <w:tc>
          <w:tcPr/>
          <w:p>
            <w:pPr>
              <w:pStyle w:val="Compact"/>
              <w:jc w:val="left"/>
            </w:pPr>
            <w:r>
              <w:t xml:space="preserve">New subsection (IQ/OQ, FAT, SAT)</w:t>
            </w:r>
          </w:p>
        </w:tc>
      </w:tr>
      <w:tr>
        <w:tc>
          <w:tcPr/>
          <w:p>
            <w:pPr>
              <w:pStyle w:val="Compact"/>
              <w:jc w:val="left"/>
            </w:pPr>
            <w:r>
              <w:t xml:space="preserve">Options — alt pump</w:t>
            </w:r>
          </w:p>
        </w:tc>
        <w:tc>
          <w:tcPr/>
          <w:p>
            <w:pPr>
              <w:pStyle w:val="Compact"/>
              <w:jc w:val="center"/>
            </w:pPr>
            <w:r>
              <w:t xml:space="preserve">7 → 9.3</w:t>
            </w:r>
          </w:p>
        </w:tc>
        <w:tc>
          <w:tcPr/>
          <w:p>
            <w:pPr>
              <w:pStyle w:val="Compact"/>
              <w:jc w:val="center"/>
            </w:pPr>
            <w:r>
              <w:rPr>
                <w:b/>
                <w:bCs/>
              </w:rPr>
              <w:t xml:space="preserve">Major</w:t>
            </w:r>
          </w:p>
        </w:tc>
        <w:tc>
          <w:tcPr/>
          <w:p>
            <w:pPr>
              <w:pStyle w:val="Compact"/>
              <w:jc w:val="left"/>
            </w:pPr>
            <w:r>
              <w:t xml:space="preserve">Same transform pattern as section 4 pump</w:t>
            </w:r>
          </w:p>
        </w:tc>
      </w:tr>
      <w:tr>
        <w:tc>
          <w:tcPr/>
          <w:p>
            <w:pPr>
              <w:pStyle w:val="Compact"/>
              <w:jc w:val="left"/>
            </w:pPr>
            <w:r>
              <w:t xml:space="preserve">Terms of Delivery</w:t>
            </w:r>
          </w:p>
        </w:tc>
        <w:tc>
          <w:tcPr/>
          <w:p>
            <w:pPr>
              <w:pStyle w:val="Compact"/>
              <w:jc w:val="center"/>
            </w:pPr>
            <w:r>
              <w:t xml:space="preserve">8 → 10</w:t>
            </w:r>
          </w:p>
        </w:tc>
        <w:tc>
          <w:tcPr/>
          <w:p>
            <w:pPr>
              <w:pStyle w:val="Compact"/>
              <w:jc w:val="center"/>
            </w:pPr>
            <w:r>
              <w:rPr>
                <w:b/>
                <w:bCs/>
              </w:rPr>
              <w:t xml:space="preserve">Major</w:t>
            </w:r>
          </w:p>
        </w:tc>
        <w:tc>
          <w:tcPr/>
          <w:p>
            <w:pPr>
              <w:pStyle w:val="Compact"/>
              <w:jc w:val="left"/>
            </w:pPr>
            <w:r>
              <w:t xml:space="preserve">Almost entirely rewritten (bank, payment terms, disclaimers, footer)</w:t>
            </w:r>
          </w:p>
        </w:tc>
      </w:tr>
    </w:tbl>
    <w:bookmarkStart w:id="23" w:name="price-factor-analysis"/>
    <w:p>
      <w:pPr>
        <w:pStyle w:val="Heading3"/>
      </w:pPr>
      <w:r>
        <w:t xml:space="preserve">Price Factor Analysis</w:t>
      </w:r>
    </w:p>
    <w:tbl>
      <w:tblPr>
        <w:tblStyle w:val="Table"/>
        <w:tblW w:type="pct" w:w="5000"/>
        <w:tblLayout w:type="fixed"/>
        <w:tblLook w:firstRow="1" w:lastRow="0" w:firstColumn="0" w:lastColumn="0" w:noHBand="0" w:noVBand="0" w:val="0020"/>
      </w:tblPr>
      <w:tblGrid>
        <w:gridCol w:w="1549"/>
        <w:gridCol w:w="1893"/>
        <w:gridCol w:w="1893"/>
        <w:gridCol w:w="1377"/>
        <w:gridCol w:w="1205"/>
      </w:tblGrid>
      <w:tr>
        <w:trPr>
          <w:tblHeader w:val="on"/>
        </w:trPr>
        <w:tc>
          <w:tcPr/>
          <w:p>
            <w:pPr>
              <w:pStyle w:val="Compact"/>
              <w:jc w:val="left"/>
            </w:pPr>
            <w:r>
              <w:t xml:space="preserve">Section</w:t>
            </w:r>
          </w:p>
        </w:tc>
        <w:tc>
          <w:tcPr/>
          <w:p>
            <w:pPr>
              <w:pStyle w:val="Compact"/>
              <w:jc w:val="right"/>
            </w:pPr>
            <w:r>
              <w:t xml:space="preserve">CHE (CHF)</w:t>
            </w:r>
          </w:p>
        </w:tc>
        <w:tc>
          <w:tcPr/>
          <w:p>
            <w:pPr>
              <w:pStyle w:val="Compact"/>
              <w:jc w:val="right"/>
            </w:pPr>
            <w:r>
              <w:t xml:space="preserve">USA (USD)</w:t>
            </w:r>
          </w:p>
        </w:tc>
        <w:tc>
          <w:tcPr/>
          <w:p>
            <w:pPr>
              <w:pStyle w:val="Compact"/>
              <w:jc w:val="center"/>
            </w:pPr>
            <w:r>
              <w:t xml:space="preserve">Factor</w:t>
            </w:r>
          </w:p>
        </w:tc>
        <w:tc>
          <w:tcPr/>
          <w:p>
            <w:pPr>
              <w:pStyle w:val="Compact"/>
              <w:jc w:val="left"/>
            </w:pPr>
            <w:r>
              <w:t xml:space="preserve">Notes</w:t>
            </w:r>
          </w:p>
        </w:tc>
      </w:tr>
      <w:tr>
        <w:tc>
          <w:tcPr/>
          <w:p>
            <w:pPr>
              <w:pStyle w:val="Compact"/>
              <w:jc w:val="left"/>
            </w:pPr>
            <w:r>
              <w:t xml:space="preserve">3 – Machine Execution</w:t>
            </w:r>
          </w:p>
        </w:tc>
        <w:tc>
          <w:tcPr/>
          <w:p>
            <w:pPr>
              <w:pStyle w:val="Compact"/>
              <w:jc w:val="right"/>
            </w:pPr>
            <w:r>
              <w:t xml:space="preserve">89,750</w:t>
            </w:r>
          </w:p>
        </w:tc>
        <w:tc>
          <w:tcPr/>
          <w:p>
            <w:pPr>
              <w:pStyle w:val="Compact"/>
              <w:jc w:val="right"/>
            </w:pPr>
            <w:r>
              <w:t xml:space="preserve">152,037</w:t>
            </w:r>
          </w:p>
        </w:tc>
        <w:tc>
          <w:tcPr/>
          <w:p>
            <w:pPr>
              <w:pStyle w:val="Compact"/>
              <w:jc w:val="center"/>
            </w:pPr>
            <w:r>
              <w:t xml:space="preserve">1.694×</w:t>
            </w:r>
          </w:p>
        </w:tc>
        <w:tc>
          <w:tcPr/>
          <w:p>
            <w:pPr>
              <w:pStyle w:val="Compact"/>
            </w:pPr>
          </w:p>
        </w:tc>
      </w:tr>
      <w:tr>
        <w:tc>
          <w:tcPr/>
          <w:p>
            <w:pPr>
              <w:pStyle w:val="Compact"/>
              <w:jc w:val="left"/>
            </w:pPr>
            <w:r>
              <w:t xml:space="preserve">4 – Product Pump</w:t>
            </w:r>
          </w:p>
        </w:tc>
        <w:tc>
          <w:tcPr/>
          <w:p>
            <w:pPr>
              <w:pStyle w:val="Compact"/>
              <w:jc w:val="right"/>
            </w:pPr>
            <w:r>
              <w:t xml:space="preserve">8,560</w:t>
            </w:r>
          </w:p>
        </w:tc>
        <w:tc>
          <w:tcPr/>
          <w:p>
            <w:pPr>
              <w:pStyle w:val="Compact"/>
              <w:jc w:val="right"/>
            </w:pPr>
            <w:r>
              <w:t xml:space="preserve">14,501</w:t>
            </w:r>
          </w:p>
        </w:tc>
        <w:tc>
          <w:tcPr/>
          <w:p>
            <w:pPr>
              <w:pStyle w:val="Compact"/>
              <w:jc w:val="center"/>
            </w:pPr>
            <w:r>
              <w:t xml:space="preserve">1.694×</w:t>
            </w:r>
          </w:p>
        </w:tc>
        <w:tc>
          <w:tcPr/>
          <w:p>
            <w:pPr>
              <w:pStyle w:val="Compact"/>
            </w:pPr>
          </w:p>
        </w:tc>
      </w:tr>
      <w:tr>
        <w:tc>
          <w:tcPr/>
          <w:p>
            <w:pPr>
              <w:pStyle w:val="Compact"/>
              <w:jc w:val="left"/>
            </w:pPr>
            <w:r>
              <w:t xml:space="preserve">5 – Motor Starter Cabinet</w:t>
            </w:r>
          </w:p>
        </w:tc>
        <w:tc>
          <w:tcPr/>
          <w:p>
            <w:pPr>
              <w:pStyle w:val="Compact"/>
              <w:jc w:val="right"/>
            </w:pPr>
            <w:r>
              <w:t xml:space="preserve">27,260</w:t>
            </w:r>
          </w:p>
        </w:tc>
        <w:tc>
          <w:tcPr/>
          <w:p>
            <w:pPr>
              <w:pStyle w:val="Compact"/>
              <w:jc w:val="right"/>
            </w:pPr>
            <w:r>
              <w:t xml:space="preserve">46,178</w:t>
            </w:r>
          </w:p>
        </w:tc>
        <w:tc>
          <w:tcPr/>
          <w:p>
            <w:pPr>
              <w:pStyle w:val="Compact"/>
              <w:jc w:val="center"/>
            </w:pPr>
            <w:r>
              <w:t xml:space="preserve">1.694×</w:t>
            </w:r>
          </w:p>
        </w:tc>
        <w:tc>
          <w:tcPr/>
          <w:p>
            <w:pPr>
              <w:pStyle w:val="Compact"/>
            </w:pPr>
          </w:p>
        </w:tc>
      </w:tr>
      <w:tr>
        <w:tc>
          <w:tcPr/>
          <w:p>
            <w:pPr>
              <w:pStyle w:val="Compact"/>
              <w:jc w:val="left"/>
            </w:pPr>
            <w:r>
              <w:t xml:space="preserve">Subtotal (machine)</w:t>
            </w:r>
          </w:p>
        </w:tc>
        <w:tc>
          <w:tcPr/>
          <w:p>
            <w:pPr>
              <w:pStyle w:val="Compact"/>
              <w:jc w:val="right"/>
            </w:pPr>
            <w:r>
              <w:t xml:space="preserve">125,570</w:t>
            </w:r>
          </w:p>
        </w:tc>
        <w:tc>
          <w:tcPr/>
          <w:p>
            <w:pPr>
              <w:pStyle w:val="Compact"/>
              <w:jc w:val="right"/>
            </w:pPr>
            <w:r>
              <w:t xml:space="preserve">212,716</w:t>
            </w:r>
          </w:p>
        </w:tc>
        <w:tc>
          <w:tcPr/>
          <w:p>
            <w:pPr>
              <w:pStyle w:val="Compact"/>
              <w:jc w:val="center"/>
            </w:pPr>
            <w:r>
              <w:t xml:space="preserve">1.694×</w:t>
            </w:r>
          </w:p>
        </w:tc>
        <w:tc>
          <w:tcPr/>
          <w:p>
            <w:pPr>
              <w:pStyle w:val="Compact"/>
            </w:pPr>
          </w:p>
        </w:tc>
      </w:tr>
      <w:tr>
        <w:tc>
          <w:tcPr/>
          <w:p>
            <w:pPr>
              <w:pStyle w:val="Compact"/>
              <w:jc w:val="left"/>
            </w:pPr>
            <w:r>
              <w:t xml:space="preserve">Packing</w:t>
            </w:r>
          </w:p>
        </w:tc>
        <w:tc>
          <w:tcPr/>
          <w:p>
            <w:pPr>
              <w:pStyle w:val="Compact"/>
              <w:jc w:val="right"/>
            </w:pPr>
            <w:r>
              <w:t xml:space="preserve">1,650</w:t>
            </w:r>
          </w:p>
        </w:tc>
        <w:tc>
          <w:tcPr/>
          <w:p>
            <w:pPr>
              <w:pStyle w:val="Compact"/>
              <w:jc w:val="right"/>
            </w:pPr>
            <w:r>
              <w:t xml:space="preserve">2,145</w:t>
            </w:r>
          </w:p>
        </w:tc>
        <w:tc>
          <w:tcPr/>
          <w:p>
            <w:pPr>
              <w:pStyle w:val="Compact"/>
              <w:jc w:val="center"/>
            </w:pPr>
            <w:r>
              <w:rPr>
                <w:b/>
                <w:bCs/>
              </w:rPr>
              <w:t xml:space="preserve">1.300×</w:t>
            </w:r>
          </w:p>
        </w:tc>
        <w:tc>
          <w:tcPr/>
          <w:p>
            <w:pPr>
              <w:pStyle w:val="Compact"/>
              <w:jc w:val="left"/>
            </w:pPr>
            <w:r>
              <w:t xml:space="preserve">Lower factor — possibly MU only</w:t>
            </w:r>
          </w:p>
        </w:tc>
      </w:tr>
      <w:tr>
        <w:tc>
          <w:tcPr/>
          <w:p>
            <w:pPr>
              <w:pStyle w:val="Compact"/>
              <w:jc w:val="left"/>
            </w:pPr>
            <w:r>
              <w:t xml:space="preserve">Options (screens, parts)</w:t>
            </w:r>
          </w:p>
        </w:tc>
        <w:tc>
          <w:tcPr/>
          <w:p>
            <w:pPr>
              <w:pStyle w:val="Compact"/>
              <w:jc w:val="right"/>
            </w:pPr>
            <w:r>
              <w:t xml:space="preserve">varies</w:t>
            </w:r>
          </w:p>
        </w:tc>
        <w:tc>
          <w:tcPr/>
          <w:p>
            <w:pPr>
              <w:pStyle w:val="Compact"/>
              <w:jc w:val="right"/>
            </w:pPr>
            <w:r>
              <w:t xml:space="preserve">varies</w:t>
            </w:r>
          </w:p>
        </w:tc>
        <w:tc>
          <w:tcPr/>
          <w:p>
            <w:pPr>
              <w:pStyle w:val="Compact"/>
              <w:jc w:val="center"/>
            </w:pPr>
            <w:r>
              <w:rPr>
                <w:b/>
                <w:bCs/>
              </w:rPr>
              <w:t xml:space="preserve">2.834×</w:t>
            </w:r>
          </w:p>
        </w:tc>
        <w:tc>
          <w:tcPr/>
          <w:p>
            <w:pPr>
              <w:pStyle w:val="Compact"/>
              <w:jc w:val="left"/>
            </w:pPr>
            <w:r>
              <w:t xml:space="preserve">Much higher — different multiplier combo</w:t>
            </w:r>
          </w:p>
        </w:tc>
      </w:tr>
      <w:tr>
        <w:tc>
          <w:tcPr/>
          <w:p>
            <w:pPr>
              <w:pStyle w:val="Compact"/>
              <w:jc w:val="left"/>
            </w:pPr>
            <w:r>
              <w:t xml:space="preserve">Alt pump (FZ 2500→2300)</w:t>
            </w:r>
          </w:p>
        </w:tc>
        <w:tc>
          <w:tcPr/>
          <w:p>
            <w:pPr>
              <w:pStyle w:val="Compact"/>
              <w:jc w:val="right"/>
            </w:pPr>
            <w:r>
              <w:t xml:space="preserve">9,320</w:t>
            </w:r>
          </w:p>
        </w:tc>
        <w:tc>
          <w:tcPr/>
          <w:p>
            <w:pPr>
              <w:pStyle w:val="Compact"/>
              <w:jc w:val="right"/>
            </w:pPr>
            <w:r>
              <w:t xml:space="preserve">15,788</w:t>
            </w:r>
          </w:p>
        </w:tc>
        <w:tc>
          <w:tcPr/>
          <w:p>
            <w:pPr>
              <w:pStyle w:val="Compact"/>
              <w:jc w:val="center"/>
            </w:pPr>
            <w:r>
              <w:t xml:space="preserve">1.694×</w:t>
            </w:r>
          </w:p>
        </w:tc>
        <w:tc>
          <w:tcPr/>
          <w:p>
            <w:pPr>
              <w:pStyle w:val="Compact"/>
              <w:jc w:val="left"/>
            </w:pPr>
            <w:r>
              <w:t xml:space="preserve">Equipment pricing</w:t>
            </w:r>
          </w:p>
        </w:tc>
      </w:tr>
    </w:tbl>
    <w:p>
      <w:pPr>
        <w:pStyle w:val="BodyText"/>
      </w:pPr>
      <w:r>
        <w:t xml:space="preserve">Three distinct price factors are in use:</w:t>
      </w:r>
      <w:r>
        <w:t xml:space="preserve"> </w:t>
      </w:r>
      <w:r>
        <w:t xml:space="preserve">-</w:t>
      </w:r>
      <w:r>
        <w:t xml:space="preserve"> </w:t>
      </w:r>
      <w:r>
        <w:rPr>
          <w:b/>
          <w:bCs/>
        </w:rPr>
        <w:t xml:space="preserve">~1.694×</w:t>
      </w:r>
      <w:r>
        <w:t xml:space="preserve"> </w:t>
      </w:r>
      <w:r>
        <w:t xml:space="preserve">for equipment sections (3, 4, 5, alt pump)</w:t>
      </w:r>
      <w:r>
        <w:t xml:space="preserve"> </w:t>
      </w:r>
      <w:r>
        <w:t xml:space="preserve">-</w:t>
      </w:r>
      <w:r>
        <w:t xml:space="preserve"> </w:t>
      </w:r>
      <w:r>
        <w:rPr>
          <w:b/>
          <w:bCs/>
        </w:rPr>
        <w:t xml:space="preserve">~1.300×</w:t>
      </w:r>
      <w:r>
        <w:t xml:space="preserve"> </w:t>
      </w:r>
      <w:r>
        <w:t xml:space="preserve">for packing (matches MU multiplier_1 = 1.30)</w:t>
      </w:r>
      <w:r>
        <w:t xml:space="preserve"> </w:t>
      </w:r>
      <w:r>
        <w:t xml:space="preserve">-</w:t>
      </w:r>
      <w:r>
        <w:t xml:space="preserve"> </w:t>
      </w:r>
      <w:r>
        <w:rPr>
          <w:b/>
          <w:bCs/>
        </w:rPr>
        <w:t xml:space="preserve">~2.834×</w:t>
      </w:r>
      <w:r>
        <w:t xml:space="preserve"> </w:t>
      </w:r>
      <w:r>
        <w:t xml:space="preserve">for spare parts / accessories</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2026-02-07T23:13:23Z</dcterms:created>
  <dcterms:modified xsi:type="dcterms:W3CDTF">2026-02-07T23:13:23Z</dcterms:modified>
</cp:coreProperties>
</file>

<file path=docProps/custom.xml><?xml version="1.0" encoding="utf-8"?>
<Properties xmlns="http://schemas.openxmlformats.org/officeDocument/2006/custom-properties" xmlns:vt="http://schemas.openxmlformats.org/officeDocument/2006/docPropsVTypes"/>
</file>