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72369">
      <w:pPr>
        <w:spacing w:after="20"/>
      </w:pPr>
      <w:r>
        <w:rPr>
          <w:b/>
          <w:bCs/>
          <w:color w:val="2E5496"/>
          <w:sz w:val="16"/>
          <w:szCs w:val="16"/>
        </w:rPr>
        <w:t>END-OF-COURSE PROJECT · MILESTONE 1</w:t>
      </w:r>
    </w:p>
    <w:p w14:paraId="5A165154">
      <w:pPr>
        <w:spacing w:after="26"/>
      </w:pPr>
      <w:r>
        <w:rPr>
          <w:b/>
          <w:bCs/>
          <w:color w:val="1F3864"/>
          <w:sz w:val="34"/>
          <w:szCs w:val="34"/>
        </w:rPr>
        <w:t>Project Problem Statement</w:t>
      </w:r>
    </w:p>
    <w:p w14:paraId="253AE9B8">
      <w:pPr>
        <w:pBdr>
          <w:bottom w:val="single" w:color="1F3864" w:sz="10" w:space="0"/>
        </w:pBdr>
        <w:spacing w:after="80"/>
        <w:rPr>
          <w:i/>
          <w:iCs/>
          <w:color w:val="595959"/>
          <w:sz w:val="17"/>
          <w:szCs w:val="17"/>
        </w:rPr>
      </w:pPr>
      <w:r>
        <w:rPr>
          <w:i/>
          <w:iCs/>
          <w:color w:val="595959"/>
          <w:sz w:val="17"/>
          <w:szCs w:val="17"/>
        </w:rPr>
        <w:t>Submit by the end of Week 3 [23 August 23:59 hrs]· ~1 page · individual · formative (not graded) — you’ll get written feedback. This seeds your End-of-Course Project (it maps to Project Rubric criteria 1 &amp; 2).</w:t>
      </w:r>
    </w:p>
    <w:p w14:paraId="60E5B9AD">
      <w:pPr>
        <w:pBdr>
          <w:bottom w:val="single" w:color="1F3864" w:sz="10" w:space="0"/>
        </w:pBdr>
        <w:spacing w:after="80"/>
        <w:rPr>
          <w:b/>
          <w:bCs/>
          <w:i/>
          <w:iCs/>
          <w:color w:val="EE0000"/>
          <w:sz w:val="17"/>
          <w:szCs w:val="17"/>
        </w:rPr>
      </w:pPr>
      <w:r>
        <w:rPr>
          <w:b/>
          <w:bCs/>
          <w:i/>
          <w:iCs/>
          <w:color w:val="EE0000"/>
          <w:sz w:val="17"/>
          <w:szCs w:val="17"/>
        </w:rPr>
        <w:t>This submission is NOT graded. However, on time non-submission counts towards incomplete End of course project.</w:t>
      </w:r>
    </w:p>
    <w:p w14:paraId="60250864">
      <w:pPr>
        <w:spacing w:after="60"/>
      </w:pPr>
      <w:r>
        <w:rPr>
          <w:b/>
          <w:bCs/>
          <w:color w:val="1F3864"/>
          <w:sz w:val="19"/>
          <w:szCs w:val="19"/>
        </w:rPr>
        <w:t xml:space="preserve">Name: </w:t>
      </w:r>
      <w:r>
        <w:rPr>
          <w:sz w:val="19"/>
          <w:szCs w:val="19"/>
        </w:rPr>
        <w:t>__</w:t>
      </w:r>
      <w:r>
        <w:rPr>
          <w:rFonts w:hint="default"/>
          <w:sz w:val="19"/>
          <w:szCs w:val="19"/>
          <w:lang w:val="en-US"/>
        </w:rPr>
        <w:t>CHAN HIO WENG</w:t>
      </w:r>
      <w:r>
        <w:rPr>
          <w:sz w:val="19"/>
          <w:szCs w:val="19"/>
        </w:rPr>
        <w:t xml:space="preserve">______     </w:t>
      </w:r>
      <w:r>
        <w:rPr>
          <w:b/>
          <w:bCs/>
          <w:color w:val="1F3864"/>
          <w:sz w:val="19"/>
          <w:szCs w:val="19"/>
        </w:rPr>
        <w:t xml:space="preserve">Section (A / B / C): </w:t>
      </w:r>
      <w:r>
        <w:rPr>
          <w:sz w:val="19"/>
          <w:szCs w:val="19"/>
        </w:rPr>
        <w:t>__</w:t>
      </w:r>
      <w:r>
        <w:rPr>
          <w:rFonts w:hint="default"/>
          <w:sz w:val="19"/>
          <w:szCs w:val="19"/>
          <w:lang w:val="en-US"/>
        </w:rPr>
        <w:t>B</w:t>
      </w:r>
      <w:r>
        <w:rPr>
          <w:sz w:val="19"/>
          <w:szCs w:val="19"/>
        </w:rPr>
        <w:t xml:space="preserve">__     </w:t>
      </w:r>
      <w:r>
        <w:rPr>
          <w:b/>
          <w:bCs/>
          <w:color w:val="1F3864"/>
          <w:sz w:val="19"/>
          <w:szCs w:val="19"/>
        </w:rPr>
        <w:t xml:space="preserve">Date: </w:t>
      </w:r>
      <w:r>
        <w:rPr>
          <w:sz w:val="19"/>
          <w:szCs w:val="19"/>
        </w:rPr>
        <w:t>__</w:t>
      </w:r>
      <w:r>
        <w:rPr>
          <w:rFonts w:hint="default"/>
          <w:sz w:val="19"/>
          <w:szCs w:val="19"/>
          <w:lang w:val="en-US"/>
        </w:rPr>
        <w:t>22 August, 2026</w:t>
      </w:r>
      <w:r>
        <w:rPr>
          <w:sz w:val="19"/>
          <w:szCs w:val="19"/>
        </w:rPr>
        <w:t>__</w:t>
      </w:r>
    </w:p>
    <w:p w14:paraId="07BFC849">
      <w:pPr>
        <w:spacing w:before="170" w:after="20"/>
      </w:pPr>
      <w:r>
        <w:rPr>
          <w:b/>
          <w:bCs/>
          <w:color w:val="1F3864"/>
          <w:sz w:val="21"/>
          <w:szCs w:val="21"/>
        </w:rPr>
        <w:t>1 · Working title</w:t>
      </w:r>
    </w:p>
    <w:p w14:paraId="637357D5">
      <w:pPr>
        <w:spacing w:after="40"/>
      </w:pPr>
      <w:r>
        <w:rPr>
          <w:i/>
          <w:iCs/>
          <w:color w:val="595959"/>
          <w:sz w:val="16"/>
          <w:szCs w:val="16"/>
        </w:rPr>
        <w:t>A short, specific name for your project.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2CD5D0">
        <w:tc>
          <w:tcPr>
            <w:tcW w:w="9026" w:type="dxa"/>
            <w:shd w:val="clear" w:color="auto" w:fill="FAFBFD"/>
            <w:tcMar>
              <w:top w:w="60" w:type="dxa"/>
              <w:left w:w="120" w:type="dxa"/>
              <w:bottom w:w="60" w:type="dxa"/>
              <w:right w:w="120" w:type="dxa"/>
            </w:tcMar>
          </w:tcPr>
          <w:p w14:paraId="5AFD72E0">
            <w:r>
              <w:rPr>
                <w:rFonts w:ascii="Calibri" w:hAnsi="Calibri" w:eastAsia="Calibri" w:cs="Calibri"/>
                <w:b/>
                <w:bCs/>
                <w:i w:val="0"/>
                <w:iCs w:val="0"/>
                <w:color w:val="000000"/>
                <w:sz w:val="20"/>
                <w:szCs w:val="20"/>
              </w:rPr>
              <w:t>FreshCall — sizes tomorrow’s fresh order, or abstains</w:t>
            </w:r>
          </w:p>
        </w:tc>
      </w:tr>
    </w:tbl>
    <w:p w14:paraId="7B136F9D">
      <w:pPr>
        <w:spacing w:before="170" w:after="20"/>
      </w:pPr>
      <w:r>
        <w:rPr>
          <w:b/>
          <w:bCs/>
          <w:color w:val="1F3864"/>
          <w:sz w:val="21"/>
          <w:szCs w:val="21"/>
        </w:rPr>
        <w:t>2 · The problem, and why it matters</w:t>
      </w:r>
    </w:p>
    <w:p w14:paraId="33ADDF2F">
      <w:pPr>
        <w:spacing w:after="40"/>
      </w:pPr>
      <w:r>
        <w:rPr>
          <w:i/>
          <w:iCs/>
          <w:color w:val="595959"/>
          <w:sz w:val="16"/>
          <w:szCs w:val="16"/>
        </w:rPr>
        <w:t>Who has this problem, and why is it worth solving? 2–3 sentences. (Rubric 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F5DC0F">
        <w:tc>
          <w:tcPr>
            <w:tcW w:w="9026" w:type="dxa"/>
            <w:shd w:val="clear" w:color="auto" w:fill="FAFBFD"/>
            <w:tcMar>
              <w:top w:w="60" w:type="dxa"/>
              <w:left w:w="120" w:type="dxa"/>
              <w:bottom w:w="60" w:type="dxa"/>
              <w:right w:w="120" w:type="dxa"/>
            </w:tcMar>
          </w:tcPr>
          <w:p w14:paraId="61343EAC">
            <w:pPr>
              <w:spacing w:before="40" w:after="40"/>
              <w:rPr>
                <w:rFonts w:hint="default" w:cs="Calibri"/>
                <w:b/>
                <w:bCs/>
                <w:i w:val="0"/>
                <w:iCs w:val="0"/>
                <w:color w:val="000000"/>
                <w:sz w:val="19"/>
                <w:szCs w:val="19"/>
                <w:lang w:val="en-US"/>
              </w:rPr>
            </w:pPr>
            <w:r>
              <w:rPr>
                <w:rFonts w:ascii="Calibri" w:hAnsi="Calibri" w:eastAsia="Calibri" w:cs="Calibri"/>
                <w:b/>
                <w:bCs/>
                <w:i w:val="0"/>
                <w:iCs w:val="0"/>
                <w:color w:val="000000"/>
                <w:sz w:val="19"/>
                <w:szCs w:val="19"/>
              </w:rPr>
              <w:t>QSR store managers size next-day fresh-SKU orders from last week’s number plus a safety margin, and the over-ordering that results is discarded before it can be sold. Roughly 40 short-shelf-life SKUs per store are ordered daily, adding up to</w:t>
            </w:r>
            <w:r>
              <w:rPr>
                <w:rFonts w:hint="eastAsia" w:eastAsia="SimSun" w:cs="Calibri"/>
                <w:b/>
                <w:bCs/>
                <w:i w:val="0"/>
                <w:iCs w:val="0"/>
                <w:color w:val="000000"/>
                <w:sz w:val="19"/>
                <w:szCs w:val="19"/>
                <w:lang w:val="en-US" w:eastAsia="zh-CN"/>
              </w:rPr>
              <w:t xml:space="preserve"> </w:t>
            </w:r>
            <w:r>
              <w:rPr>
                <w:rFonts w:ascii="Calibri" w:hAnsi="Calibri" w:eastAsia="Calibri" w:cs="Calibri"/>
                <w:b/>
                <w:bCs/>
                <w:i w:val="0"/>
                <w:iCs w:val="0"/>
                <w:color w:val="000000"/>
                <w:sz w:val="19"/>
                <w:szCs w:val="19"/>
              </w:rPr>
              <w:t>about 14,600 ordering decisions per store per year</w:t>
            </w:r>
            <w:r>
              <w:rPr>
                <w:rFonts w:hint="default" w:cs="Calibri"/>
                <w:b/>
                <w:bCs/>
                <w:i w:val="0"/>
                <w:iCs w:val="0"/>
                <w:color w:val="000000"/>
                <w:sz w:val="19"/>
                <w:szCs w:val="19"/>
                <w:lang w:val="en-US"/>
              </w:rPr>
              <w:t>.</w:t>
            </w:r>
          </w:p>
          <w:p w14:paraId="1C2D509E">
            <w:pPr>
              <w:spacing w:before="40" w:after="40"/>
              <w:rPr>
                <w:rFonts w:hint="default" w:cs="Calibri"/>
                <w:b w:val="0"/>
                <w:bCs w:val="0"/>
                <w:i w:val="0"/>
                <w:iCs w:val="0"/>
                <w:color w:val="000000"/>
                <w:sz w:val="19"/>
                <w:szCs w:val="19"/>
                <w:lang w:val="en-US"/>
              </w:rPr>
            </w:pPr>
          </w:p>
          <w:p w14:paraId="6E818A8A">
            <w:pPr>
              <w:spacing w:before="40" w:after="40"/>
            </w:pPr>
            <w:r>
              <w:rPr>
                <w:rFonts w:ascii="Calibri" w:hAnsi="Calibri" w:eastAsia="Calibri" w:cs="Calibri"/>
                <w:b/>
                <w:bCs/>
                <w:i w:val="0"/>
                <w:iCs w:val="0"/>
                <w:color w:val="000000"/>
                <w:sz w:val="19"/>
                <w:szCs w:val="19"/>
              </w:rPr>
              <w:t>Closest existing tools</w:t>
            </w:r>
            <w:r>
              <w:rPr>
                <w:rFonts w:hint="default" w:ascii="Calibri" w:hAnsi="Calibri" w:eastAsia="Calibri" w:cs="Calibri"/>
                <w:b/>
                <w:bCs/>
                <w:i w:val="0"/>
                <w:iCs w:val="0"/>
                <w:color w:val="000000"/>
                <w:sz w:val="19"/>
                <w:szCs w:val="19"/>
                <w:lang w:val="en-US"/>
              </w:rPr>
              <w:t>:</w:t>
            </w:r>
            <w:r>
              <w:rPr>
                <w:rFonts w:hint="default" w:cs="Calibri"/>
                <w:b/>
                <w:bCs/>
                <w:i w:val="0"/>
                <w:iCs w:val="0"/>
                <w:color w:val="000000"/>
                <w:sz w:val="19"/>
                <w:szCs w:val="19"/>
                <w:lang w:val="en-US"/>
              </w:rPr>
              <w:t xml:space="preserve"> </w:t>
            </w:r>
            <w:r>
              <w:rPr>
                <w:rFonts w:ascii="Calibri" w:hAnsi="Calibri" w:eastAsia="Calibri" w:cs="Calibri"/>
                <w:b w:val="0"/>
                <w:bCs w:val="0"/>
                <w:i w:val="0"/>
                <w:iCs w:val="0"/>
                <w:color w:val="000000"/>
                <w:sz w:val="19"/>
                <w:szCs w:val="19"/>
              </w:rPr>
              <w:t>Crunchtime (category leader; its AI already handles weather and holidays and forecasts in 15-minute intervals) and ClearCOGS (lightweight, waste-focused). The gap is not that they forecast badly, and it is not that I can predict a structural break</w:t>
            </w:r>
            <w:r>
              <w:rPr>
                <w:rFonts w:hint="default" w:cs="Calibri"/>
                <w:b w:val="0"/>
                <w:bCs w:val="0"/>
                <w:i w:val="0"/>
                <w:iCs w:val="0"/>
                <w:color w:val="000000"/>
                <w:sz w:val="19"/>
                <w:szCs w:val="19"/>
                <w:lang w:val="en-US"/>
              </w:rPr>
              <w:t>. In fact, n</w:t>
            </w:r>
            <w:r>
              <w:rPr>
                <w:rFonts w:ascii="Calibri" w:hAnsi="Calibri" w:eastAsia="Calibri" w:cs="Calibri"/>
                <w:b w:val="0"/>
                <w:bCs w:val="0"/>
                <w:i w:val="0"/>
                <w:iCs w:val="0"/>
                <w:color w:val="000000"/>
                <w:sz w:val="19"/>
                <w:szCs w:val="19"/>
              </w:rPr>
              <w:t>obody can, because a break is by definition outside the training distribution. The gap is that these tools return a number carrying no statement of whether it should be trusted, so the manager cannot separate a routine Tuesday from a day the model is out of its depth. Communicating that difference is solvable even when predicting the break is not.</w:t>
            </w:r>
          </w:p>
          <w:p w14:paraId="00A1B2C3">
            <w:pPr>
              <w:spacing w:before="40" w:after="40"/>
            </w:pPr>
            <w:r>
              <w:rPr>
                <w:rFonts w:ascii="Calibri" w:hAnsi="Calibri" w:eastAsia="Calibri" w:cs="Calibri"/>
                <w:b/>
                <w:bCs/>
                <w:i w:val="0"/>
                <w:iCs w:val="0"/>
                <w:color w:val="000000"/>
                <w:sz w:val="19"/>
                <w:szCs w:val="19"/>
              </w:rPr>
              <w:t xml:space="preserve">Out of scope: </w:t>
            </w:r>
            <w:r>
              <w:rPr>
                <w:rFonts w:ascii="Calibri" w:hAnsi="Calibri" w:eastAsia="Calibri" w:cs="Calibri"/>
                <w:b w:val="0"/>
                <w:bCs w:val="0"/>
                <w:i w:val="0"/>
                <w:iCs w:val="0"/>
                <w:color w:val="000000"/>
                <w:sz w:val="19"/>
                <w:szCs w:val="19"/>
              </w:rPr>
              <w:t>predicting demand shocks whose driver sits outside the feature set; labour scheduling; ambient/frozen SKUs; multi-store allocation; automatic order submission; and food-safety hold or discard times.</w:t>
            </w:r>
          </w:p>
        </w:tc>
      </w:tr>
    </w:tbl>
    <w:p w14:paraId="6507E2AB">
      <w:pPr>
        <w:spacing w:before="170" w:after="20"/>
      </w:pPr>
      <w:r>
        <w:rPr>
          <w:b/>
          <w:bCs/>
          <w:color w:val="1F3864"/>
          <w:sz w:val="21"/>
          <w:szCs w:val="21"/>
        </w:rPr>
        <w:t>3 · Who it’s for, and the domain</w:t>
      </w:r>
    </w:p>
    <w:p w14:paraId="7A8FB54D">
      <w:pPr>
        <w:spacing w:after="40"/>
      </w:pPr>
      <w:r>
        <w:rPr>
          <w:i/>
          <w:iCs/>
          <w:color w:val="595959"/>
          <w:sz w:val="16"/>
          <w:szCs w:val="16"/>
        </w:rPr>
        <w:t>Your user / audience and the industry (e.g. banking, healthcare, retail, your employer).</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DFF9995">
        <w:tc>
          <w:tcPr>
            <w:tcW w:w="9026" w:type="dxa"/>
            <w:shd w:val="clear" w:color="auto" w:fill="FAFBFD"/>
            <w:tcMar>
              <w:top w:w="60" w:type="dxa"/>
              <w:left w:w="120" w:type="dxa"/>
              <w:bottom w:w="60" w:type="dxa"/>
              <w:right w:w="120" w:type="dxa"/>
            </w:tcMar>
          </w:tcPr>
          <w:p w14:paraId="44EF56DF">
            <w:pPr>
              <w:rPr>
                <w:rFonts w:hint="default" w:ascii="Calibri" w:hAnsi="Calibri" w:eastAsia="SimSun" w:cs="Calibri"/>
                <w:b w:val="0"/>
                <w:bCs w:val="0"/>
                <w:i w:val="0"/>
                <w:iCs w:val="0"/>
                <w:color w:val="000000"/>
                <w:sz w:val="19"/>
                <w:szCs w:val="19"/>
                <w:lang w:val="en-US" w:eastAsia="zh-CN"/>
              </w:rPr>
            </w:pPr>
            <w:r>
              <w:rPr>
                <w:rFonts w:hint="eastAsia" w:ascii="Calibri" w:hAnsi="Calibri" w:eastAsia="Calibri" w:cs="Calibri"/>
                <w:b/>
                <w:bCs/>
                <w:i w:val="0"/>
                <w:iCs w:val="0"/>
                <w:color w:val="000000"/>
                <w:sz w:val="19"/>
                <w:szCs w:val="19"/>
              </w:rPr>
              <w:t xml:space="preserve">Domain: </w:t>
            </w:r>
            <w:r>
              <w:rPr>
                <w:rFonts w:hint="default" w:ascii="Calibri" w:hAnsi="Calibri" w:eastAsia="Calibri" w:cs="Calibri"/>
                <w:b w:val="0"/>
                <w:bCs w:val="0"/>
                <w:i w:val="0"/>
                <w:iCs w:val="0"/>
                <w:color w:val="000000"/>
                <w:sz w:val="19"/>
                <w:szCs w:val="19"/>
                <w:lang w:val="en-US"/>
              </w:rPr>
              <w:t>Q</w:t>
            </w:r>
            <w:r>
              <w:rPr>
                <w:rFonts w:hint="eastAsia" w:ascii="Calibri" w:hAnsi="Calibri" w:eastAsia="Calibri" w:cs="Calibri"/>
                <w:b w:val="0"/>
                <w:bCs w:val="0"/>
                <w:i w:val="0"/>
                <w:iCs w:val="0"/>
                <w:color w:val="000000"/>
                <w:sz w:val="19"/>
                <w:szCs w:val="19"/>
              </w:rPr>
              <w:t>uick-service restaurant store operations</w:t>
            </w:r>
            <w:r>
              <w:rPr>
                <w:rFonts w:hint="default" w:cs="Calibri"/>
                <w:b w:val="0"/>
                <w:bCs w:val="0"/>
                <w:i w:val="0"/>
                <w:iCs w:val="0"/>
                <w:color w:val="000000"/>
                <w:sz w:val="19"/>
                <w:szCs w:val="19"/>
                <w:lang w:val="en-US"/>
              </w:rPr>
              <w:t>.</w:t>
            </w:r>
          </w:p>
          <w:p w14:paraId="76D0DDC1">
            <w:pPr>
              <w:rPr>
                <w:rFonts w:hint="eastAsia" w:ascii="Calibri" w:hAnsi="Calibri" w:eastAsia="Calibri" w:cs="Calibri"/>
                <w:b/>
                <w:bCs/>
                <w:i w:val="0"/>
                <w:iCs w:val="0"/>
                <w:color w:val="000000"/>
                <w:sz w:val="19"/>
                <w:szCs w:val="19"/>
              </w:rPr>
            </w:pPr>
          </w:p>
          <w:p w14:paraId="6D3A3C6A">
            <w:pPr>
              <w:rPr>
                <w:rFonts w:hint="eastAsia" w:ascii="Calibri" w:hAnsi="Calibri" w:eastAsia="Calibri" w:cs="Calibri"/>
                <w:b w:val="0"/>
                <w:bCs w:val="0"/>
                <w:i w:val="0"/>
                <w:iCs w:val="0"/>
                <w:color w:val="000000"/>
                <w:sz w:val="19"/>
                <w:szCs w:val="19"/>
              </w:rPr>
            </w:pPr>
            <w:r>
              <w:rPr>
                <w:rFonts w:hint="eastAsia" w:ascii="Calibri" w:hAnsi="Calibri" w:eastAsia="Calibri" w:cs="Calibri"/>
                <w:b/>
                <w:bCs/>
                <w:i w:val="0"/>
                <w:iCs w:val="0"/>
                <w:color w:val="000000"/>
                <w:sz w:val="19"/>
                <w:szCs w:val="19"/>
              </w:rPr>
              <w:t xml:space="preserve">Primary user: </w:t>
            </w:r>
            <w:r>
              <w:rPr>
                <w:rFonts w:hint="eastAsia" w:ascii="Calibri" w:hAnsi="Calibri" w:eastAsia="Calibri" w:cs="Calibri"/>
                <w:b w:val="0"/>
                <w:bCs w:val="0"/>
                <w:i w:val="0"/>
                <w:iCs w:val="0"/>
                <w:color w:val="000000"/>
                <w:sz w:val="19"/>
                <w:szCs w:val="19"/>
              </w:rPr>
              <w:t>The restaurant manager who places the store's daily fresh order. The manager places tomorrow's fresh order on his</w:t>
            </w:r>
            <w:r>
              <w:rPr>
                <w:rFonts w:hint="default" w:cs="Calibri"/>
                <w:b w:val="0"/>
                <w:bCs w:val="0"/>
                <w:i w:val="0"/>
                <w:iCs w:val="0"/>
                <w:color w:val="000000"/>
                <w:sz w:val="19"/>
                <w:szCs w:val="19"/>
                <w:lang w:val="en-US"/>
              </w:rPr>
              <w:t>/her</w:t>
            </w:r>
            <w:r>
              <w:rPr>
                <w:rFonts w:hint="eastAsia" w:ascii="Calibri" w:hAnsi="Calibri" w:eastAsia="Calibri" w:cs="Calibri"/>
                <w:b w:val="0"/>
                <w:bCs w:val="0"/>
                <w:i w:val="0"/>
                <w:iCs w:val="0"/>
                <w:color w:val="000000"/>
                <w:sz w:val="19"/>
                <w:szCs w:val="19"/>
              </w:rPr>
              <w:t xml:space="preserve"> phone at the end of the evening shift, who has never seen a prediction interval and will not open a second screen.</w:t>
            </w:r>
          </w:p>
          <w:p w14:paraId="68AE2333">
            <w:pPr>
              <w:rPr>
                <w:rFonts w:hint="eastAsia" w:ascii="Calibri" w:hAnsi="Calibri" w:eastAsia="Calibri" w:cs="Calibri"/>
                <w:b/>
                <w:bCs/>
                <w:i w:val="0"/>
                <w:iCs w:val="0"/>
                <w:color w:val="000000"/>
                <w:sz w:val="19"/>
                <w:szCs w:val="19"/>
              </w:rPr>
            </w:pPr>
          </w:p>
          <w:p w14:paraId="2FFCFC75">
            <w:pPr>
              <w:rPr>
                <w:rFonts w:hint="eastAsia" w:ascii="Calibri" w:hAnsi="Calibri" w:eastAsia="Calibri" w:cs="Calibri"/>
                <w:b w:val="0"/>
                <w:bCs w:val="0"/>
                <w:i w:val="0"/>
                <w:iCs w:val="0"/>
                <w:color w:val="000000"/>
                <w:sz w:val="19"/>
                <w:szCs w:val="19"/>
              </w:rPr>
            </w:pPr>
            <w:r>
              <w:rPr>
                <w:rFonts w:hint="eastAsia" w:ascii="Calibri" w:hAnsi="Calibri" w:eastAsia="Calibri" w:cs="Calibri"/>
                <w:b/>
                <w:bCs/>
                <w:i w:val="0"/>
                <w:iCs w:val="0"/>
                <w:color w:val="000000"/>
                <w:sz w:val="19"/>
                <w:szCs w:val="19"/>
              </w:rPr>
              <w:t xml:space="preserve">Three design constraints: </w:t>
            </w:r>
            <w:r>
              <w:rPr>
                <w:rFonts w:hint="eastAsia" w:ascii="Calibri" w:hAnsi="Calibri" w:eastAsia="Calibri" w:cs="Calibri"/>
                <w:b w:val="0"/>
                <w:bCs w:val="0"/>
                <w:i w:val="0"/>
                <w:iCs w:val="0"/>
                <w:color w:val="000000"/>
                <w:sz w:val="19"/>
                <w:szCs w:val="19"/>
              </w:rPr>
              <w:t>The moment is short and interruptible, so it is one screen, and quantities are in cases. The manager has no vocabulary for uncertainty. It must never surface a confidence number on screen. And the manager already has strong intuitions about a handful of SKUs, so every recommendation must be overridable and an override is not a system failure.</w:t>
            </w:r>
          </w:p>
          <w:p w14:paraId="3BDED9E5">
            <w:pPr>
              <w:rPr>
                <w:rFonts w:hint="eastAsia" w:ascii="Calibri" w:hAnsi="Calibri" w:eastAsia="Calibri" w:cs="Calibri"/>
                <w:b w:val="0"/>
                <w:bCs w:val="0"/>
                <w:i w:val="0"/>
                <w:iCs w:val="0"/>
                <w:color w:val="000000"/>
                <w:sz w:val="19"/>
                <w:szCs w:val="19"/>
              </w:rPr>
            </w:pPr>
          </w:p>
          <w:p w14:paraId="012256AC">
            <w:pPr>
              <w:rPr>
                <w:rFonts w:hint="eastAsia" w:ascii="Calibri" w:hAnsi="Calibri" w:eastAsia="Calibri" w:cs="Calibri"/>
                <w:b w:val="0"/>
                <w:bCs w:val="0"/>
                <w:i w:val="0"/>
                <w:iCs w:val="0"/>
                <w:color w:val="000000"/>
                <w:sz w:val="19"/>
                <w:szCs w:val="19"/>
              </w:rPr>
            </w:pPr>
            <w:r>
              <w:rPr>
                <w:rFonts w:hint="eastAsia" w:ascii="Calibri" w:hAnsi="Calibri" w:eastAsia="Calibri" w:cs="Calibri"/>
                <w:b/>
                <w:bCs/>
                <w:i w:val="0"/>
                <w:iCs w:val="0"/>
                <w:color w:val="000000"/>
                <w:sz w:val="19"/>
                <w:szCs w:val="19"/>
              </w:rPr>
              <w:t>What change</w:t>
            </w:r>
            <w:r>
              <w:rPr>
                <w:rFonts w:hint="default" w:cs="Calibri"/>
                <w:b/>
                <w:bCs/>
                <w:i w:val="0"/>
                <w:iCs w:val="0"/>
                <w:color w:val="000000"/>
                <w:sz w:val="19"/>
                <w:szCs w:val="19"/>
                <w:lang w:val="en-US"/>
              </w:rPr>
              <w:t>s</w:t>
            </w:r>
            <w:r>
              <w:rPr>
                <w:rFonts w:hint="eastAsia" w:ascii="Calibri" w:hAnsi="Calibri" w:eastAsia="SimSun" w:cs="Calibri"/>
                <w:b/>
                <w:bCs/>
                <w:i w:val="0"/>
                <w:iCs w:val="0"/>
                <w:color w:val="000000"/>
                <w:sz w:val="19"/>
                <w:szCs w:val="19"/>
                <w:lang w:val="en-US" w:eastAsia="zh-CN"/>
              </w:rPr>
              <w:t>:</w:t>
            </w:r>
            <w:r>
              <w:rPr>
                <w:rFonts w:hint="eastAsia" w:ascii="Calibri" w:hAnsi="Calibri" w:eastAsia="Calibri" w:cs="Calibri"/>
                <w:b w:val="0"/>
                <w:bCs w:val="0"/>
                <w:i w:val="0"/>
                <w:iCs w:val="0"/>
                <w:color w:val="000000"/>
                <w:sz w:val="19"/>
                <w:szCs w:val="19"/>
              </w:rPr>
              <w:t xml:space="preserve"> Today every SKU gets the same slice of his</w:t>
            </w:r>
            <w:r>
              <w:rPr>
                <w:rFonts w:hint="default" w:cs="Calibri"/>
                <w:b w:val="0"/>
                <w:bCs w:val="0"/>
                <w:i w:val="0"/>
                <w:iCs w:val="0"/>
                <w:color w:val="000000"/>
                <w:sz w:val="19"/>
                <w:szCs w:val="19"/>
                <w:lang w:val="en-US"/>
              </w:rPr>
              <w:t>/her</w:t>
            </w:r>
            <w:r>
              <w:rPr>
                <w:rFonts w:hint="eastAsia" w:ascii="Calibri" w:hAnsi="Calibri" w:eastAsia="Calibri" w:cs="Calibri"/>
                <w:b w:val="0"/>
                <w:bCs w:val="0"/>
                <w:i w:val="0"/>
                <w:iCs w:val="0"/>
                <w:color w:val="000000"/>
                <w:sz w:val="19"/>
                <w:szCs w:val="19"/>
              </w:rPr>
              <w:t xml:space="preserve"> attention whether or not it needs it. Afterwards, most arrive pre-filled with a reason they can scan in a second, and the ones the model cannot size are flagged for the manager. </w:t>
            </w:r>
          </w:p>
          <w:p w14:paraId="73BC6871"/>
        </w:tc>
      </w:tr>
    </w:tbl>
    <w:p w14:paraId="71B3BD92">
      <w:pPr>
        <w:spacing w:before="170" w:after="20"/>
      </w:pPr>
      <w:r>
        <w:rPr>
          <w:b/>
          <w:bCs/>
          <w:color w:val="1F3864"/>
          <w:sz w:val="21"/>
          <w:szCs w:val="21"/>
        </w:rPr>
        <w:t xml:space="preserve">4 · Why AI — and which kind? Remember, from class 1 workshops, no one size fits all </w:t>
      </w:r>
    </w:p>
    <w:p w14:paraId="177C7F14">
      <w:pPr>
        <w:spacing w:after="40"/>
      </w:pPr>
      <w:r>
        <w:rPr>
          <w:i/>
          <w:iCs/>
          <w:color w:val="595959"/>
          <w:sz w:val="16"/>
          <w:szCs w:val="16"/>
        </w:rPr>
        <w:t>Is AI the right tool here (vs a rule or lookup)? If yes, which type — narrow ML, a foundation model, RAG, an agent? (ILO 1)</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3C2C356">
        <w:tc>
          <w:tcPr>
            <w:tcW w:w="9026" w:type="dxa"/>
            <w:shd w:val="clear" w:color="auto" w:fill="FAFBFD"/>
            <w:tcMar>
              <w:top w:w="60" w:type="dxa"/>
              <w:left w:w="120" w:type="dxa"/>
              <w:bottom w:w="60" w:type="dxa"/>
              <w:right w:w="120" w:type="dxa"/>
            </w:tcMar>
          </w:tcPr>
          <w:p w14:paraId="6338014D">
            <w:pPr>
              <w:spacing w:before="40" w:after="40"/>
              <w:rPr>
                <w:rFonts w:ascii="Calibri" w:hAnsi="Calibri" w:eastAsia="Calibri" w:cs="Calibri"/>
                <w:b w:val="0"/>
                <w:bCs w:val="0"/>
                <w:i w:val="0"/>
                <w:iCs w:val="0"/>
                <w:color w:val="000000"/>
                <w:sz w:val="19"/>
                <w:szCs w:val="19"/>
              </w:rPr>
            </w:pPr>
            <w:r>
              <w:rPr>
                <w:rFonts w:ascii="Calibri" w:hAnsi="Calibri" w:eastAsia="Calibri" w:cs="Calibri"/>
                <w:b/>
                <w:bCs/>
                <w:i w:val="0"/>
                <w:iCs w:val="0"/>
                <w:color w:val="000000"/>
                <w:sz w:val="19"/>
                <w:szCs w:val="19"/>
              </w:rPr>
              <w:t xml:space="preserve">A hybrid: </w:t>
            </w:r>
            <w:r>
              <w:rPr>
                <w:rFonts w:hint="default" w:cs="Calibri"/>
                <w:b w:val="0"/>
                <w:bCs w:val="0"/>
                <w:i w:val="0"/>
                <w:iCs w:val="0"/>
                <w:color w:val="000000"/>
                <w:sz w:val="19"/>
                <w:szCs w:val="19"/>
                <w:lang w:val="en-US"/>
              </w:rPr>
              <w:t>N</w:t>
            </w:r>
            <w:r>
              <w:rPr>
                <w:rFonts w:ascii="Calibri" w:hAnsi="Calibri" w:eastAsia="Calibri" w:cs="Calibri"/>
                <w:b w:val="0"/>
                <w:bCs w:val="0"/>
                <w:i w:val="0"/>
                <w:iCs w:val="0"/>
                <w:color w:val="000000"/>
                <w:sz w:val="19"/>
                <w:szCs w:val="19"/>
              </w:rPr>
              <w:t>arrow ML for the number, deterministic code for the arithmetic and the confidence gate, a rented foundation model for language only.</w:t>
            </w:r>
          </w:p>
          <w:p w14:paraId="0E025091">
            <w:pPr>
              <w:spacing w:before="40" w:after="40"/>
              <w:rPr>
                <w:rFonts w:ascii="Calibri" w:hAnsi="Calibri" w:eastAsia="Calibri" w:cs="Calibri"/>
                <w:b w:val="0"/>
                <w:bCs w:val="0"/>
                <w:i w:val="0"/>
                <w:iCs w:val="0"/>
                <w:color w:val="000000"/>
                <w:sz w:val="19"/>
                <w:szCs w:val="19"/>
              </w:rPr>
            </w:pPr>
          </w:p>
          <w:p w14:paraId="70869C90">
            <w:pPr>
              <w:spacing w:before="40" w:after="40"/>
              <w:rPr>
                <w:rFonts w:ascii="Calibri" w:hAnsi="Calibri" w:eastAsia="Calibri" w:cs="Calibri"/>
                <w:b w:val="0"/>
                <w:bCs w:val="0"/>
                <w:i w:val="0"/>
                <w:iCs w:val="0"/>
                <w:color w:val="000000"/>
                <w:sz w:val="19"/>
                <w:szCs w:val="19"/>
              </w:rPr>
            </w:pPr>
            <w:r>
              <w:rPr>
                <w:rFonts w:ascii="Calibri" w:hAnsi="Calibri" w:eastAsia="Calibri" w:cs="Calibri"/>
                <w:b/>
                <w:bCs/>
                <w:i w:val="0"/>
                <w:iCs w:val="0"/>
                <w:color w:val="000000"/>
                <w:sz w:val="19"/>
                <w:szCs w:val="19"/>
              </w:rPr>
              <w:t xml:space="preserve">Non-AI baseline: </w:t>
            </w:r>
            <w:r>
              <w:rPr>
                <w:rFonts w:hint="default" w:cs="Calibri"/>
                <w:b w:val="0"/>
                <w:bCs w:val="0"/>
                <w:i w:val="0"/>
                <w:iCs w:val="0"/>
                <w:color w:val="000000"/>
                <w:sz w:val="19"/>
                <w:szCs w:val="19"/>
                <w:lang w:val="en-US"/>
              </w:rPr>
              <w:t>N</w:t>
            </w:r>
            <w:r>
              <w:rPr>
                <w:rFonts w:ascii="Calibri" w:hAnsi="Calibri" w:eastAsia="Calibri" w:cs="Calibri"/>
                <w:b w:val="0"/>
                <w:bCs w:val="0"/>
                <w:i w:val="0"/>
                <w:iCs w:val="0"/>
                <w:color w:val="000000"/>
                <w:sz w:val="19"/>
                <w:szCs w:val="19"/>
              </w:rPr>
              <w:t xml:space="preserve">aive seasonal — last week’s same weekday actual, rounded up to case pack. </w:t>
            </w:r>
            <w:r>
              <w:rPr>
                <w:rFonts w:hint="default" w:cs="Calibri"/>
                <w:b w:val="0"/>
                <w:bCs w:val="0"/>
                <w:i w:val="0"/>
                <w:iCs w:val="0"/>
                <w:color w:val="000000"/>
                <w:sz w:val="19"/>
                <w:szCs w:val="19"/>
                <w:lang w:val="en-US"/>
              </w:rPr>
              <w:t xml:space="preserve">It will be </w:t>
            </w:r>
            <w:r>
              <w:rPr>
                <w:rFonts w:ascii="Calibri" w:hAnsi="Calibri" w:eastAsia="Calibri" w:cs="Calibri"/>
                <w:b w:val="0"/>
                <w:bCs w:val="0"/>
                <w:i w:val="0"/>
                <w:iCs w:val="0"/>
                <w:color w:val="000000"/>
                <w:sz w:val="19"/>
                <w:szCs w:val="19"/>
              </w:rPr>
              <w:t>measured</w:t>
            </w:r>
            <w:r>
              <w:rPr>
                <w:rFonts w:hint="default" w:cs="Calibri"/>
                <w:b w:val="0"/>
                <w:bCs w:val="0"/>
                <w:i w:val="0"/>
                <w:iCs w:val="0"/>
                <w:color w:val="000000"/>
                <w:sz w:val="19"/>
                <w:szCs w:val="19"/>
                <w:lang w:val="en-US"/>
              </w:rPr>
              <w:t xml:space="preserve">. </w:t>
            </w:r>
            <w:r>
              <w:rPr>
                <w:rFonts w:ascii="Calibri" w:hAnsi="Calibri" w:eastAsia="Calibri" w:cs="Calibri"/>
                <w:b w:val="0"/>
                <w:bCs w:val="0"/>
                <w:i w:val="0"/>
                <w:iCs w:val="0"/>
                <w:color w:val="000000"/>
                <w:sz w:val="19"/>
                <w:szCs w:val="19"/>
              </w:rPr>
              <w:t>If it wins on a SKU, that SKU should not use the model.</w:t>
            </w:r>
          </w:p>
          <w:p w14:paraId="7FFB8F9C">
            <w:pPr>
              <w:spacing w:before="40" w:after="40"/>
              <w:rPr>
                <w:rFonts w:ascii="Calibri" w:hAnsi="Calibri" w:eastAsia="Calibri" w:cs="Calibri"/>
                <w:b w:val="0"/>
                <w:bCs w:val="0"/>
                <w:i w:val="0"/>
                <w:iCs w:val="0"/>
                <w:color w:val="000000"/>
                <w:sz w:val="19"/>
                <w:szCs w:val="19"/>
              </w:rPr>
            </w:pPr>
          </w:p>
          <w:p w14:paraId="4BCC1E45">
            <w:pPr>
              <w:rPr>
                <w:rFonts w:hint="default" w:ascii="Calibri" w:hAnsi="Calibri" w:eastAsia="Calibri" w:cs="Calibri"/>
                <w:b w:val="0"/>
                <w:bCs w:val="0"/>
                <w:i w:val="0"/>
                <w:iCs w:val="0"/>
                <w:color w:val="000000"/>
                <w:sz w:val="19"/>
                <w:szCs w:val="19"/>
                <w:lang w:val="en-US"/>
              </w:rPr>
            </w:pPr>
            <w:r>
              <w:rPr>
                <w:rFonts w:ascii="Calibri" w:hAnsi="Calibri" w:eastAsia="Calibri" w:cs="Calibri"/>
                <w:b/>
                <w:bCs/>
                <w:i w:val="0"/>
                <w:iCs w:val="0"/>
                <w:color w:val="000000"/>
                <w:sz w:val="19"/>
                <w:szCs w:val="19"/>
              </w:rPr>
              <w:t>Rungs I skipped</w:t>
            </w:r>
            <w:r>
              <w:rPr>
                <w:rFonts w:hint="default" w:ascii="Calibri" w:hAnsi="Calibri" w:eastAsia="Calibri" w:cs="Calibri"/>
                <w:b/>
                <w:bCs/>
                <w:i w:val="0"/>
                <w:iCs w:val="0"/>
                <w:color w:val="000000"/>
                <w:sz w:val="19"/>
                <w:szCs w:val="19"/>
                <w:lang w:val="en-US"/>
              </w:rPr>
              <w:t xml:space="preserve">: </w:t>
            </w:r>
            <w:r>
              <w:rPr>
                <w:rFonts w:ascii="Calibri" w:hAnsi="Calibri" w:eastAsia="Calibri" w:cs="Calibri"/>
                <w:b w:val="0"/>
                <w:bCs w:val="0"/>
                <w:i w:val="0"/>
                <w:iCs w:val="0"/>
                <w:color w:val="000000"/>
                <w:sz w:val="19"/>
                <w:szCs w:val="19"/>
              </w:rPr>
              <w:t>RAG</w:t>
            </w:r>
            <w:r>
              <w:rPr>
                <w:rFonts w:hint="default" w:cs="Calibri"/>
                <w:b w:val="0"/>
                <w:bCs w:val="0"/>
                <w:i w:val="0"/>
                <w:iCs w:val="0"/>
                <w:color w:val="000000"/>
                <w:sz w:val="19"/>
                <w:szCs w:val="19"/>
                <w:lang w:val="en-US"/>
              </w:rPr>
              <w:t>, because of</w:t>
            </w:r>
            <w:r>
              <w:rPr>
                <w:rFonts w:ascii="Calibri" w:hAnsi="Calibri" w:eastAsia="Calibri" w:cs="Calibri"/>
                <w:b w:val="0"/>
                <w:bCs w:val="0"/>
                <w:i w:val="0"/>
                <w:iCs w:val="0"/>
                <w:color w:val="000000"/>
                <w:sz w:val="19"/>
                <w:szCs w:val="19"/>
              </w:rPr>
              <w:t xml:space="preserve"> no document corpus; the facts are structured numerics, so retrieval adds a vector store and latency for no information gain. Agent</w:t>
            </w:r>
            <w:r>
              <w:rPr>
                <w:rFonts w:hint="default" w:cs="Calibri"/>
                <w:b w:val="0"/>
                <w:bCs w:val="0"/>
                <w:i w:val="0"/>
                <w:iCs w:val="0"/>
                <w:color w:val="000000"/>
                <w:sz w:val="19"/>
                <w:szCs w:val="19"/>
                <w:lang w:val="en-US"/>
              </w:rPr>
              <w:t xml:space="preserve">, because </w:t>
            </w:r>
            <w:r>
              <w:rPr>
                <w:rFonts w:ascii="Calibri" w:hAnsi="Calibri" w:eastAsia="Calibri" w:cs="Calibri"/>
                <w:b w:val="0"/>
                <w:bCs w:val="0"/>
                <w:i w:val="0"/>
                <w:iCs w:val="0"/>
                <w:color w:val="000000"/>
                <w:sz w:val="19"/>
                <w:szCs w:val="19"/>
              </w:rPr>
              <w:t>the task is single-shot (history → predict → gate → arithmetic → one sentence)</w:t>
            </w:r>
            <w:r>
              <w:rPr>
                <w:rFonts w:hint="default" w:cs="Calibri"/>
                <w:b w:val="0"/>
                <w:bCs w:val="0"/>
                <w:i w:val="0"/>
                <w:iCs w:val="0"/>
                <w:color w:val="000000"/>
                <w:sz w:val="19"/>
                <w:szCs w:val="19"/>
                <w:lang w:val="en-US"/>
              </w:rPr>
              <w:t xml:space="preserve">; a multi-step loop would </w:t>
            </w:r>
            <w:r>
              <w:rPr>
                <w:rFonts w:ascii="Calibri" w:hAnsi="Calibri" w:eastAsia="Calibri" w:cs="Calibri"/>
                <w:b w:val="0"/>
                <w:bCs w:val="0"/>
                <w:i w:val="0"/>
                <w:iCs w:val="0"/>
                <w:color w:val="000000"/>
                <w:sz w:val="19"/>
                <w:szCs w:val="19"/>
              </w:rPr>
              <w:t>add failure modes and buy nothing here</w:t>
            </w:r>
            <w:r>
              <w:rPr>
                <w:rFonts w:hint="default" w:ascii="Calibri" w:hAnsi="Calibri" w:eastAsia="Calibri" w:cs="Calibri"/>
                <w:b w:val="0"/>
                <w:bCs w:val="0"/>
                <w:i w:val="0"/>
                <w:iCs w:val="0"/>
                <w:color w:val="000000"/>
                <w:sz w:val="19"/>
                <w:szCs w:val="19"/>
                <w:lang w:val="en-US"/>
              </w:rPr>
              <w:t>.</w:t>
            </w:r>
          </w:p>
          <w:p w14:paraId="3EC1BD55">
            <w:pPr>
              <w:rPr>
                <w:rFonts w:hint="default" w:ascii="Calibri" w:hAnsi="Calibri" w:eastAsia="Calibri" w:cs="Calibri"/>
                <w:b w:val="0"/>
                <w:bCs w:val="0"/>
                <w:i w:val="0"/>
                <w:iCs w:val="0"/>
                <w:color w:val="000000"/>
                <w:sz w:val="19"/>
                <w:szCs w:val="19"/>
                <w:lang w:val="en-US"/>
              </w:rPr>
            </w:pPr>
          </w:p>
          <w:p w14:paraId="471CA376">
            <w:pPr>
              <w:rPr>
                <w:rFonts w:hint="default" w:ascii="Calibri" w:hAnsi="Calibri" w:eastAsia="Calibri" w:cs="Calibri"/>
                <w:b w:val="0"/>
                <w:bCs w:val="0"/>
                <w:i w:val="0"/>
                <w:iCs w:val="0"/>
                <w:color w:val="000000"/>
                <w:sz w:val="19"/>
                <w:szCs w:val="19"/>
                <w:lang w:val="en-US"/>
              </w:rPr>
            </w:pP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325"/>
              <w:gridCol w:w="2066"/>
              <w:gridCol w:w="4909"/>
            </w:tblGrid>
            <w:tr w14:paraId="1F9FC7B3">
              <w:trPr>
                <w:cantSplit/>
                <w:tblHeader/>
              </w:trPr>
              <w:tc>
                <w:tcPr>
                  <w:tcW w:w="2325" w:type="dxa"/>
                  <w:shd w:val="clear" w:color="auto" w:fill="F2F2F2"/>
                  <w:tcMar>
                    <w:top w:w="50" w:type="dxa"/>
                    <w:left w:w="90" w:type="dxa"/>
                    <w:bottom w:w="50" w:type="dxa"/>
                    <w:right w:w="90" w:type="dxa"/>
                  </w:tcMar>
                </w:tcPr>
                <w:p w14:paraId="24DE0ED5">
                  <w:pPr>
                    <w:spacing w:before="10" w:after="10"/>
                  </w:pPr>
                  <w:r>
                    <w:rPr>
                      <w:rFonts w:ascii="Calibri" w:hAnsi="Calibri" w:eastAsia="Calibri" w:cs="Calibri"/>
                      <w:b/>
                      <w:bCs/>
                      <w:i w:val="0"/>
                      <w:iCs w:val="0"/>
                      <w:color w:val="1F4E79"/>
                      <w:sz w:val="17"/>
                      <w:szCs w:val="17"/>
                    </w:rPr>
                    <w:t>Component</w:t>
                  </w:r>
                </w:p>
              </w:tc>
              <w:tc>
                <w:tcPr>
                  <w:tcW w:w="2066" w:type="dxa"/>
                  <w:shd w:val="clear" w:color="auto" w:fill="F2F2F2"/>
                  <w:tcMar>
                    <w:top w:w="50" w:type="dxa"/>
                    <w:left w:w="90" w:type="dxa"/>
                    <w:bottom w:w="50" w:type="dxa"/>
                    <w:right w:w="90" w:type="dxa"/>
                  </w:tcMar>
                </w:tcPr>
                <w:p w14:paraId="5C5BF558">
                  <w:pPr>
                    <w:spacing w:before="10" w:after="10"/>
                  </w:pPr>
                  <w:r>
                    <w:rPr>
                      <w:rFonts w:ascii="Calibri" w:hAnsi="Calibri" w:eastAsia="Calibri" w:cs="Calibri"/>
                      <w:b/>
                      <w:bCs/>
                      <w:i w:val="0"/>
                      <w:iCs w:val="0"/>
                      <w:color w:val="1F4E79"/>
                      <w:sz w:val="17"/>
                      <w:szCs w:val="17"/>
                    </w:rPr>
                    <w:t>Choice</w:t>
                  </w:r>
                </w:p>
              </w:tc>
              <w:tc>
                <w:tcPr>
                  <w:tcW w:w="4909" w:type="dxa"/>
                  <w:shd w:val="clear" w:color="auto" w:fill="F2F2F2"/>
                  <w:tcMar>
                    <w:top w:w="50" w:type="dxa"/>
                    <w:left w:w="90" w:type="dxa"/>
                    <w:bottom w:w="50" w:type="dxa"/>
                    <w:right w:w="90" w:type="dxa"/>
                  </w:tcMar>
                </w:tcPr>
                <w:p w14:paraId="3D945575">
                  <w:pPr>
                    <w:spacing w:before="10" w:after="10"/>
                  </w:pPr>
                  <w:r>
                    <w:rPr>
                      <w:rFonts w:ascii="Calibri" w:hAnsi="Calibri" w:eastAsia="Calibri" w:cs="Calibri"/>
                      <w:b/>
                      <w:bCs/>
                      <w:i w:val="0"/>
                      <w:iCs w:val="0"/>
                      <w:color w:val="1F4E79"/>
                      <w:sz w:val="17"/>
                      <w:szCs w:val="17"/>
                    </w:rPr>
                    <w:t>Why not the alternative</w:t>
                  </w:r>
                </w:p>
              </w:tc>
            </w:tr>
            <w:tr w14:paraId="6077B01B">
              <w:trPr>
                <w:cantSplit/>
              </w:trPr>
              <w:tc>
                <w:tcPr>
                  <w:tcW w:w="2325" w:type="dxa"/>
                  <w:tcMar>
                    <w:top w:w="50" w:type="dxa"/>
                    <w:left w:w="90" w:type="dxa"/>
                    <w:bottom w:w="50" w:type="dxa"/>
                    <w:right w:w="90" w:type="dxa"/>
                  </w:tcMar>
                </w:tcPr>
                <w:p w14:paraId="461E93E9">
                  <w:pPr>
                    <w:spacing w:before="10" w:after="10"/>
                  </w:pPr>
                  <w:r>
                    <w:rPr>
                      <w:rFonts w:ascii="Calibri" w:hAnsi="Calibri" w:eastAsia="Calibri" w:cs="Calibri"/>
                      <w:b w:val="0"/>
                      <w:bCs w:val="0"/>
                      <w:i w:val="0"/>
                      <w:iCs w:val="0"/>
                      <w:color w:val="000000"/>
                      <w:sz w:val="17"/>
                      <w:szCs w:val="17"/>
                    </w:rPr>
                    <w:t>Next-day demand</w:t>
                  </w:r>
                </w:p>
              </w:tc>
              <w:tc>
                <w:tcPr>
                  <w:tcW w:w="2066" w:type="dxa"/>
                  <w:tcMar>
                    <w:top w:w="50" w:type="dxa"/>
                    <w:left w:w="90" w:type="dxa"/>
                    <w:bottom w:w="50" w:type="dxa"/>
                    <w:right w:w="90" w:type="dxa"/>
                  </w:tcMar>
                </w:tcPr>
                <w:p w14:paraId="7E5885EA">
                  <w:pPr>
                    <w:spacing w:before="10" w:after="10"/>
                  </w:pPr>
                  <w:r>
                    <w:rPr>
                      <w:rFonts w:ascii="Calibri" w:hAnsi="Calibri" w:eastAsia="Calibri" w:cs="Calibri"/>
                      <w:b w:val="0"/>
                      <w:bCs w:val="0"/>
                      <w:i w:val="0"/>
                      <w:iCs w:val="0"/>
                      <w:color w:val="000000"/>
                      <w:sz w:val="17"/>
                      <w:szCs w:val="17"/>
                    </w:rPr>
                    <w:t>Narrow ML — sklearn quantile GBR</w:t>
                  </w:r>
                </w:p>
              </w:tc>
              <w:tc>
                <w:tcPr>
                  <w:tcW w:w="4909" w:type="dxa"/>
                  <w:tcMar>
                    <w:top w:w="50" w:type="dxa"/>
                    <w:left w:w="90" w:type="dxa"/>
                    <w:bottom w:w="50" w:type="dxa"/>
                    <w:right w:w="90" w:type="dxa"/>
                  </w:tcMar>
                </w:tcPr>
                <w:p w14:paraId="2F1307B2">
                  <w:pPr>
                    <w:spacing w:before="10" w:after="10"/>
                  </w:pPr>
                  <w:r>
                    <w:rPr>
                      <w:rFonts w:ascii="Calibri" w:hAnsi="Calibri" w:eastAsia="Calibri" w:cs="Calibri"/>
                      <w:b w:val="0"/>
                      <w:bCs w:val="0"/>
                      <w:i w:val="0"/>
                      <w:iCs w:val="0"/>
                      <w:color w:val="000000"/>
                      <w:sz w:val="17"/>
                      <w:szCs w:val="17"/>
                    </w:rPr>
                    <w:t>An LLM gives no calibrated interval over a number, and the interval is the product here. Also non-deterministic: same input, different number.</w:t>
                  </w:r>
                </w:p>
              </w:tc>
            </w:tr>
            <w:tr w14:paraId="3A0CFC5C">
              <w:trPr>
                <w:cantSplit/>
              </w:trPr>
              <w:tc>
                <w:tcPr>
                  <w:tcW w:w="2325" w:type="dxa"/>
                  <w:tcMar>
                    <w:top w:w="50" w:type="dxa"/>
                    <w:left w:w="90" w:type="dxa"/>
                    <w:bottom w:w="50" w:type="dxa"/>
                    <w:right w:w="90" w:type="dxa"/>
                  </w:tcMar>
                </w:tcPr>
                <w:p w14:paraId="66A6A27A">
                  <w:pPr>
                    <w:spacing w:before="10" w:after="10"/>
                  </w:pPr>
                  <w:r>
                    <w:rPr>
                      <w:rFonts w:ascii="Calibri" w:hAnsi="Calibri" w:eastAsia="Calibri" w:cs="Calibri"/>
                      <w:b w:val="0"/>
                      <w:bCs w:val="0"/>
                      <w:i w:val="0"/>
                      <w:iCs w:val="0"/>
                      <w:color w:val="000000"/>
                      <w:sz w:val="17"/>
                      <w:szCs w:val="17"/>
                    </w:rPr>
                    <w:t>Order arithmetic</w:t>
                  </w:r>
                </w:p>
              </w:tc>
              <w:tc>
                <w:tcPr>
                  <w:tcW w:w="2066" w:type="dxa"/>
                  <w:tcMar>
                    <w:top w:w="50" w:type="dxa"/>
                    <w:left w:w="90" w:type="dxa"/>
                    <w:bottom w:w="50" w:type="dxa"/>
                    <w:right w:w="90" w:type="dxa"/>
                  </w:tcMar>
                </w:tcPr>
                <w:p w14:paraId="1612C286">
                  <w:pPr>
                    <w:spacing w:before="10" w:after="10"/>
                  </w:pPr>
                  <w:r>
                    <w:rPr>
                      <w:rFonts w:ascii="Calibri" w:hAnsi="Calibri" w:eastAsia="Calibri" w:cs="Calibri"/>
                      <w:b w:val="0"/>
                      <w:bCs w:val="0"/>
                      <w:i w:val="0"/>
                      <w:iCs w:val="0"/>
                      <w:color w:val="000000"/>
                      <w:sz w:val="17"/>
                      <w:szCs w:val="17"/>
                    </w:rPr>
                    <w:t>Deterministic Python</w:t>
                  </w:r>
                </w:p>
              </w:tc>
              <w:tc>
                <w:tcPr>
                  <w:tcW w:w="4909" w:type="dxa"/>
                  <w:tcMar>
                    <w:top w:w="50" w:type="dxa"/>
                    <w:left w:w="90" w:type="dxa"/>
                    <w:bottom w:w="50" w:type="dxa"/>
                    <w:right w:w="90" w:type="dxa"/>
                  </w:tcMar>
                </w:tcPr>
                <w:p w14:paraId="0B246149">
                  <w:pPr>
                    <w:spacing w:before="10" w:after="10"/>
                  </w:pPr>
                  <w:r>
                    <w:rPr>
                      <w:rFonts w:ascii="Calibri" w:hAnsi="Calibri" w:eastAsia="Calibri" w:cs="Calibri"/>
                      <w:b w:val="0"/>
                      <w:bCs w:val="0"/>
                      <w:i w:val="0"/>
                      <w:iCs w:val="0"/>
                      <w:color w:val="000000"/>
                      <w:sz w:val="17"/>
                      <w:szCs w:val="17"/>
                    </w:rPr>
                    <w:t>Unit-testable and replayable. An error here is a direct cash error.</w:t>
                  </w:r>
                </w:p>
              </w:tc>
            </w:tr>
            <w:tr w14:paraId="3F35EA69">
              <w:trPr>
                <w:cantSplit/>
              </w:trPr>
              <w:tc>
                <w:tcPr>
                  <w:tcW w:w="2325" w:type="dxa"/>
                  <w:tcMar>
                    <w:top w:w="50" w:type="dxa"/>
                    <w:left w:w="90" w:type="dxa"/>
                    <w:bottom w:w="50" w:type="dxa"/>
                    <w:right w:w="90" w:type="dxa"/>
                  </w:tcMar>
                </w:tcPr>
                <w:p w14:paraId="4B6269D4">
                  <w:pPr>
                    <w:spacing w:before="10" w:after="10"/>
                  </w:pPr>
                  <w:r>
                    <w:rPr>
                      <w:rFonts w:ascii="Calibri" w:hAnsi="Calibri" w:eastAsia="Calibri" w:cs="Calibri"/>
                      <w:b w:val="0"/>
                      <w:bCs w:val="0"/>
                      <w:i w:val="0"/>
                      <w:iCs w:val="0"/>
                      <w:color w:val="000000"/>
                      <w:sz w:val="17"/>
                      <w:szCs w:val="17"/>
                    </w:rPr>
                    <w:t>Abstention gate</w:t>
                  </w:r>
                </w:p>
              </w:tc>
              <w:tc>
                <w:tcPr>
                  <w:tcW w:w="2066" w:type="dxa"/>
                  <w:tcMar>
                    <w:top w:w="50" w:type="dxa"/>
                    <w:left w:w="90" w:type="dxa"/>
                    <w:bottom w:w="50" w:type="dxa"/>
                    <w:right w:w="90" w:type="dxa"/>
                  </w:tcMar>
                </w:tcPr>
                <w:p w14:paraId="15E7380D">
                  <w:pPr>
                    <w:spacing w:before="10" w:after="10"/>
                  </w:pPr>
                  <w:r>
                    <w:rPr>
                      <w:rFonts w:ascii="Calibri" w:hAnsi="Calibri" w:eastAsia="Calibri" w:cs="Calibri"/>
                      <w:b w:val="0"/>
                      <w:bCs w:val="0"/>
                      <w:i w:val="0"/>
                      <w:iCs w:val="0"/>
                      <w:color w:val="000000"/>
                      <w:sz w:val="17"/>
                      <w:szCs w:val="17"/>
                    </w:rPr>
                    <w:t>Deterministic threshold on the interval</w:t>
                  </w:r>
                </w:p>
              </w:tc>
              <w:tc>
                <w:tcPr>
                  <w:tcW w:w="4909" w:type="dxa"/>
                  <w:tcMar>
                    <w:top w:w="50" w:type="dxa"/>
                    <w:left w:w="90" w:type="dxa"/>
                    <w:bottom w:w="50" w:type="dxa"/>
                    <w:right w:w="90" w:type="dxa"/>
                  </w:tcMar>
                </w:tcPr>
                <w:p w14:paraId="008C8E5F">
                  <w:pPr>
                    <w:spacing w:before="10" w:after="10"/>
                  </w:pPr>
                  <w:r>
                    <w:rPr>
                      <w:rFonts w:ascii="Calibri" w:hAnsi="Calibri" w:eastAsia="Calibri" w:cs="Calibri"/>
                      <w:b w:val="0"/>
                      <w:bCs w:val="0"/>
                      <w:i w:val="0"/>
                      <w:iCs w:val="0"/>
                      <w:color w:val="000000"/>
                      <w:sz w:val="17"/>
                      <w:szCs w:val="17"/>
                    </w:rPr>
                    <w:t>Self-reported LLM confidence is unvalidated. The gate must be a number I can move and re-measure.</w:t>
                  </w:r>
                </w:p>
              </w:tc>
            </w:tr>
            <w:tr w14:paraId="38B3BC24">
              <w:trPr>
                <w:cantSplit/>
              </w:trPr>
              <w:tc>
                <w:tcPr>
                  <w:tcW w:w="2325" w:type="dxa"/>
                  <w:tcMar>
                    <w:top w:w="50" w:type="dxa"/>
                    <w:left w:w="90" w:type="dxa"/>
                    <w:bottom w:w="50" w:type="dxa"/>
                    <w:right w:w="90" w:type="dxa"/>
                  </w:tcMar>
                </w:tcPr>
                <w:p w14:paraId="6A674A9F">
                  <w:pPr>
                    <w:spacing w:before="10" w:after="10"/>
                  </w:pPr>
                  <w:r>
                    <w:rPr>
                      <w:rFonts w:ascii="Calibri" w:hAnsi="Calibri" w:eastAsia="Calibri" w:cs="Calibri"/>
                      <w:b w:val="0"/>
                      <w:bCs w:val="0"/>
                      <w:i w:val="0"/>
                      <w:iCs w:val="0"/>
                      <w:color w:val="000000"/>
                      <w:sz w:val="17"/>
                      <w:szCs w:val="17"/>
                    </w:rPr>
                    <w:t>Explanation + abstention wording</w:t>
                  </w:r>
                </w:p>
              </w:tc>
              <w:tc>
                <w:tcPr>
                  <w:tcW w:w="2066" w:type="dxa"/>
                  <w:tcMar>
                    <w:top w:w="50" w:type="dxa"/>
                    <w:left w:w="90" w:type="dxa"/>
                    <w:bottom w:w="50" w:type="dxa"/>
                    <w:right w:w="90" w:type="dxa"/>
                  </w:tcMar>
                </w:tcPr>
                <w:p w14:paraId="4FDA012D">
                  <w:pPr>
                    <w:spacing w:before="10" w:after="10"/>
                  </w:pPr>
                  <w:r>
                    <w:rPr>
                      <w:rFonts w:ascii="Calibri" w:hAnsi="Calibri" w:eastAsia="Calibri" w:cs="Calibri"/>
                      <w:b w:val="0"/>
                      <w:bCs w:val="0"/>
                      <w:i w:val="0"/>
                      <w:iCs w:val="0"/>
                      <w:color w:val="000000"/>
                      <w:sz w:val="17"/>
                      <w:szCs w:val="17"/>
                    </w:rPr>
                    <w:t>Rented gpt-4o-mini</w:t>
                  </w:r>
                </w:p>
              </w:tc>
              <w:tc>
                <w:tcPr>
                  <w:tcW w:w="4909" w:type="dxa"/>
                  <w:tcMar>
                    <w:top w:w="50" w:type="dxa"/>
                    <w:left w:w="90" w:type="dxa"/>
                    <w:bottom w:w="50" w:type="dxa"/>
                    <w:right w:w="90" w:type="dxa"/>
                  </w:tcMar>
                </w:tcPr>
                <w:p w14:paraId="736978CE">
                  <w:pPr>
                    <w:spacing w:before="10" w:after="10"/>
                  </w:pPr>
                  <w:r>
                    <w:rPr>
                      <w:rFonts w:ascii="Calibri" w:hAnsi="Calibri" w:eastAsia="Calibri" w:cs="Calibri"/>
                      <w:b w:val="0"/>
                      <w:bCs w:val="0"/>
                      <w:i w:val="0"/>
                      <w:iCs w:val="0"/>
                      <w:color w:val="000000"/>
                      <w:sz w:val="17"/>
                      <w:szCs w:val="17"/>
                    </w:rPr>
                    <w:t>Generation over a fixed fact block. No number originates here, so a wrong word costs nothing.</w:t>
                  </w:r>
                </w:p>
              </w:tc>
            </w:tr>
          </w:tbl>
          <w:p w14:paraId="054BB09A"/>
        </w:tc>
      </w:tr>
    </w:tbl>
    <w:p w14:paraId="21CC8758">
      <w:pPr>
        <w:spacing w:before="170" w:after="20"/>
      </w:pPr>
      <w:r>
        <w:rPr>
          <w:b/>
          <w:bCs/>
          <w:color w:val="1F3864"/>
          <w:sz w:val="21"/>
          <w:szCs w:val="21"/>
        </w:rPr>
        <w:t>5 · Proposed approach — build vs buy or both!</w:t>
      </w:r>
    </w:p>
    <w:p w14:paraId="3E711149">
      <w:pPr>
        <w:spacing w:after="40"/>
      </w:pPr>
      <w:r>
        <w:rPr>
          <w:i/>
          <w:iCs/>
          <w:color w:val="595959"/>
          <w:sz w:val="16"/>
          <w:szCs w:val="16"/>
        </w:rPr>
        <w:t>What will you build (low-code and/or code)? Which layers will you own vs rent, and why? (Rubric 2, ILO 3)</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BDE0A5A">
        <w:tc>
          <w:tcPr>
            <w:tcW w:w="9026" w:type="dxa"/>
            <w:shd w:val="clear" w:color="auto" w:fill="FAFBFD"/>
            <w:tcMar>
              <w:top w:w="60" w:type="dxa"/>
              <w:left w:w="120" w:type="dxa"/>
              <w:bottom w:w="60" w:type="dxa"/>
              <w:right w:w="120" w:type="dxa"/>
            </w:tcMar>
          </w:tcPr>
          <w:p w14:paraId="2EA40BCC">
            <w:pPr>
              <w:spacing w:before="10" w:after="10"/>
              <w:rPr>
                <w:rFonts w:ascii="Calibri" w:hAnsi="Calibri" w:eastAsia="Calibri" w:cs="Calibri"/>
                <w:b/>
                <w:bCs/>
                <w:i w:val="0"/>
                <w:iCs w:val="0"/>
                <w:color w:val="1F4E79"/>
                <w:sz w:val="17"/>
                <w:szCs w:val="17"/>
              </w:rPr>
            </w:pP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2046"/>
              <w:gridCol w:w="1209"/>
              <w:gridCol w:w="2790"/>
              <w:gridCol w:w="3255"/>
            </w:tblGrid>
            <w:tr w14:paraId="1345AC74">
              <w:trPr>
                <w:cantSplit/>
                <w:tblHeader/>
              </w:trPr>
              <w:tc>
                <w:tcPr>
                  <w:tcW w:w="2046" w:type="dxa"/>
                  <w:shd w:val="clear" w:color="auto" w:fill="F2F2F2"/>
                  <w:tcMar>
                    <w:top w:w="50" w:type="dxa"/>
                    <w:left w:w="90" w:type="dxa"/>
                    <w:bottom w:w="50" w:type="dxa"/>
                    <w:right w:w="90" w:type="dxa"/>
                  </w:tcMar>
                </w:tcPr>
                <w:p w14:paraId="1EC3B359">
                  <w:pPr>
                    <w:spacing w:before="10" w:after="10"/>
                  </w:pPr>
                  <w:r>
                    <w:rPr>
                      <w:rFonts w:ascii="Calibri" w:hAnsi="Calibri" w:eastAsia="Calibri" w:cs="Calibri"/>
                      <w:b/>
                      <w:bCs/>
                      <w:i w:val="0"/>
                      <w:iCs w:val="0"/>
                      <w:color w:val="1F4E79"/>
                      <w:sz w:val="17"/>
                      <w:szCs w:val="17"/>
                    </w:rPr>
                    <w:t>Layer</w:t>
                  </w:r>
                </w:p>
              </w:tc>
              <w:tc>
                <w:tcPr>
                  <w:tcW w:w="1209" w:type="dxa"/>
                  <w:shd w:val="clear" w:color="auto" w:fill="F2F2F2"/>
                  <w:tcMar>
                    <w:top w:w="50" w:type="dxa"/>
                    <w:left w:w="90" w:type="dxa"/>
                    <w:bottom w:w="50" w:type="dxa"/>
                    <w:right w:w="90" w:type="dxa"/>
                  </w:tcMar>
                </w:tcPr>
                <w:p w14:paraId="7D088B43">
                  <w:pPr>
                    <w:spacing w:before="10" w:after="10"/>
                  </w:pPr>
                  <w:r>
                    <w:rPr>
                      <w:rFonts w:ascii="Calibri" w:hAnsi="Calibri" w:eastAsia="Calibri" w:cs="Calibri"/>
                      <w:b/>
                      <w:bCs/>
                      <w:i w:val="0"/>
                      <w:iCs w:val="0"/>
                      <w:color w:val="1F4E79"/>
                      <w:sz w:val="17"/>
                      <w:szCs w:val="17"/>
                    </w:rPr>
                    <w:t>Own / Rent</w:t>
                  </w:r>
                </w:p>
              </w:tc>
              <w:tc>
                <w:tcPr>
                  <w:tcW w:w="2790" w:type="dxa"/>
                  <w:shd w:val="clear" w:color="auto" w:fill="F2F2F2"/>
                  <w:tcMar>
                    <w:top w:w="50" w:type="dxa"/>
                    <w:left w:w="90" w:type="dxa"/>
                    <w:bottom w:w="50" w:type="dxa"/>
                    <w:right w:w="90" w:type="dxa"/>
                  </w:tcMar>
                </w:tcPr>
                <w:p w14:paraId="379BBA69">
                  <w:pPr>
                    <w:spacing w:before="10" w:after="10"/>
                  </w:pPr>
                  <w:r>
                    <w:rPr>
                      <w:rFonts w:ascii="Calibri" w:hAnsi="Calibri" w:eastAsia="Calibri" w:cs="Calibri"/>
                      <w:b/>
                      <w:bCs/>
                      <w:i w:val="0"/>
                      <w:iCs w:val="0"/>
                      <w:color w:val="1F4E79"/>
                      <w:sz w:val="17"/>
                      <w:szCs w:val="17"/>
                    </w:rPr>
                    <w:t>The named thing</w:t>
                  </w:r>
                </w:p>
              </w:tc>
              <w:tc>
                <w:tcPr>
                  <w:tcW w:w="3255" w:type="dxa"/>
                  <w:shd w:val="clear" w:color="auto" w:fill="F2F2F2"/>
                  <w:tcMar>
                    <w:top w:w="50" w:type="dxa"/>
                    <w:left w:w="90" w:type="dxa"/>
                    <w:bottom w:w="50" w:type="dxa"/>
                    <w:right w:w="90" w:type="dxa"/>
                  </w:tcMar>
                </w:tcPr>
                <w:p w14:paraId="5BCC983C">
                  <w:pPr>
                    <w:spacing w:before="10" w:after="10"/>
                  </w:pPr>
                  <w:r>
                    <w:rPr>
                      <w:rFonts w:ascii="Calibri" w:hAnsi="Calibri" w:eastAsia="Calibri" w:cs="Calibri"/>
                      <w:b/>
                      <w:bCs/>
                      <w:i w:val="0"/>
                      <w:iCs w:val="0"/>
                      <w:color w:val="1F4E79"/>
                      <w:sz w:val="17"/>
                      <w:szCs w:val="17"/>
                    </w:rPr>
                    <w:t>Reason</w:t>
                  </w:r>
                </w:p>
              </w:tc>
            </w:tr>
            <w:tr w14:paraId="5C8EA1A6">
              <w:trPr>
                <w:cantSplit/>
              </w:trPr>
              <w:tc>
                <w:tcPr>
                  <w:tcW w:w="2046" w:type="dxa"/>
                  <w:tcMar>
                    <w:top w:w="50" w:type="dxa"/>
                    <w:left w:w="90" w:type="dxa"/>
                    <w:bottom w:w="50" w:type="dxa"/>
                    <w:right w:w="90" w:type="dxa"/>
                  </w:tcMar>
                </w:tcPr>
                <w:p w14:paraId="75E30F0C">
                  <w:pPr>
                    <w:spacing w:before="10" w:after="10"/>
                  </w:pPr>
                  <w:r>
                    <w:rPr>
                      <w:rFonts w:ascii="Calibri" w:hAnsi="Calibri" w:eastAsia="Calibri" w:cs="Calibri"/>
                      <w:b w:val="0"/>
                      <w:bCs w:val="0"/>
                      <w:i w:val="0"/>
                      <w:iCs w:val="0"/>
                      <w:color w:val="000000"/>
                      <w:sz w:val="17"/>
                      <w:szCs w:val="17"/>
                    </w:rPr>
                    <w:t>Interface</w:t>
                  </w:r>
                </w:p>
              </w:tc>
              <w:tc>
                <w:tcPr>
                  <w:tcW w:w="1209" w:type="dxa"/>
                  <w:tcMar>
                    <w:top w:w="50" w:type="dxa"/>
                    <w:left w:w="90" w:type="dxa"/>
                    <w:bottom w:w="50" w:type="dxa"/>
                    <w:right w:w="90" w:type="dxa"/>
                  </w:tcMar>
                </w:tcPr>
                <w:p w14:paraId="553FCE95">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3EED399A">
                  <w:pPr>
                    <w:spacing w:before="10" w:after="10"/>
                  </w:pPr>
                  <w:r>
                    <w:rPr>
                      <w:rFonts w:ascii="Calibri" w:hAnsi="Calibri" w:eastAsia="Calibri" w:cs="Calibri"/>
                      <w:b w:val="0"/>
                      <w:bCs w:val="0"/>
                      <w:i w:val="0"/>
                      <w:iCs w:val="0"/>
                      <w:color w:val="000000"/>
                      <w:sz w:val="17"/>
                      <w:szCs w:val="17"/>
                    </w:rPr>
                    <w:t>Streamlit, one page</w:t>
                  </w:r>
                </w:p>
              </w:tc>
              <w:tc>
                <w:tcPr>
                  <w:tcW w:w="3255" w:type="dxa"/>
                  <w:tcMar>
                    <w:top w:w="50" w:type="dxa"/>
                    <w:left w:w="90" w:type="dxa"/>
                    <w:bottom w:w="50" w:type="dxa"/>
                    <w:right w:w="90" w:type="dxa"/>
                  </w:tcMar>
                </w:tcPr>
                <w:p w14:paraId="04144CD4">
                  <w:pPr>
                    <w:spacing w:before="10" w:after="10"/>
                  </w:pPr>
                  <w:r>
                    <w:rPr>
                      <w:rFonts w:ascii="Calibri" w:hAnsi="Calibri" w:eastAsia="Calibri" w:cs="Calibri"/>
                      <w:b w:val="0"/>
                      <w:bCs w:val="0"/>
                      <w:i w:val="0"/>
                      <w:iCs w:val="0"/>
                      <w:color w:val="000000"/>
                      <w:sz w:val="17"/>
                      <w:szCs w:val="17"/>
                    </w:rPr>
                    <w:t>The persona has 40 seconds and a phone</w:t>
                  </w:r>
                </w:p>
              </w:tc>
            </w:tr>
            <w:tr w14:paraId="42EE1C7D">
              <w:trPr>
                <w:cantSplit/>
              </w:trPr>
              <w:tc>
                <w:tcPr>
                  <w:tcW w:w="2046" w:type="dxa"/>
                  <w:tcMar>
                    <w:top w:w="50" w:type="dxa"/>
                    <w:left w:w="90" w:type="dxa"/>
                    <w:bottom w:w="50" w:type="dxa"/>
                    <w:right w:w="90" w:type="dxa"/>
                  </w:tcMar>
                </w:tcPr>
                <w:p w14:paraId="062E06B7">
                  <w:pPr>
                    <w:spacing w:before="10" w:after="10"/>
                  </w:pPr>
                  <w:r>
                    <w:rPr>
                      <w:rFonts w:ascii="Calibri" w:hAnsi="Calibri" w:eastAsia="Calibri" w:cs="Calibri"/>
                      <w:b w:val="0"/>
                      <w:bCs w:val="0"/>
                      <w:i w:val="0"/>
                      <w:iCs w:val="0"/>
                      <w:color w:val="000000"/>
                      <w:sz w:val="17"/>
                      <w:szCs w:val="17"/>
                    </w:rPr>
                    <w:t>Serving</w:t>
                  </w:r>
                </w:p>
              </w:tc>
              <w:tc>
                <w:tcPr>
                  <w:tcW w:w="1209" w:type="dxa"/>
                  <w:tcMar>
                    <w:top w:w="50" w:type="dxa"/>
                    <w:left w:w="90" w:type="dxa"/>
                    <w:bottom w:w="50" w:type="dxa"/>
                    <w:right w:w="90" w:type="dxa"/>
                  </w:tcMar>
                </w:tcPr>
                <w:p w14:paraId="7A670A08">
                  <w:pPr>
                    <w:spacing w:before="10" w:after="10"/>
                  </w:pPr>
                  <w:r>
                    <w:rPr>
                      <w:rFonts w:ascii="Calibri" w:hAnsi="Calibri" w:eastAsia="Calibri" w:cs="Calibri"/>
                      <w:b w:val="0"/>
                      <w:bCs w:val="0"/>
                      <w:i w:val="0"/>
                      <w:iCs w:val="0"/>
                      <w:color w:val="000000"/>
                      <w:sz w:val="17"/>
                      <w:szCs w:val="17"/>
                    </w:rPr>
                    <w:t>Rent</w:t>
                  </w:r>
                </w:p>
              </w:tc>
              <w:tc>
                <w:tcPr>
                  <w:tcW w:w="2790" w:type="dxa"/>
                  <w:tcMar>
                    <w:top w:w="50" w:type="dxa"/>
                    <w:left w:w="90" w:type="dxa"/>
                    <w:bottom w:w="50" w:type="dxa"/>
                    <w:right w:w="90" w:type="dxa"/>
                  </w:tcMar>
                </w:tcPr>
                <w:p w14:paraId="6A1EB5AB">
                  <w:pPr>
                    <w:spacing w:before="10" w:after="10"/>
                  </w:pPr>
                  <w:r>
                    <w:rPr>
                      <w:rFonts w:ascii="Calibri" w:hAnsi="Calibri" w:eastAsia="Calibri" w:cs="Calibri"/>
                      <w:b w:val="0"/>
                      <w:bCs w:val="0"/>
                      <w:i w:val="0"/>
                      <w:iCs w:val="0"/>
                      <w:color w:val="000000"/>
                      <w:sz w:val="17"/>
                      <w:szCs w:val="17"/>
                    </w:rPr>
                    <w:t>Fly.io shared-cpu-1x (~USD 5/mo)</w:t>
                  </w:r>
                </w:p>
              </w:tc>
              <w:tc>
                <w:tcPr>
                  <w:tcW w:w="3255" w:type="dxa"/>
                  <w:tcMar>
                    <w:top w:w="50" w:type="dxa"/>
                    <w:left w:w="90" w:type="dxa"/>
                    <w:bottom w:w="50" w:type="dxa"/>
                    <w:right w:w="90" w:type="dxa"/>
                  </w:tcMar>
                </w:tcPr>
                <w:p w14:paraId="415FB237">
                  <w:pPr>
                    <w:spacing w:before="10" w:after="10"/>
                  </w:pPr>
                  <w:r>
                    <w:rPr>
                      <w:rFonts w:ascii="Calibri" w:hAnsi="Calibri" w:eastAsia="Calibri" w:cs="Calibri"/>
                      <w:b w:val="0"/>
                      <w:bCs w:val="0"/>
                      <w:i w:val="0"/>
                      <w:iCs w:val="0"/>
                      <w:color w:val="000000"/>
                      <w:sz w:val="17"/>
                      <w:szCs w:val="17"/>
                    </w:rPr>
                    <w:t>No scale advantage in owning</w:t>
                  </w:r>
                </w:p>
              </w:tc>
            </w:tr>
            <w:tr w14:paraId="25886F06">
              <w:trPr>
                <w:cantSplit/>
              </w:trPr>
              <w:tc>
                <w:tcPr>
                  <w:tcW w:w="2046" w:type="dxa"/>
                  <w:tcMar>
                    <w:top w:w="50" w:type="dxa"/>
                    <w:left w:w="90" w:type="dxa"/>
                    <w:bottom w:w="50" w:type="dxa"/>
                    <w:right w:w="90" w:type="dxa"/>
                  </w:tcMar>
                </w:tcPr>
                <w:p w14:paraId="0C77F46D">
                  <w:pPr>
                    <w:spacing w:before="10" w:after="10"/>
                  </w:pPr>
                  <w:r>
                    <w:rPr>
                      <w:rFonts w:ascii="Calibri" w:hAnsi="Calibri" w:eastAsia="Calibri" w:cs="Calibri"/>
                      <w:b w:val="0"/>
                      <w:bCs w:val="0"/>
                      <w:i w:val="0"/>
                      <w:iCs w:val="0"/>
                      <w:color w:val="000000"/>
                      <w:sz w:val="17"/>
                      <w:szCs w:val="17"/>
                    </w:rPr>
                    <w:t>Orchestration</w:t>
                  </w:r>
                </w:p>
              </w:tc>
              <w:tc>
                <w:tcPr>
                  <w:tcW w:w="1209" w:type="dxa"/>
                  <w:tcMar>
                    <w:top w:w="50" w:type="dxa"/>
                    <w:left w:w="90" w:type="dxa"/>
                    <w:bottom w:w="50" w:type="dxa"/>
                    <w:right w:w="90" w:type="dxa"/>
                  </w:tcMar>
                </w:tcPr>
                <w:p w14:paraId="65B2F0B9">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3AB6DBE7">
                  <w:pPr>
                    <w:spacing w:before="10" w:after="10"/>
                  </w:pPr>
                  <w:r>
                    <w:rPr>
                      <w:rFonts w:ascii="Calibri" w:hAnsi="Calibri" w:eastAsia="Calibri" w:cs="Calibri"/>
                      <w:b w:val="0"/>
                      <w:bCs w:val="0"/>
                      <w:i w:val="0"/>
                      <w:iCs w:val="0"/>
                      <w:color w:val="000000"/>
                      <w:sz w:val="17"/>
                      <w:szCs w:val="17"/>
                    </w:rPr>
                    <w:t>~200 lines Python, no LangChain</w:t>
                  </w:r>
                </w:p>
              </w:tc>
              <w:tc>
                <w:tcPr>
                  <w:tcW w:w="3255" w:type="dxa"/>
                  <w:tcMar>
                    <w:top w:w="50" w:type="dxa"/>
                    <w:left w:w="90" w:type="dxa"/>
                    <w:bottom w:w="50" w:type="dxa"/>
                    <w:right w:w="90" w:type="dxa"/>
                  </w:tcMar>
                </w:tcPr>
                <w:p w14:paraId="7FA6BC73">
                  <w:pPr>
                    <w:spacing w:before="10" w:after="10"/>
                  </w:pPr>
                  <w:r>
                    <w:rPr>
                      <w:rFonts w:ascii="Calibri" w:hAnsi="Calibri" w:eastAsia="Calibri" w:cs="Calibri"/>
                      <w:b w:val="0"/>
                      <w:bCs w:val="0"/>
                      <w:i w:val="0"/>
                      <w:iCs w:val="0"/>
                      <w:color w:val="000000"/>
                      <w:sz w:val="17"/>
                      <w:szCs w:val="17"/>
                    </w:rPr>
                    <w:t>The gate is the product logic</w:t>
                  </w:r>
                </w:p>
              </w:tc>
            </w:tr>
            <w:tr w14:paraId="5BAC8E7A">
              <w:trPr>
                <w:cantSplit/>
              </w:trPr>
              <w:tc>
                <w:tcPr>
                  <w:tcW w:w="2046" w:type="dxa"/>
                  <w:tcMar>
                    <w:top w:w="50" w:type="dxa"/>
                    <w:left w:w="90" w:type="dxa"/>
                    <w:bottom w:w="50" w:type="dxa"/>
                    <w:right w:w="90" w:type="dxa"/>
                  </w:tcMar>
                </w:tcPr>
                <w:p w14:paraId="5F06AD17">
                  <w:pPr>
                    <w:spacing w:before="10" w:after="10"/>
                  </w:pPr>
                  <w:r>
                    <w:rPr>
                      <w:rFonts w:ascii="Calibri" w:hAnsi="Calibri" w:eastAsia="Calibri" w:cs="Calibri"/>
                      <w:b w:val="0"/>
                      <w:bCs w:val="0"/>
                      <w:i w:val="0"/>
                      <w:iCs w:val="0"/>
                      <w:color w:val="000000"/>
                      <w:sz w:val="17"/>
                      <w:szCs w:val="17"/>
                    </w:rPr>
                    <w:t>Model — numeric</w:t>
                  </w:r>
                </w:p>
              </w:tc>
              <w:tc>
                <w:tcPr>
                  <w:tcW w:w="1209" w:type="dxa"/>
                  <w:tcMar>
                    <w:top w:w="50" w:type="dxa"/>
                    <w:left w:w="90" w:type="dxa"/>
                    <w:bottom w:w="50" w:type="dxa"/>
                    <w:right w:w="90" w:type="dxa"/>
                  </w:tcMar>
                </w:tcPr>
                <w:p w14:paraId="13DAA021">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0953E6A3">
                  <w:pPr>
                    <w:spacing w:before="10" w:after="10"/>
                  </w:pPr>
                  <w:r>
                    <w:rPr>
                      <w:rFonts w:ascii="Calibri" w:hAnsi="Calibri" w:eastAsia="Calibri" w:cs="Calibri"/>
                      <w:b w:val="0"/>
                      <w:bCs w:val="0"/>
                      <w:i w:val="0"/>
                      <w:iCs w:val="0"/>
                      <w:color w:val="000000"/>
                      <w:sz w:val="17"/>
                      <w:szCs w:val="17"/>
                    </w:rPr>
                    <w:t>scikit-learn</w:t>
                  </w:r>
                  <w:r>
                    <w:rPr>
                      <w:rFonts w:hint="default" w:cs="Calibri"/>
                      <w:b w:val="0"/>
                      <w:bCs w:val="0"/>
                      <w:i w:val="0"/>
                      <w:iCs w:val="0"/>
                      <w:color w:val="000000"/>
                      <w:sz w:val="17"/>
                      <w:szCs w:val="17"/>
                      <w:lang w:val="en-US"/>
                    </w:rPr>
                    <w:t>,</w:t>
                  </w:r>
                  <w:r>
                    <w:rPr>
                      <w:rFonts w:ascii="Calibri" w:hAnsi="Calibri" w:eastAsia="Calibri" w:cs="Calibri"/>
                      <w:b w:val="0"/>
                      <w:bCs w:val="0"/>
                      <w:i w:val="0"/>
                      <w:iCs w:val="0"/>
                      <w:color w:val="000000"/>
                      <w:sz w:val="17"/>
                      <w:szCs w:val="17"/>
                    </w:rPr>
                    <w:t xml:space="preserve"> GradientBoostingRegressor, quantile loss</w:t>
                  </w:r>
                </w:p>
              </w:tc>
              <w:tc>
                <w:tcPr>
                  <w:tcW w:w="3255" w:type="dxa"/>
                  <w:tcMar>
                    <w:top w:w="50" w:type="dxa"/>
                    <w:left w:w="90" w:type="dxa"/>
                    <w:bottom w:w="50" w:type="dxa"/>
                    <w:right w:w="90" w:type="dxa"/>
                  </w:tcMar>
                </w:tcPr>
                <w:p w14:paraId="2C1568B0">
                  <w:pPr>
                    <w:spacing w:before="10" w:after="10"/>
                  </w:pPr>
                  <w:r>
                    <w:rPr>
                      <w:rFonts w:ascii="Calibri" w:hAnsi="Calibri" w:eastAsia="Calibri" w:cs="Calibri"/>
                      <w:b w:val="0"/>
                      <w:bCs w:val="0"/>
                      <w:i w:val="0"/>
                      <w:iCs w:val="0"/>
                      <w:color w:val="000000"/>
                      <w:sz w:val="17"/>
                      <w:szCs w:val="17"/>
                    </w:rPr>
                    <w:t>No vendor sells an interval I can inspect and re-threshold</w:t>
                  </w:r>
                </w:p>
              </w:tc>
            </w:tr>
            <w:tr w14:paraId="71D90060">
              <w:trPr>
                <w:cantSplit/>
              </w:trPr>
              <w:tc>
                <w:tcPr>
                  <w:tcW w:w="2046" w:type="dxa"/>
                  <w:tcMar>
                    <w:top w:w="50" w:type="dxa"/>
                    <w:left w:w="90" w:type="dxa"/>
                    <w:bottom w:w="50" w:type="dxa"/>
                    <w:right w:w="90" w:type="dxa"/>
                  </w:tcMar>
                </w:tcPr>
                <w:p w14:paraId="01AA5B65">
                  <w:pPr>
                    <w:spacing w:before="10" w:after="10"/>
                  </w:pPr>
                  <w:r>
                    <w:rPr>
                      <w:rFonts w:ascii="Calibri" w:hAnsi="Calibri" w:eastAsia="Calibri" w:cs="Calibri"/>
                      <w:b w:val="0"/>
                      <w:bCs w:val="0"/>
                      <w:i w:val="0"/>
                      <w:iCs w:val="0"/>
                      <w:color w:val="000000"/>
                      <w:sz w:val="17"/>
                      <w:szCs w:val="17"/>
                    </w:rPr>
                    <w:t>Model — language</w:t>
                  </w:r>
                </w:p>
              </w:tc>
              <w:tc>
                <w:tcPr>
                  <w:tcW w:w="1209" w:type="dxa"/>
                  <w:tcMar>
                    <w:top w:w="50" w:type="dxa"/>
                    <w:left w:w="90" w:type="dxa"/>
                    <w:bottom w:w="50" w:type="dxa"/>
                    <w:right w:w="90" w:type="dxa"/>
                  </w:tcMar>
                </w:tcPr>
                <w:p w14:paraId="4EC44AE7">
                  <w:pPr>
                    <w:spacing w:before="10" w:after="10"/>
                  </w:pPr>
                  <w:r>
                    <w:rPr>
                      <w:rFonts w:ascii="Calibri" w:hAnsi="Calibri" w:eastAsia="Calibri" w:cs="Calibri"/>
                      <w:b w:val="0"/>
                      <w:bCs w:val="0"/>
                      <w:i w:val="0"/>
                      <w:iCs w:val="0"/>
                      <w:color w:val="000000"/>
                      <w:sz w:val="17"/>
                      <w:szCs w:val="17"/>
                    </w:rPr>
                    <w:t>Rent</w:t>
                  </w:r>
                </w:p>
              </w:tc>
              <w:tc>
                <w:tcPr>
                  <w:tcW w:w="2790" w:type="dxa"/>
                  <w:tcMar>
                    <w:top w:w="50" w:type="dxa"/>
                    <w:left w:w="90" w:type="dxa"/>
                    <w:bottom w:w="50" w:type="dxa"/>
                    <w:right w:w="90" w:type="dxa"/>
                  </w:tcMar>
                </w:tcPr>
                <w:p w14:paraId="5561754A">
                  <w:pPr>
                    <w:spacing w:before="10" w:after="10"/>
                  </w:pPr>
                  <w:r>
                    <w:rPr>
                      <w:rFonts w:ascii="Calibri" w:hAnsi="Calibri" w:eastAsia="Calibri" w:cs="Calibri"/>
                      <w:b w:val="0"/>
                      <w:bCs w:val="0"/>
                      <w:i w:val="0"/>
                      <w:iCs w:val="0"/>
                      <w:color w:val="000000"/>
                      <w:sz w:val="17"/>
                      <w:szCs w:val="17"/>
                    </w:rPr>
                    <w:t>openai/gpt-4o-mini via OpenRouter</w:t>
                  </w:r>
                </w:p>
              </w:tc>
              <w:tc>
                <w:tcPr>
                  <w:tcW w:w="3255" w:type="dxa"/>
                  <w:tcMar>
                    <w:top w:w="50" w:type="dxa"/>
                    <w:left w:w="90" w:type="dxa"/>
                    <w:bottom w:w="50" w:type="dxa"/>
                    <w:right w:w="90" w:type="dxa"/>
                  </w:tcMar>
                </w:tcPr>
                <w:p w14:paraId="03C0F259">
                  <w:pPr>
                    <w:spacing w:before="10" w:after="10"/>
                  </w:pPr>
                  <w:r>
                    <w:rPr>
                      <w:rFonts w:ascii="Calibri" w:hAnsi="Calibri" w:eastAsia="Calibri" w:cs="Calibri"/>
                      <w:b w:val="0"/>
                      <w:bCs w:val="0"/>
                      <w:i w:val="0"/>
                      <w:iCs w:val="0"/>
                      <w:color w:val="000000"/>
                      <w:sz w:val="17"/>
                      <w:szCs w:val="17"/>
                    </w:rPr>
                    <w:t>Commodity</w:t>
                  </w:r>
                </w:p>
              </w:tc>
            </w:tr>
            <w:tr w14:paraId="3DE06CF9">
              <w:trPr>
                <w:cantSplit/>
              </w:trPr>
              <w:tc>
                <w:tcPr>
                  <w:tcW w:w="2046" w:type="dxa"/>
                  <w:tcMar>
                    <w:top w:w="50" w:type="dxa"/>
                    <w:left w:w="90" w:type="dxa"/>
                    <w:bottom w:w="50" w:type="dxa"/>
                    <w:right w:w="90" w:type="dxa"/>
                  </w:tcMar>
                </w:tcPr>
                <w:p w14:paraId="1F9A879F">
                  <w:pPr>
                    <w:spacing w:before="10" w:after="10"/>
                  </w:pPr>
                  <w:r>
                    <w:rPr>
                      <w:rFonts w:ascii="Calibri" w:hAnsi="Calibri" w:eastAsia="Calibri" w:cs="Calibri"/>
                      <w:b w:val="0"/>
                      <w:bCs w:val="0"/>
                      <w:i w:val="0"/>
                      <w:iCs w:val="0"/>
                      <w:color w:val="000000"/>
                      <w:sz w:val="17"/>
                      <w:szCs w:val="17"/>
                    </w:rPr>
                    <w:t>Data</w:t>
                  </w:r>
                </w:p>
              </w:tc>
              <w:tc>
                <w:tcPr>
                  <w:tcW w:w="1209" w:type="dxa"/>
                  <w:tcMar>
                    <w:top w:w="50" w:type="dxa"/>
                    <w:left w:w="90" w:type="dxa"/>
                    <w:bottom w:w="50" w:type="dxa"/>
                    <w:right w:w="90" w:type="dxa"/>
                  </w:tcMar>
                </w:tcPr>
                <w:p w14:paraId="48812EEB">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7B084AA5">
                  <w:pPr>
                    <w:spacing w:before="10" w:after="10"/>
                  </w:pPr>
                  <w:r>
                    <w:rPr>
                      <w:rFonts w:ascii="Calibri" w:hAnsi="Calibri" w:eastAsia="Calibri" w:cs="Calibri"/>
                      <w:b w:val="0"/>
                      <w:bCs w:val="0"/>
                      <w:i w:val="0"/>
                      <w:iCs w:val="0"/>
                      <w:color w:val="000000"/>
                      <w:sz w:val="17"/>
                      <w:szCs w:val="17"/>
                    </w:rPr>
                    <w:t>Daily net units per SKU</w:t>
                  </w:r>
                </w:p>
              </w:tc>
              <w:tc>
                <w:tcPr>
                  <w:tcW w:w="3255" w:type="dxa"/>
                  <w:tcMar>
                    <w:top w:w="50" w:type="dxa"/>
                    <w:left w:w="90" w:type="dxa"/>
                    <w:bottom w:w="50" w:type="dxa"/>
                    <w:right w:w="90" w:type="dxa"/>
                  </w:tcMar>
                </w:tcPr>
                <w:p w14:paraId="4CDD9DC5">
                  <w:pPr>
                    <w:spacing w:before="10" w:after="10"/>
                  </w:pPr>
                  <w:r>
                    <w:rPr>
                      <w:rFonts w:ascii="Calibri" w:hAnsi="Calibri" w:eastAsia="Calibri" w:cs="Calibri"/>
                      <w:b w:val="0"/>
                      <w:bCs w:val="0"/>
                      <w:i w:val="0"/>
                      <w:iCs w:val="0"/>
                      <w:color w:val="000000"/>
                      <w:sz w:val="17"/>
                      <w:szCs w:val="17"/>
                    </w:rPr>
                    <w:t>Data gravity</w:t>
                  </w:r>
                </w:p>
              </w:tc>
            </w:tr>
            <w:tr w14:paraId="737F9154">
              <w:trPr>
                <w:cantSplit/>
              </w:trPr>
              <w:tc>
                <w:tcPr>
                  <w:tcW w:w="2046" w:type="dxa"/>
                  <w:tcMar>
                    <w:top w:w="50" w:type="dxa"/>
                    <w:left w:w="90" w:type="dxa"/>
                    <w:bottom w:w="50" w:type="dxa"/>
                    <w:right w:w="90" w:type="dxa"/>
                  </w:tcMar>
                </w:tcPr>
                <w:p w14:paraId="65DCA3AB">
                  <w:pPr>
                    <w:spacing w:before="10" w:after="10"/>
                  </w:pPr>
                  <w:r>
                    <w:rPr>
                      <w:rFonts w:ascii="Calibri" w:hAnsi="Calibri" w:eastAsia="Calibri" w:cs="Calibri"/>
                      <w:b w:val="0"/>
                      <w:bCs w:val="0"/>
                      <w:i w:val="0"/>
                      <w:iCs w:val="0"/>
                      <w:color w:val="000000"/>
                      <w:sz w:val="17"/>
                      <w:szCs w:val="17"/>
                    </w:rPr>
                    <w:t>Vector store</w:t>
                  </w:r>
                </w:p>
              </w:tc>
              <w:tc>
                <w:tcPr>
                  <w:tcW w:w="1209" w:type="dxa"/>
                  <w:tcMar>
                    <w:top w:w="50" w:type="dxa"/>
                    <w:left w:w="90" w:type="dxa"/>
                    <w:bottom w:w="50" w:type="dxa"/>
                    <w:right w:w="90" w:type="dxa"/>
                  </w:tcMar>
                </w:tcPr>
                <w:p w14:paraId="7868E6ED">
                  <w:pPr>
                    <w:spacing w:before="10" w:after="10"/>
                  </w:pPr>
                  <w:r>
                    <w:rPr>
                      <w:rFonts w:ascii="Calibri" w:hAnsi="Calibri" w:eastAsia="Calibri" w:cs="Calibri"/>
                      <w:b w:val="0"/>
                      <w:bCs w:val="0"/>
                      <w:i w:val="0"/>
                      <w:iCs w:val="0"/>
                      <w:color w:val="000000"/>
                      <w:sz w:val="17"/>
                      <w:szCs w:val="17"/>
                    </w:rPr>
                    <w:t>Neither</w:t>
                  </w:r>
                </w:p>
              </w:tc>
              <w:tc>
                <w:tcPr>
                  <w:tcW w:w="2790" w:type="dxa"/>
                  <w:tcMar>
                    <w:top w:w="50" w:type="dxa"/>
                    <w:left w:w="90" w:type="dxa"/>
                    <w:bottom w:w="50" w:type="dxa"/>
                    <w:right w:w="90" w:type="dxa"/>
                  </w:tcMar>
                </w:tcPr>
                <w:p w14:paraId="1305A7E4">
                  <w:pPr>
                    <w:spacing w:before="10" w:after="10"/>
                  </w:pPr>
                  <w:r>
                    <w:rPr>
                      <w:rFonts w:ascii="Calibri" w:hAnsi="Calibri" w:eastAsia="Calibri" w:cs="Calibri"/>
                      <w:b w:val="0"/>
                      <w:bCs w:val="0"/>
                      <w:i w:val="0"/>
                      <w:iCs w:val="0"/>
                      <w:color w:val="000000"/>
                      <w:sz w:val="17"/>
                      <w:szCs w:val="17"/>
                    </w:rPr>
                    <w:t>—</w:t>
                  </w:r>
                </w:p>
              </w:tc>
              <w:tc>
                <w:tcPr>
                  <w:tcW w:w="3255" w:type="dxa"/>
                  <w:tcMar>
                    <w:top w:w="50" w:type="dxa"/>
                    <w:left w:w="90" w:type="dxa"/>
                    <w:bottom w:w="50" w:type="dxa"/>
                    <w:right w:w="90" w:type="dxa"/>
                  </w:tcMar>
                </w:tcPr>
                <w:p w14:paraId="1EE42473">
                  <w:pPr>
                    <w:spacing w:before="10" w:after="10"/>
                  </w:pPr>
                  <w:r>
                    <w:rPr>
                      <w:rFonts w:ascii="Calibri" w:hAnsi="Calibri" w:eastAsia="Calibri" w:cs="Calibri"/>
                      <w:b w:val="0"/>
                      <w:bCs w:val="0"/>
                      <w:i w:val="0"/>
                      <w:iCs w:val="0"/>
                      <w:color w:val="000000"/>
                      <w:sz w:val="17"/>
                      <w:szCs w:val="17"/>
                    </w:rPr>
                    <w:t>No retrieval</w:t>
                  </w:r>
                </w:p>
              </w:tc>
            </w:tr>
            <w:tr w14:paraId="67C83E07">
              <w:trPr>
                <w:cantSplit/>
              </w:trPr>
              <w:tc>
                <w:tcPr>
                  <w:tcW w:w="2046" w:type="dxa"/>
                  <w:tcMar>
                    <w:top w:w="50" w:type="dxa"/>
                    <w:left w:w="90" w:type="dxa"/>
                    <w:bottom w:w="50" w:type="dxa"/>
                    <w:right w:w="90" w:type="dxa"/>
                  </w:tcMar>
                </w:tcPr>
                <w:p w14:paraId="3345BE0D">
                  <w:pPr>
                    <w:spacing w:before="10" w:after="10"/>
                  </w:pPr>
                  <w:r>
                    <w:rPr>
                      <w:rFonts w:ascii="Calibri" w:hAnsi="Calibri" w:eastAsia="Calibri" w:cs="Calibri"/>
                      <w:b w:val="0"/>
                      <w:bCs w:val="0"/>
                      <w:i w:val="0"/>
                      <w:iCs w:val="0"/>
                      <w:color w:val="000000"/>
                      <w:sz w:val="17"/>
                      <w:szCs w:val="17"/>
                    </w:rPr>
                    <w:t>Eval / observability</w:t>
                  </w:r>
                </w:p>
              </w:tc>
              <w:tc>
                <w:tcPr>
                  <w:tcW w:w="1209" w:type="dxa"/>
                  <w:tcMar>
                    <w:top w:w="50" w:type="dxa"/>
                    <w:left w:w="90" w:type="dxa"/>
                    <w:bottom w:w="50" w:type="dxa"/>
                    <w:right w:w="90" w:type="dxa"/>
                  </w:tcMar>
                </w:tcPr>
                <w:p w14:paraId="7E9A1D6E">
                  <w:pPr>
                    <w:spacing w:before="10" w:after="10"/>
                  </w:pPr>
                  <w:r>
                    <w:rPr>
                      <w:rFonts w:ascii="Calibri" w:hAnsi="Calibri" w:eastAsia="Calibri" w:cs="Calibri"/>
                      <w:b w:val="0"/>
                      <w:bCs w:val="0"/>
                      <w:i w:val="0"/>
                      <w:iCs w:val="0"/>
                      <w:color w:val="000000"/>
                      <w:sz w:val="17"/>
                      <w:szCs w:val="17"/>
                    </w:rPr>
                    <w:t>Own</w:t>
                  </w:r>
                </w:p>
              </w:tc>
              <w:tc>
                <w:tcPr>
                  <w:tcW w:w="2790" w:type="dxa"/>
                  <w:tcMar>
                    <w:top w:w="50" w:type="dxa"/>
                    <w:left w:w="90" w:type="dxa"/>
                    <w:bottom w:w="50" w:type="dxa"/>
                    <w:right w:w="90" w:type="dxa"/>
                  </w:tcMar>
                </w:tcPr>
                <w:p w14:paraId="712933FC">
                  <w:pPr>
                    <w:spacing w:before="10" w:after="10"/>
                  </w:pPr>
                  <w:r>
                    <w:rPr>
                      <w:rFonts w:ascii="Calibri" w:hAnsi="Calibri" w:eastAsia="Calibri" w:cs="Calibri"/>
                      <w:b w:val="0"/>
                      <w:bCs w:val="0"/>
                      <w:i w:val="0"/>
                      <w:iCs w:val="0"/>
                      <w:color w:val="000000"/>
                      <w:sz w:val="17"/>
                      <w:szCs w:val="17"/>
                    </w:rPr>
                    <w:t>pytest + backtest script</w:t>
                  </w:r>
                </w:p>
              </w:tc>
              <w:tc>
                <w:tcPr>
                  <w:tcW w:w="3255" w:type="dxa"/>
                  <w:tcMar>
                    <w:top w:w="50" w:type="dxa"/>
                    <w:left w:w="90" w:type="dxa"/>
                    <w:bottom w:w="50" w:type="dxa"/>
                    <w:right w:w="90" w:type="dxa"/>
                  </w:tcMar>
                </w:tcPr>
                <w:p w14:paraId="3110E918">
                  <w:pPr>
                    <w:spacing w:before="10" w:after="10"/>
                  </w:pPr>
                  <w:r>
                    <w:rPr>
                      <w:rFonts w:ascii="Calibri" w:hAnsi="Calibri" w:eastAsia="Calibri" w:cs="Calibri"/>
                      <w:b w:val="0"/>
                      <w:bCs w:val="0"/>
                      <w:i w:val="0"/>
                      <w:iCs w:val="0"/>
                      <w:color w:val="000000"/>
                      <w:sz w:val="17"/>
                      <w:szCs w:val="17"/>
                    </w:rPr>
                    <w:t>My risk, my accountability</w:t>
                  </w:r>
                </w:p>
              </w:tc>
            </w:tr>
          </w:tbl>
          <w:p w14:paraId="53E3DAE6">
            <w:pPr>
              <w:spacing w:before="140" w:after="50"/>
              <w:rPr>
                <w:rFonts w:hint="default" w:ascii="Calibri" w:hAnsi="Calibri" w:eastAsia="Calibri" w:cs="Calibri"/>
                <w:b w:val="0"/>
                <w:bCs w:val="0"/>
                <w:i w:val="0"/>
                <w:iCs w:val="0"/>
                <w:color w:val="000000"/>
                <w:sz w:val="19"/>
                <w:szCs w:val="19"/>
                <w:lang w:val="en-US"/>
              </w:rPr>
            </w:pPr>
            <w:r>
              <w:rPr>
                <w:rFonts w:ascii="Calibri" w:hAnsi="Calibri" w:eastAsia="Calibri" w:cs="Calibri"/>
                <w:b/>
                <w:bCs/>
                <w:i w:val="0"/>
                <w:iCs w:val="0"/>
                <w:color w:val="000000"/>
                <w:sz w:val="19"/>
                <w:szCs w:val="19"/>
              </w:rPr>
              <w:t>Cost to serve, and the cost that actually binds</w:t>
            </w:r>
            <w:r>
              <w:rPr>
                <w:rFonts w:hint="default" w:ascii="Calibri" w:hAnsi="Calibri" w:eastAsia="Calibri" w:cs="Calibri"/>
                <w:b/>
                <w:bCs/>
                <w:i w:val="0"/>
                <w:iCs w:val="0"/>
                <w:color w:val="000000"/>
                <w:sz w:val="19"/>
                <w:szCs w:val="19"/>
                <w:lang w:val="en-US"/>
              </w:rPr>
              <w:t>:</w:t>
            </w:r>
            <w:r>
              <w:rPr>
                <w:rFonts w:hint="default" w:cs="Calibri"/>
                <w:b/>
                <w:bCs/>
                <w:i w:val="0"/>
                <w:iCs w:val="0"/>
                <w:color w:val="000000"/>
                <w:sz w:val="19"/>
                <w:szCs w:val="19"/>
                <w:lang w:val="en-US"/>
              </w:rPr>
              <w:t xml:space="preserve"> </w:t>
            </w:r>
            <w:r>
              <w:rPr>
                <w:rFonts w:ascii="Calibri" w:hAnsi="Calibri" w:eastAsia="Calibri" w:cs="Calibri"/>
                <w:b w:val="0"/>
                <w:bCs w:val="0"/>
                <w:i w:val="0"/>
                <w:iCs w:val="0"/>
                <w:color w:val="000000"/>
                <w:sz w:val="19"/>
                <w:szCs w:val="19"/>
              </w:rPr>
              <w:t>580 input + 60 output tokens</w:t>
            </w:r>
            <w:r>
              <w:rPr>
                <w:rFonts w:hint="default" w:cs="Calibri"/>
                <w:b w:val="0"/>
                <w:bCs w:val="0"/>
                <w:i w:val="0"/>
                <w:iCs w:val="0"/>
                <w:color w:val="000000"/>
                <w:sz w:val="19"/>
                <w:szCs w:val="19"/>
                <w:lang w:val="en-US"/>
              </w:rPr>
              <w:t xml:space="preserve"> per call</w:t>
            </w:r>
            <w:r>
              <w:rPr>
                <w:rFonts w:ascii="Calibri" w:hAnsi="Calibri" w:eastAsia="Calibri" w:cs="Calibri"/>
                <w:b w:val="0"/>
                <w:bCs w:val="0"/>
                <w:i w:val="0"/>
                <w:iCs w:val="0"/>
                <w:color w:val="000000"/>
                <w:sz w:val="19"/>
                <w:szCs w:val="19"/>
              </w:rPr>
              <w:t>. At gpt-4o-mini (USD 0.15 / 1M in, 0.60 / 1M out) that is USD 0.000123 a call, or USD 0.037 per store per month at 10 calls a day</w:t>
            </w:r>
            <w:r>
              <w:rPr>
                <w:rFonts w:hint="default" w:cs="Calibri"/>
                <w:b w:val="0"/>
                <w:bCs w:val="0"/>
                <w:i w:val="0"/>
                <w:iCs w:val="0"/>
                <w:color w:val="000000"/>
                <w:sz w:val="19"/>
                <w:szCs w:val="19"/>
                <w:lang w:val="en-US"/>
              </w:rPr>
              <w:t xml:space="preserve">. </w:t>
            </w:r>
            <w:r>
              <w:rPr>
                <w:rFonts w:ascii="Calibri" w:hAnsi="Calibri" w:eastAsia="Calibri" w:cs="Calibri"/>
                <w:b w:val="0"/>
                <w:bCs w:val="0"/>
                <w:i w:val="0"/>
                <w:iCs w:val="0"/>
                <w:color w:val="000000"/>
                <w:sz w:val="19"/>
                <w:szCs w:val="19"/>
              </w:rPr>
              <w:t>Claude Haiku 4.5 would be 7x that and still trivial. Against an estimated USD 35 per store per month of avoided waste</w:t>
            </w:r>
            <w:r>
              <w:rPr>
                <w:rFonts w:hint="default" w:cs="Calibri"/>
                <w:b w:val="0"/>
                <w:bCs w:val="0"/>
                <w:i w:val="0"/>
                <w:iCs w:val="0"/>
                <w:color w:val="000000"/>
                <w:sz w:val="19"/>
                <w:szCs w:val="19"/>
                <w:lang w:val="en-US"/>
              </w:rPr>
              <w:t>.</w:t>
            </w:r>
          </w:p>
          <w:p w14:paraId="77A42410">
            <w:pPr>
              <w:spacing w:before="40" w:after="40"/>
              <w:rPr>
                <w:rFonts w:hint="default" w:ascii="Calibri" w:hAnsi="Calibri" w:eastAsia="Calibri" w:cs="Calibri"/>
                <w:b w:val="0"/>
                <w:bCs w:val="0"/>
                <w:i w:val="0"/>
                <w:iCs w:val="0"/>
                <w:color w:val="000000"/>
                <w:sz w:val="19"/>
                <w:szCs w:val="19"/>
                <w:lang w:val="en-US"/>
              </w:rPr>
            </w:pPr>
            <w:r>
              <w:rPr>
                <w:rFonts w:ascii="Calibri" w:hAnsi="Calibri" w:eastAsia="Calibri" w:cs="Calibri"/>
                <w:b w:val="0"/>
                <w:bCs w:val="0"/>
                <w:i w:val="0"/>
                <w:iCs w:val="0"/>
                <w:color w:val="000000"/>
                <w:sz w:val="19"/>
                <w:szCs w:val="19"/>
              </w:rPr>
              <w:br w:type="textWrapping"/>
            </w:r>
            <w:r>
              <w:rPr>
                <w:rFonts w:hint="default" w:cs="Calibri"/>
                <w:b/>
                <w:bCs/>
                <w:i w:val="0"/>
                <w:iCs w:val="0"/>
                <w:color w:val="000000"/>
                <w:sz w:val="19"/>
                <w:szCs w:val="19"/>
                <w:lang w:val="en-US"/>
              </w:rPr>
              <w:t xml:space="preserve">Example </w:t>
            </w:r>
            <w:r>
              <w:rPr>
                <w:rFonts w:ascii="Calibri" w:hAnsi="Calibri" w:eastAsia="Calibri" w:cs="Calibri"/>
                <w:b/>
                <w:bCs/>
                <w:i w:val="0"/>
                <w:iCs w:val="0"/>
                <w:color w:val="000000"/>
                <w:sz w:val="19"/>
                <w:szCs w:val="19"/>
              </w:rPr>
              <w:t xml:space="preserve">chain: </w:t>
            </w:r>
            <w:r>
              <w:rPr>
                <w:rFonts w:hint="default" w:cs="Calibri"/>
                <w:b/>
                <w:bCs/>
                <w:i w:val="0"/>
                <w:iCs w:val="0"/>
                <w:color w:val="000000"/>
                <w:sz w:val="19"/>
                <w:szCs w:val="19"/>
                <w:lang w:val="en-US"/>
              </w:rPr>
              <w:t xml:space="preserve"> </w:t>
            </w:r>
            <w:r>
              <w:rPr>
                <w:rFonts w:hint="eastAsia" w:eastAsia="新細明體" w:cs="Calibri"/>
                <w:b/>
                <w:bCs/>
                <w:i w:val="0"/>
                <w:iCs w:val="0"/>
                <w:color w:val="000000"/>
                <w:sz w:val="19"/>
                <w:szCs w:val="19"/>
                <w:lang w:val="en-US" w:eastAsia="zh-TW"/>
              </w:rPr>
              <w:t>USD</w:t>
            </w:r>
            <w:r>
              <w:rPr>
                <w:rFonts w:hint="eastAsia" w:eastAsia="SimSun" w:cs="Calibri"/>
                <w:b/>
                <w:bCs/>
                <w:i w:val="0"/>
                <w:iCs w:val="0"/>
                <w:color w:val="000000"/>
                <w:sz w:val="19"/>
                <w:szCs w:val="19"/>
                <w:lang w:val="en-US" w:eastAsia="zh-CN"/>
              </w:rPr>
              <w:t xml:space="preserve"> </w:t>
            </w:r>
            <w:r>
              <w:rPr>
                <w:rFonts w:hint="eastAsia" w:eastAsia="新細明體" w:cs="Calibri"/>
                <w:b/>
                <w:bCs/>
                <w:i w:val="0"/>
                <w:iCs w:val="0"/>
                <w:color w:val="000000"/>
                <w:sz w:val="19"/>
                <w:szCs w:val="19"/>
                <w:lang w:val="en-US" w:eastAsia="zh-TW"/>
              </w:rPr>
              <w:t>19</w:t>
            </w:r>
            <w:r>
              <w:rPr>
                <w:rFonts w:ascii="Calibri" w:hAnsi="Calibri" w:eastAsia="Calibri" w:cs="Calibri"/>
                <w:b/>
                <w:bCs/>
                <w:i w:val="0"/>
                <w:iCs w:val="0"/>
                <w:color w:val="000000"/>
                <w:sz w:val="19"/>
                <w:szCs w:val="19"/>
              </w:rPr>
              <w:t>k weekly revenue → 30% food cost → 22% short-shelf-life → 4.5% waste → 60% attributable to over-ordering → 25% reduction</w:t>
            </w:r>
          </w:p>
          <w:p w14:paraId="1E9DCB0D">
            <w:pPr>
              <w:spacing w:before="40" w:after="40"/>
              <w:rPr>
                <w:rFonts w:hint="eastAsia" w:eastAsia="SimSun"/>
                <w:lang w:eastAsia="zh-CN"/>
              </w:rPr>
            </w:pPr>
          </w:p>
          <w:p w14:paraId="61D2090D">
            <w:pPr>
              <w:spacing w:before="140" w:after="50"/>
              <w:rPr>
                <w:rFonts w:ascii="Calibri" w:hAnsi="Calibri" w:eastAsia="Calibri" w:cs="Calibri"/>
                <w:b w:val="0"/>
                <w:bCs w:val="0"/>
                <w:i w:val="0"/>
                <w:iCs w:val="0"/>
                <w:color w:val="000000"/>
                <w:sz w:val="19"/>
                <w:szCs w:val="19"/>
              </w:rPr>
            </w:pPr>
            <w:r>
              <w:rPr>
                <w:rFonts w:ascii="Calibri" w:hAnsi="Calibri" w:eastAsia="Calibri" w:cs="Calibri"/>
                <w:b/>
                <w:bCs/>
                <w:i w:val="0"/>
                <w:iCs w:val="0"/>
                <w:color w:val="000000"/>
                <w:sz w:val="19"/>
                <w:szCs w:val="19"/>
                <w:lang w:val="en-US" w:eastAsia="zh-CN"/>
              </w:rPr>
              <w:t>The constraint is the manager's attention, not tokens</w:t>
            </w:r>
            <w:r>
              <w:rPr>
                <w:rFonts w:hint="default" w:cs="Calibri"/>
                <w:b/>
                <w:bCs/>
                <w:i w:val="0"/>
                <w:iCs w:val="0"/>
                <w:color w:val="000000"/>
                <w:sz w:val="19"/>
                <w:szCs w:val="19"/>
                <w:lang w:val="en-US" w:eastAsia="zh-CN"/>
              </w:rPr>
              <w:t xml:space="preserve">: </w:t>
            </w:r>
            <w:r>
              <w:rPr>
                <w:rFonts w:hint="default" w:cs="Calibri"/>
                <w:b w:val="0"/>
                <w:bCs w:val="0"/>
                <w:i w:val="0"/>
                <w:iCs w:val="0"/>
                <w:color w:val="000000"/>
                <w:sz w:val="19"/>
                <w:szCs w:val="19"/>
                <w:lang w:val="en-US" w:eastAsia="zh-CN"/>
              </w:rPr>
              <w:t>Manager</w:t>
            </w:r>
            <w:r>
              <w:rPr>
                <w:rFonts w:ascii="Calibri" w:hAnsi="Calibri" w:eastAsia="Calibri" w:cs="Calibri"/>
                <w:b w:val="0"/>
                <w:bCs w:val="0"/>
                <w:i w:val="0"/>
                <w:iCs w:val="0"/>
                <w:color w:val="000000"/>
                <w:sz w:val="19"/>
                <w:szCs w:val="19"/>
                <w:lang w:val="en-US" w:eastAsia="zh-CN"/>
              </w:rPr>
              <w:t xml:space="preserve"> spends about 30 seconds per SKU today. An auto-answered SKU costs about 5 seconds to scan; an abstained one costs about 90 seconds of real thought. At 40 SKUs, the copilot stops saving </w:t>
            </w:r>
            <w:r>
              <w:rPr>
                <w:rFonts w:hint="default" w:cs="Calibri"/>
                <w:b w:val="0"/>
                <w:bCs w:val="0"/>
                <w:i w:val="0"/>
                <w:iCs w:val="0"/>
                <w:color w:val="000000"/>
                <w:sz w:val="19"/>
                <w:szCs w:val="19"/>
                <w:lang w:val="en-US" w:eastAsia="zh-CN"/>
              </w:rPr>
              <w:t>his/her</w:t>
            </w:r>
            <w:r>
              <w:rPr>
                <w:rFonts w:ascii="Calibri" w:hAnsi="Calibri" w:eastAsia="Calibri" w:cs="Calibri"/>
                <w:b w:val="0"/>
                <w:bCs w:val="0"/>
                <w:i w:val="0"/>
                <w:iCs w:val="0"/>
                <w:color w:val="000000"/>
                <w:sz w:val="19"/>
                <w:szCs w:val="19"/>
                <w:lang w:val="en-US" w:eastAsia="zh-CN"/>
              </w:rPr>
              <w:t xml:space="preserve"> time near a </w:t>
            </w:r>
            <w:r>
              <w:rPr>
                <w:rFonts w:ascii="Calibri" w:hAnsi="Calibri" w:eastAsia="Calibri" w:cs="Calibri"/>
                <w:b/>
                <w:bCs/>
                <w:i w:val="0"/>
                <w:iCs w:val="0"/>
                <w:color w:val="000000"/>
                <w:sz w:val="19"/>
                <w:szCs w:val="19"/>
                <w:lang w:val="en-US" w:eastAsia="zh-CN"/>
              </w:rPr>
              <w:t>30% abstain rate</w:t>
            </w:r>
            <w:r>
              <w:rPr>
                <w:rFonts w:hint="default" w:cs="Calibri"/>
                <w:b w:val="0"/>
                <w:bCs w:val="0"/>
                <w:i w:val="0"/>
                <w:iCs w:val="0"/>
                <w:color w:val="000000"/>
                <w:sz w:val="19"/>
                <w:szCs w:val="19"/>
                <w:lang w:val="en-US" w:eastAsia="zh-CN"/>
              </w:rPr>
              <w:t xml:space="preserve">, </w:t>
            </w:r>
            <w:r>
              <w:rPr>
                <w:rFonts w:ascii="Calibri" w:hAnsi="Calibri" w:eastAsia="Calibri" w:cs="Calibri"/>
                <w:b w:val="0"/>
                <w:bCs w:val="0"/>
                <w:i w:val="0"/>
                <w:iCs w:val="0"/>
                <w:color w:val="000000"/>
                <w:sz w:val="19"/>
                <w:szCs w:val="19"/>
                <w:lang w:val="en-US" w:eastAsia="zh-CN"/>
              </w:rPr>
              <w:t xml:space="preserve">above that it makes </w:t>
            </w:r>
            <w:r>
              <w:rPr>
                <w:rFonts w:hint="default" w:cs="Calibri"/>
                <w:b w:val="0"/>
                <w:bCs w:val="0"/>
                <w:i w:val="0"/>
                <w:iCs w:val="0"/>
                <w:color w:val="000000"/>
                <w:sz w:val="19"/>
                <w:szCs w:val="19"/>
                <w:lang w:val="en-US" w:eastAsia="zh-CN"/>
              </w:rPr>
              <w:t>his/</w:t>
            </w:r>
            <w:r>
              <w:rPr>
                <w:rFonts w:ascii="Calibri" w:hAnsi="Calibri" w:eastAsia="Calibri" w:cs="Calibri"/>
                <w:b w:val="0"/>
                <w:bCs w:val="0"/>
                <w:i w:val="0"/>
                <w:iCs w:val="0"/>
                <w:color w:val="000000"/>
                <w:sz w:val="19"/>
                <w:szCs w:val="19"/>
                <w:lang w:val="en-US" w:eastAsia="zh-CN"/>
              </w:rPr>
              <w:t xml:space="preserve">her evening worse while claiming to help. I set the design target at </w:t>
            </w:r>
            <w:r>
              <w:rPr>
                <w:rFonts w:ascii="Calibri" w:hAnsi="Calibri" w:eastAsia="Calibri" w:cs="Calibri"/>
                <w:b/>
                <w:bCs/>
                <w:i w:val="0"/>
                <w:iCs w:val="0"/>
                <w:color w:val="000000"/>
                <w:sz w:val="19"/>
                <w:szCs w:val="19"/>
                <w:lang w:val="en-US" w:eastAsia="zh-CN"/>
              </w:rPr>
              <w:t>15%</w:t>
            </w:r>
            <w:r>
              <w:rPr>
                <w:rFonts w:ascii="Calibri" w:hAnsi="Calibri" w:eastAsia="Calibri" w:cs="Calibri"/>
                <w:b w:val="0"/>
                <w:bCs w:val="0"/>
                <w:i w:val="0"/>
                <w:iCs w:val="0"/>
                <w:color w:val="000000"/>
                <w:sz w:val="19"/>
                <w:szCs w:val="19"/>
                <w:lang w:val="en-US" w:eastAsia="zh-CN"/>
              </w:rPr>
              <w:t xml:space="preserve"> to sit inside that ceiling. All three timings are assumptions I have not measured.</w:t>
            </w:r>
          </w:p>
          <w:p w14:paraId="609923F8">
            <w:pPr>
              <w:spacing w:before="40" w:after="40"/>
              <w:rPr>
                <w:rFonts w:hint="eastAsia" w:eastAsia="SimSun"/>
                <w:lang w:eastAsia="zh-CN"/>
              </w:rPr>
            </w:pPr>
          </w:p>
        </w:tc>
      </w:tr>
    </w:tbl>
    <w:p w14:paraId="203FF40A">
      <w:pPr>
        <w:spacing w:before="170" w:after="20"/>
      </w:pPr>
      <w:r>
        <w:rPr>
          <w:b/>
          <w:bCs/>
          <w:color w:val="1F3864"/>
          <w:sz w:val="21"/>
          <w:szCs w:val="21"/>
        </w:rPr>
        <w:t xml:space="preserve">6 · Data – this packs the intelligence ! </w:t>
      </w:r>
    </w:p>
    <w:p w14:paraId="5081F933">
      <w:pPr>
        <w:spacing w:after="40"/>
      </w:pPr>
      <w:r>
        <w:rPr>
          <w:i/>
          <w:iCs/>
          <w:color w:val="595959"/>
          <w:sz w:val="16"/>
          <w:szCs w:val="16"/>
        </w:rPr>
        <w:t>What data do you need, where from, and any access / privacy / residency constraints?</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7ADB68">
        <w:tc>
          <w:tcPr>
            <w:tcW w:w="9026" w:type="dxa"/>
            <w:shd w:val="clear" w:color="auto" w:fill="FAFBFD"/>
            <w:tcMar>
              <w:top w:w="60" w:type="dxa"/>
              <w:left w:w="120" w:type="dxa"/>
              <w:bottom w:w="60" w:type="dxa"/>
              <w:right w:w="120" w:type="dxa"/>
            </w:tcMar>
          </w:tcPr>
          <w:p w14:paraId="1D8E14A8">
            <w:pPr>
              <w:spacing w:before="140" w:after="50"/>
              <w:rPr>
                <w:rFonts w:ascii="Calibri" w:hAnsi="Calibri" w:eastAsia="Calibri" w:cs="Calibri"/>
                <w:b/>
                <w:bCs/>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Source: Corporación Favorita Grocery Sales Forecasting (Kaggle).</w:t>
            </w:r>
          </w:p>
          <w:p w14:paraId="13142B2C">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Coverage:</w:t>
            </w:r>
            <w:r>
              <w:rPr>
                <w:rFonts w:ascii="Calibri" w:hAnsi="Calibri" w:eastAsia="Calibri" w:cs="Calibri"/>
                <w:b w:val="0"/>
                <w:bCs w:val="0"/>
                <w:i w:val="0"/>
                <w:iCs w:val="0"/>
                <w:color w:val="000000"/>
                <w:sz w:val="19"/>
                <w:szCs w:val="19"/>
                <w:lang w:val="en-US" w:eastAsia="zh-CN"/>
              </w:rPr>
              <w:t xml:space="preserve"> 54 stores, 4,100 items in items.csv (approximately 4,036 appear in the training sales data), covering 2013-01-01 to 2017-08-15. The dataset contains promotion, holiday, oil-price, transaction, store and item data, including the perishable flag</w:t>
            </w:r>
          </w:p>
          <w:p w14:paraId="7E6434A6">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 xml:space="preserve">Slice: </w:t>
            </w:r>
            <w:r>
              <w:rPr>
                <w:rFonts w:ascii="Calibri" w:hAnsi="Calibri" w:eastAsia="Calibri" w:cs="Calibri"/>
                <w:b w:val="0"/>
                <w:bCs w:val="0"/>
                <w:i w:val="0"/>
                <w:iCs w:val="0"/>
                <w:color w:val="000000"/>
                <w:sz w:val="19"/>
                <w:szCs w:val="19"/>
                <w:lang w:val="en-US" w:eastAsia="zh-CN"/>
              </w:rPr>
              <w:t>Store 44 (Quito), with SKUs chosen by a fixed filter chain: perishable → sold only in whole units (weight-sold items have no case pack) → sales on at least 70% of days in the SKU’s active span → first sale on or before 2015-06-01, giving 426 SKUs. Store 49, chosen by the same rule without looking at its results, is held back as a confirmation store (436 SKUs). Because train.csv omits zero-sales days, I reconstruct the complete daily grid before generating lag and rolling features. Known gap: the chain does not require a SKU to still be selling in the test windows; 21 SKUs per store had stopped, so results are also reported without them.</w:t>
            </w:r>
          </w:p>
          <w:p w14:paraId="1577EB87">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 xml:space="preserve">Limitations: </w:t>
            </w:r>
            <w:r>
              <w:rPr>
                <w:rFonts w:ascii="Calibri" w:hAnsi="Calibri" w:eastAsia="Calibri" w:cs="Calibri"/>
                <w:b w:val="0"/>
                <w:bCs w:val="0"/>
                <w:i w:val="0"/>
                <w:iCs w:val="0"/>
                <w:color w:val="000000"/>
                <w:sz w:val="19"/>
                <w:szCs w:val="19"/>
                <w:lang w:val="en-US" w:eastAsia="zh-CN"/>
              </w:rPr>
              <w:t>The dataset records observed sales rather than true unconstrained demand, and it contains no inventory/on-hand field. Therefore, a zero or absent sales day cannot reliably be identified as a stockout, and an inventory-aware optimal order cannot be directly validated using this dataset.</w:t>
            </w:r>
          </w:p>
          <w:p w14:paraId="51A5783D">
            <w:pPr>
              <w:spacing w:before="140" w:after="50"/>
              <w:rPr>
                <w:rFonts w:ascii="Calibri" w:hAnsi="Calibri" w:eastAsia="Calibri" w:cs="Calibri"/>
                <w:b w:val="0"/>
                <w:bCs w:val="0"/>
                <w:i w:val="0"/>
                <w:iCs w:val="0"/>
                <w:color w:val="000000"/>
                <w:sz w:val="19"/>
                <w:szCs w:val="19"/>
                <w:lang w:val="en-US" w:eastAsia="zh-CN"/>
              </w:rPr>
            </w:pPr>
            <w:r>
              <w:rPr>
                <w:rFonts w:ascii="Calibri" w:hAnsi="Calibri" w:eastAsia="Calibri" w:cs="Calibri"/>
                <w:b/>
                <w:bCs/>
                <w:i w:val="0"/>
                <w:iCs w:val="0"/>
                <w:color w:val="000000"/>
                <w:sz w:val="19"/>
                <w:szCs w:val="19"/>
                <w:lang w:val="en-US" w:eastAsia="zh-CN"/>
              </w:rPr>
              <w:t xml:space="preserve">Data governance: </w:t>
            </w:r>
            <w:r>
              <w:rPr>
                <w:rFonts w:ascii="Calibri" w:hAnsi="Calibri" w:eastAsia="Calibri" w:cs="Calibri"/>
                <w:b w:val="0"/>
                <w:bCs w:val="0"/>
                <w:i w:val="0"/>
                <w:iCs w:val="0"/>
                <w:color w:val="000000"/>
                <w:sz w:val="19"/>
                <w:szCs w:val="19"/>
                <w:lang w:val="en-US" w:eastAsia="zh-CN"/>
              </w:rPr>
              <w:t>The dataset contains no personal data. However, access is subject to Kaggle's competition terms: academic/non-commercial use is permitted after accepting the rules, while redistribution or re-hosting of the raw data is prohibited.</w:t>
            </w:r>
          </w:p>
          <w:p w14:paraId="70A0521B">
            <w:pPr>
              <w:spacing w:before="140" w:after="50"/>
            </w:pPr>
          </w:p>
        </w:tc>
      </w:tr>
    </w:tbl>
    <w:p w14:paraId="713FF986">
      <w:pPr>
        <w:spacing w:before="170" w:after="20"/>
      </w:pPr>
      <w:r>
        <w:rPr>
          <w:b/>
          <w:bCs/>
          <w:color w:val="1F3864"/>
          <w:sz w:val="21"/>
          <w:szCs w:val="21"/>
        </w:rPr>
        <w:t>7 · Success metric &amp; how you’ll evaluate it</w:t>
      </w:r>
    </w:p>
    <w:p w14:paraId="3E54743A">
      <w:pPr>
        <w:spacing w:after="40"/>
      </w:pPr>
      <w:r>
        <w:rPr>
          <w:i/>
          <w:iCs/>
          <w:color w:val="595959"/>
          <w:sz w:val="16"/>
          <w:szCs w:val="16"/>
        </w:rPr>
        <w:t>One metric that ties to real value, and one check (an eval) you could actually run. (evals thread)</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1DABF26B">
        <w:tc>
          <w:tcPr>
            <w:tcW w:w="9026" w:type="dxa"/>
            <w:shd w:val="clear" w:color="auto" w:fill="FAFBFD"/>
            <w:tcMar>
              <w:top w:w="60" w:type="dxa"/>
              <w:left w:w="120" w:type="dxa"/>
              <w:bottom w:w="60" w:type="dxa"/>
              <w:right w:w="120" w:type="dxa"/>
            </w:tcMar>
          </w:tcPr>
          <w:p w14:paraId="1CDDF6E5">
            <w:pPr>
              <w:spacing w:before="40" w:after="40"/>
            </w:pPr>
            <w:r>
              <w:rPr>
                <w:rFonts w:ascii="Calibri" w:hAnsi="Calibri" w:eastAsia="Calibri" w:cs="Calibri"/>
                <w:b/>
                <w:bCs/>
                <w:i w:val="0"/>
                <w:iCs w:val="0"/>
                <w:color w:val="000000"/>
                <w:sz w:val="19"/>
                <w:szCs w:val="19"/>
              </w:rPr>
              <w:t>B</w:t>
            </w:r>
            <w:r>
              <w:rPr>
                <w:rFonts w:hint="eastAsia" w:ascii="Calibri" w:hAnsi="Calibri" w:eastAsia="Calibri" w:cs="Calibri"/>
                <w:b/>
                <w:bCs/>
                <w:i w:val="0"/>
                <w:iCs w:val="0"/>
                <w:color w:val="000000"/>
                <w:sz w:val="19"/>
                <w:szCs w:val="19"/>
              </w:rPr>
              <w:t xml:space="preserve">aseline: </w:t>
            </w:r>
            <w:r>
              <w:rPr>
                <w:rFonts w:hint="default" w:cs="Calibri"/>
                <w:b/>
                <w:bCs/>
                <w:i w:val="0"/>
                <w:iCs w:val="0"/>
                <w:color w:val="000000"/>
                <w:sz w:val="19"/>
                <w:szCs w:val="19"/>
                <w:lang w:val="en-US"/>
              </w:rPr>
              <w:t xml:space="preserve"> </w:t>
            </w:r>
            <w:r>
              <w:rPr>
                <w:rFonts w:hint="eastAsia" w:eastAsia="SimSun" w:cs="Calibri"/>
                <w:b/>
                <w:bCs/>
                <w:i w:val="0"/>
                <w:iCs w:val="0"/>
                <w:color w:val="000000"/>
                <w:sz w:val="19"/>
                <w:szCs w:val="19"/>
                <w:lang w:val="en-US" w:eastAsia="zh-CN"/>
              </w:rPr>
              <w:t>N</w:t>
            </w:r>
            <w:r>
              <w:rPr>
                <w:rFonts w:hint="eastAsia" w:ascii="Calibri" w:hAnsi="Calibri" w:eastAsia="Calibri" w:cs="Calibri"/>
                <w:b/>
                <w:bCs/>
                <w:i w:val="0"/>
                <w:iCs w:val="0"/>
                <w:color w:val="000000"/>
                <w:sz w:val="19"/>
                <w:szCs w:val="19"/>
              </w:rPr>
              <w:t>aive_seasonal — same weekday last week, ÷ case pack, rounded up. This is what managers already do by hand. It is scored on exactly the same auto-answered SKU-days as the model, so the gate cannot make the model look better by routing the hard days to the manager.</w:t>
            </w: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 w:type="dxa"/>
                <w:bottom w:w="0" w:type="dxa"/>
                <w:right w:w="10" w:type="dxa"/>
              </w:tblCellMar>
            </w:tblPr>
            <w:tblGrid>
              <w:gridCol w:w="2402"/>
              <w:gridCol w:w="3282"/>
              <w:gridCol w:w="943"/>
              <w:gridCol w:w="2673"/>
            </w:tblGrid>
            <w:tr w14:paraId="7F94BA1A">
              <w:trPr>
                <w:cantSplit/>
                <w:tblHeader/>
              </w:trPr>
              <w:tc>
                <w:tcPr>
                  <w:tcW w:w="2402" w:type="dxa"/>
                  <w:shd w:val="clear" w:color="auto" w:fill="F2F2F2"/>
                  <w:tcMar>
                    <w:top w:w="50" w:type="dxa"/>
                    <w:left w:w="90" w:type="dxa"/>
                    <w:bottom w:w="50" w:type="dxa"/>
                    <w:right w:w="90" w:type="dxa"/>
                  </w:tcMar>
                </w:tcPr>
                <w:p w14:paraId="7B9A093D">
                  <w:pPr>
                    <w:spacing w:before="10" w:after="10"/>
                  </w:pPr>
                  <w:r>
                    <w:rPr>
                      <w:rFonts w:ascii="Calibri" w:hAnsi="Calibri" w:eastAsia="Calibri" w:cs="Calibri"/>
                      <w:b/>
                      <w:bCs/>
                      <w:i w:val="0"/>
                      <w:iCs w:val="0"/>
                      <w:color w:val="1F4E79"/>
                      <w:sz w:val="17"/>
                      <w:szCs w:val="17"/>
                    </w:rPr>
                    <w:t>Metric</w:t>
                  </w:r>
                </w:p>
              </w:tc>
              <w:tc>
                <w:tcPr>
                  <w:tcW w:w="3282" w:type="dxa"/>
                  <w:shd w:val="clear" w:color="auto" w:fill="F2F2F2"/>
                  <w:tcMar>
                    <w:top w:w="50" w:type="dxa"/>
                    <w:left w:w="90" w:type="dxa"/>
                    <w:bottom w:w="50" w:type="dxa"/>
                    <w:right w:w="90" w:type="dxa"/>
                  </w:tcMar>
                </w:tcPr>
                <w:p w14:paraId="33A30495">
                  <w:pPr>
                    <w:spacing w:before="10" w:after="10"/>
                  </w:pPr>
                  <w:r>
                    <w:rPr>
                      <w:rFonts w:ascii="Calibri" w:hAnsi="Calibri" w:eastAsia="Calibri" w:cs="Calibri"/>
                      <w:b/>
                      <w:bCs/>
                      <w:i w:val="0"/>
                      <w:iCs w:val="0"/>
                      <w:color w:val="1F4E79"/>
                      <w:sz w:val="17"/>
                      <w:szCs w:val="17"/>
                    </w:rPr>
                    <w:t>Definition</w:t>
                  </w:r>
                </w:p>
              </w:tc>
              <w:tc>
                <w:tcPr>
                  <w:tcW w:w="943" w:type="dxa"/>
                  <w:shd w:val="clear" w:color="auto" w:fill="F2F2F2"/>
                  <w:tcMar>
                    <w:top w:w="50" w:type="dxa"/>
                    <w:left w:w="90" w:type="dxa"/>
                    <w:bottom w:w="50" w:type="dxa"/>
                    <w:right w:w="90" w:type="dxa"/>
                  </w:tcMar>
                </w:tcPr>
                <w:p w14:paraId="28DBED0F">
                  <w:pPr>
                    <w:spacing w:before="10" w:after="10"/>
                  </w:pPr>
                  <w:r>
                    <w:rPr>
                      <w:rFonts w:ascii="Calibri" w:hAnsi="Calibri" w:eastAsia="Calibri" w:cs="Calibri"/>
                      <w:b/>
                      <w:bCs/>
                      <w:i w:val="0"/>
                      <w:iCs w:val="0"/>
                      <w:color w:val="1F4E79"/>
                      <w:sz w:val="17"/>
                      <w:szCs w:val="17"/>
                    </w:rPr>
                    <w:t>Baseline</w:t>
                  </w:r>
                </w:p>
              </w:tc>
              <w:tc>
                <w:tcPr>
                  <w:tcW w:w="2673" w:type="dxa"/>
                  <w:shd w:val="clear" w:color="auto" w:fill="F2F2F2"/>
                  <w:tcMar>
                    <w:top w:w="50" w:type="dxa"/>
                    <w:left w:w="90" w:type="dxa"/>
                    <w:bottom w:w="50" w:type="dxa"/>
                    <w:right w:w="90" w:type="dxa"/>
                  </w:tcMar>
                </w:tcPr>
                <w:p w14:paraId="201E1B41">
                  <w:pPr>
                    <w:spacing w:before="10" w:after="10"/>
                  </w:pPr>
                  <w:r>
                    <w:rPr>
                      <w:rFonts w:ascii="Calibri" w:hAnsi="Calibri" w:eastAsia="Calibri" w:cs="Calibri"/>
                      <w:b/>
                      <w:bCs/>
                      <w:i w:val="0"/>
                      <w:iCs w:val="0"/>
                      <w:color w:val="1F4E79"/>
                      <w:sz w:val="17"/>
                      <w:szCs w:val="17"/>
                    </w:rPr>
                    <w:t>Target</w:t>
                  </w:r>
                </w:p>
              </w:tc>
            </w:tr>
            <w:tr w14:paraId="28DAA869">
              <w:trPr>
                <w:cantSplit/>
                <w:trHeight w:val="788" w:hRule="atLeast"/>
              </w:trPr>
              <w:tc>
                <w:tcPr>
                  <w:tcW w:w="2402" w:type="dxa"/>
                  <w:tcMar>
                    <w:top w:w="50" w:type="dxa"/>
                    <w:left w:w="90" w:type="dxa"/>
                    <w:bottom w:w="50" w:type="dxa"/>
                    <w:right w:w="90" w:type="dxa"/>
                  </w:tcMar>
                </w:tcPr>
                <w:p w14:paraId="7F84FA08">
                  <w:pPr>
                    <w:spacing w:before="10" w:after="10"/>
                  </w:pPr>
                  <w:r>
                    <w:rPr>
                      <w:rFonts w:ascii="Calibri" w:hAnsi="Calibri" w:eastAsia="Calibri" w:cs="Calibri"/>
                      <w:b w:val="0"/>
                      <w:bCs w:val="0"/>
                      <w:i w:val="0"/>
                      <w:iCs w:val="0"/>
                      <w:color w:val="000000"/>
                      <w:sz w:val="17"/>
                      <w:szCs w:val="17"/>
                    </w:rPr>
                    <w:t>Case Match Rate (CMR)</w:t>
                  </w:r>
                </w:p>
              </w:tc>
              <w:tc>
                <w:tcPr>
                  <w:tcW w:w="3282" w:type="dxa"/>
                  <w:tcMar>
                    <w:top w:w="50" w:type="dxa"/>
                    <w:left w:w="90" w:type="dxa"/>
                    <w:bottom w:w="50" w:type="dxa"/>
                    <w:right w:w="90" w:type="dxa"/>
                  </w:tcMar>
                </w:tcPr>
                <w:p w14:paraId="532D3A5C">
                  <w:pPr>
                    <w:spacing w:before="10" w:after="10"/>
                  </w:pPr>
                  <w:r>
                    <w:rPr>
                      <w:rFonts w:ascii="Calibri" w:hAnsi="Calibri" w:eastAsia="Calibri" w:cs="Calibri"/>
                      <w:b w:val="0"/>
                      <w:bCs w:val="0"/>
                      <w:i w:val="0"/>
                      <w:iCs w:val="0"/>
                      <w:color w:val="000000"/>
                      <w:sz w:val="17"/>
                      <w:szCs w:val="17"/>
                    </w:rPr>
                    <w:t>Share of SKU-days where the recommended order in cases equals the hindsight demand order in cases (actual next-day sales, rounded up to cases)</w:t>
                  </w:r>
                </w:p>
              </w:tc>
              <w:tc>
                <w:tcPr>
                  <w:tcW w:w="943" w:type="dxa"/>
                  <w:tcMar>
                    <w:top w:w="50" w:type="dxa"/>
                    <w:left w:w="90" w:type="dxa"/>
                    <w:bottom w:w="50" w:type="dxa"/>
                    <w:right w:w="90" w:type="dxa"/>
                  </w:tcMar>
                </w:tcPr>
                <w:p w14:paraId="21B088EF">
                  <w:pPr>
                    <w:spacing w:before="10" w:after="10"/>
                    <w:rPr>
                      <w:rFonts w:hint="default" w:eastAsia="SimSun"/>
                      <w:lang w:val="en-US" w:eastAsia="zh-CN"/>
                    </w:rPr>
                  </w:pPr>
                  <w:r>
                    <w:rPr>
                      <w:rFonts w:hint="eastAsia" w:ascii="Calibri" w:hAnsi="Calibri" w:eastAsia="Calibri" w:cs="Calibri"/>
                      <w:b w:val="0"/>
                      <w:bCs w:val="0"/>
                      <w:i w:val="0"/>
                      <w:iCs w:val="0"/>
                      <w:color w:val="000000"/>
                      <w:sz w:val="17"/>
                      <w:szCs w:val="17"/>
                      <w:lang w:val="en-US" w:eastAsia="zh-CN"/>
                    </w:rPr>
                    <w:t>To</w:t>
                  </w:r>
                  <w:r>
                    <w:rPr>
                      <w:rFonts w:hint="default" w:ascii="Calibri" w:hAnsi="Calibri" w:eastAsia="Calibri" w:cs="Calibri"/>
                      <w:b w:val="0"/>
                      <w:bCs w:val="0"/>
                      <w:i w:val="0"/>
                      <w:iCs w:val="0"/>
                      <w:color w:val="000000"/>
                      <w:sz w:val="17"/>
                      <w:szCs w:val="17"/>
                      <w:lang w:val="en-US" w:eastAsia="zh-CN"/>
                    </w:rPr>
                    <w:t xml:space="preserve">  measure</w:t>
                  </w:r>
                </w:p>
              </w:tc>
              <w:tc>
                <w:tcPr>
                  <w:tcW w:w="2673" w:type="dxa"/>
                  <w:tcMar>
                    <w:top w:w="50" w:type="dxa"/>
                    <w:left w:w="90" w:type="dxa"/>
                    <w:bottom w:w="50" w:type="dxa"/>
                    <w:right w:w="90" w:type="dxa"/>
                  </w:tcMar>
                </w:tcPr>
                <w:p w14:paraId="124E9E0D">
                  <w:pPr>
                    <w:spacing w:before="10" w:after="10"/>
                  </w:pPr>
                  <w:r>
                    <w:rPr>
                      <w:rFonts w:hint="eastAsia" w:ascii="Calibri" w:hAnsi="Calibri" w:eastAsia="Calibri" w:cs="Calibri"/>
                      <w:b w:val="0"/>
                      <w:bCs w:val="0"/>
                      <w:i w:val="0"/>
                      <w:iCs w:val="0"/>
                      <w:color w:val="000000"/>
                      <w:sz w:val="17"/>
                      <w:szCs w:val="17"/>
                    </w:rPr>
                    <w:t>≥ 15% relative improvement on the auto-answered sl</w:t>
                  </w:r>
                  <w:r>
                    <w:rPr>
                      <w:rFonts w:hint="eastAsia" w:ascii="Calibri" w:hAnsi="Calibri" w:eastAsia="Calibri" w:cs="Calibri"/>
                      <w:b/>
                      <w:bCs/>
                      <w:i w:val="0"/>
                      <w:iCs w:val="0"/>
                      <w:color w:val="000000"/>
                      <w:sz w:val="17"/>
                      <w:szCs w:val="17"/>
                    </w:rPr>
                    <w:t>ice</w:t>
                  </w:r>
                </w:p>
              </w:tc>
            </w:tr>
            <w:tr w14:paraId="2BEC3631">
              <w:trPr>
                <w:cantSplit/>
                <w:trHeight w:val="443" w:hRule="atLeast"/>
              </w:trPr>
              <w:tc>
                <w:tcPr>
                  <w:tcW w:w="2402" w:type="dxa"/>
                  <w:tcMar>
                    <w:top w:w="50" w:type="dxa"/>
                    <w:left w:w="90" w:type="dxa"/>
                    <w:bottom w:w="50" w:type="dxa"/>
                    <w:right w:w="90" w:type="dxa"/>
                  </w:tcMar>
                </w:tcPr>
                <w:p w14:paraId="4181344E">
                  <w:pPr>
                    <w:spacing w:before="10" w:after="10"/>
                  </w:pPr>
                  <w:r>
                    <w:rPr>
                      <w:rFonts w:ascii="Calibri" w:hAnsi="Calibri" w:eastAsia="Calibri" w:cs="Calibri"/>
                      <w:b w:val="0"/>
                      <w:bCs w:val="0"/>
                      <w:i w:val="0"/>
                      <w:iCs w:val="0"/>
                      <w:color w:val="000000"/>
                      <w:sz w:val="17"/>
                      <w:szCs w:val="17"/>
                    </w:rPr>
                    <w:t>Abstain Rate</w:t>
                  </w:r>
                </w:p>
              </w:tc>
              <w:tc>
                <w:tcPr>
                  <w:tcW w:w="3282" w:type="dxa"/>
                  <w:tcMar>
                    <w:top w:w="50" w:type="dxa"/>
                    <w:left w:w="90" w:type="dxa"/>
                    <w:bottom w:w="50" w:type="dxa"/>
                    <w:right w:w="90" w:type="dxa"/>
                  </w:tcMar>
                </w:tcPr>
                <w:p w14:paraId="42BC8A4B">
                  <w:pPr>
                    <w:spacing w:before="10" w:after="10"/>
                  </w:pPr>
                  <w:r>
                    <w:rPr>
                      <w:rFonts w:ascii="Calibri" w:hAnsi="Calibri" w:eastAsia="Calibri" w:cs="Calibri"/>
                      <w:b w:val="0"/>
                      <w:bCs w:val="0"/>
                      <w:i w:val="0"/>
                      <w:iCs w:val="0"/>
                      <w:color w:val="000000"/>
                      <w:sz w:val="17"/>
                      <w:szCs w:val="17"/>
                    </w:rPr>
                    <w:t>Abstained SKU-days ÷ all SKU-days</w:t>
                  </w:r>
                </w:p>
              </w:tc>
              <w:tc>
                <w:tcPr>
                  <w:tcW w:w="943" w:type="dxa"/>
                  <w:tcMar>
                    <w:top w:w="50" w:type="dxa"/>
                    <w:left w:w="90" w:type="dxa"/>
                    <w:bottom w:w="50" w:type="dxa"/>
                    <w:right w:w="90" w:type="dxa"/>
                  </w:tcMar>
                </w:tcPr>
                <w:p w14:paraId="73D71169">
                  <w:pPr>
                    <w:spacing w:before="10" w:after="10"/>
                  </w:pPr>
                  <w:r>
                    <w:rPr>
                      <w:rFonts w:ascii="Calibri" w:hAnsi="Calibri" w:eastAsia="Calibri" w:cs="Calibri"/>
                      <w:b w:val="0"/>
                      <w:bCs w:val="0"/>
                      <w:i w:val="0"/>
                      <w:iCs w:val="0"/>
                      <w:color w:val="000000"/>
                      <w:sz w:val="17"/>
                      <w:szCs w:val="17"/>
                    </w:rPr>
                    <w:t>—</w:t>
                  </w:r>
                </w:p>
              </w:tc>
              <w:tc>
                <w:tcPr>
                  <w:tcW w:w="2673" w:type="dxa"/>
                  <w:tcMar>
                    <w:top w:w="50" w:type="dxa"/>
                    <w:left w:w="90" w:type="dxa"/>
                    <w:bottom w:w="50" w:type="dxa"/>
                    <w:right w:w="90" w:type="dxa"/>
                  </w:tcMar>
                </w:tcPr>
                <w:p w14:paraId="4FD658EC">
                  <w:pPr>
                    <w:spacing w:before="10" w:after="10"/>
                  </w:pPr>
                  <w:r>
                    <w:rPr>
                      <w:rFonts w:hint="eastAsia" w:ascii="Calibri" w:hAnsi="Calibri" w:eastAsia="Calibri" w:cs="Calibri"/>
                      <w:b w:val="0"/>
                      <w:bCs w:val="0"/>
                      <w:i w:val="0"/>
                      <w:iCs w:val="0"/>
                      <w:color w:val="000000"/>
                      <w:sz w:val="17"/>
                      <w:szCs w:val="17"/>
                      <w:lang w:val="en-US" w:eastAsia="zh-CN"/>
                    </w:rPr>
                    <w:t>15%, a design choice with headroom under the ceiling in Section 5</w:t>
                  </w:r>
                </w:p>
                <w:p w14:paraId="4DE533E3">
                  <w:pPr>
                    <w:spacing w:before="10" w:after="10"/>
                  </w:pPr>
                </w:p>
              </w:tc>
            </w:tr>
            <w:tr w14:paraId="32743C5A">
              <w:trPr>
                <w:cantSplit/>
              </w:trPr>
              <w:tc>
                <w:tcPr>
                  <w:tcW w:w="2402" w:type="dxa"/>
                  <w:tcMar>
                    <w:top w:w="50" w:type="dxa"/>
                    <w:left w:w="90" w:type="dxa"/>
                    <w:bottom w:w="50" w:type="dxa"/>
                    <w:right w:w="90" w:type="dxa"/>
                  </w:tcMar>
                </w:tcPr>
                <w:p w14:paraId="2AA1A249">
                  <w:pPr>
                    <w:spacing w:before="10" w:after="10"/>
                  </w:pPr>
                  <w:r>
                    <w:rPr>
                      <w:rFonts w:ascii="Calibri" w:hAnsi="Calibri" w:eastAsia="Calibri" w:cs="Calibri"/>
                      <w:b w:val="0"/>
                      <w:bCs w:val="0"/>
                      <w:i w:val="0"/>
                      <w:iCs w:val="0"/>
                      <w:color w:val="000000"/>
                      <w:sz w:val="17"/>
                      <w:szCs w:val="17"/>
                    </w:rPr>
                    <w:t>Abstention Precision</w:t>
                  </w:r>
                </w:p>
              </w:tc>
              <w:tc>
                <w:tcPr>
                  <w:tcW w:w="3282" w:type="dxa"/>
                  <w:tcMar>
                    <w:top w:w="50" w:type="dxa"/>
                    <w:left w:w="90" w:type="dxa"/>
                    <w:bottom w:w="50" w:type="dxa"/>
                    <w:right w:w="90" w:type="dxa"/>
                  </w:tcMar>
                </w:tcPr>
                <w:p w14:paraId="5F0A32C0">
                  <w:pPr>
                    <w:spacing w:before="10" w:after="10"/>
                  </w:pPr>
                  <w:r>
                    <w:rPr>
                      <w:rFonts w:ascii="Calibri" w:hAnsi="Calibri" w:eastAsia="Calibri" w:cs="Calibri"/>
                      <w:b w:val="0"/>
                      <w:bCs w:val="0"/>
                      <w:i w:val="0"/>
                      <w:iCs w:val="0"/>
                      <w:color w:val="000000"/>
                      <w:sz w:val="17"/>
                      <w:szCs w:val="17"/>
                    </w:rPr>
                    <w:t>Share of abstained SKU-days that would have produced a ≥1-case error</w:t>
                  </w:r>
                </w:p>
              </w:tc>
              <w:tc>
                <w:tcPr>
                  <w:tcW w:w="943" w:type="dxa"/>
                  <w:tcMar>
                    <w:top w:w="50" w:type="dxa"/>
                    <w:left w:w="90" w:type="dxa"/>
                    <w:bottom w:w="50" w:type="dxa"/>
                    <w:right w:w="90" w:type="dxa"/>
                  </w:tcMar>
                </w:tcPr>
                <w:p w14:paraId="7C165989">
                  <w:pPr>
                    <w:spacing w:before="10" w:after="10"/>
                  </w:pPr>
                  <w:r>
                    <w:rPr>
                      <w:rFonts w:ascii="Calibri" w:hAnsi="Calibri" w:eastAsia="Calibri" w:cs="Calibri"/>
                      <w:b w:val="0"/>
                      <w:bCs w:val="0"/>
                      <w:i w:val="0"/>
                      <w:iCs w:val="0"/>
                      <w:color w:val="000000"/>
                      <w:sz w:val="17"/>
                      <w:szCs w:val="17"/>
                    </w:rPr>
                    <w:t>—</w:t>
                  </w:r>
                </w:p>
              </w:tc>
              <w:tc>
                <w:tcPr>
                  <w:tcW w:w="2673" w:type="dxa"/>
                  <w:tcMar>
                    <w:top w:w="50" w:type="dxa"/>
                    <w:left w:w="90" w:type="dxa"/>
                    <w:bottom w:w="50" w:type="dxa"/>
                    <w:right w:w="90" w:type="dxa"/>
                  </w:tcMar>
                </w:tcPr>
                <w:p w14:paraId="7B59235B">
                  <w:pPr>
                    <w:spacing w:before="10" w:after="10"/>
                    <w:rPr>
                      <w:rFonts w:hint="eastAsia" w:ascii="Calibri" w:hAnsi="Calibri" w:eastAsia="Calibri" w:cs="Calibri"/>
                      <w:b w:val="0"/>
                      <w:bCs w:val="0"/>
                      <w:i w:val="0"/>
                      <w:iCs w:val="0"/>
                      <w:color w:val="000000"/>
                      <w:sz w:val="17"/>
                      <w:szCs w:val="17"/>
                      <w:lang w:val="en-US" w:eastAsia="zh-CN"/>
                    </w:rPr>
                  </w:pPr>
                  <w:r>
                    <w:rPr>
                      <w:rFonts w:hint="eastAsia" w:ascii="Calibri" w:hAnsi="Calibri" w:eastAsia="Calibri" w:cs="Calibri"/>
                      <w:b w:val="0"/>
                      <w:bCs w:val="0"/>
                      <w:i w:val="0"/>
                      <w:iCs w:val="0"/>
                      <w:color w:val="000000"/>
                      <w:sz w:val="17"/>
                      <w:szCs w:val="17"/>
                      <w:lang w:val="en-US" w:eastAsia="zh-CN"/>
                    </w:rPr>
                    <w:t>as high as the sweep allows at that rate</w:t>
                  </w:r>
                </w:p>
                <w:p w14:paraId="44EA7A44">
                  <w:pPr>
                    <w:spacing w:before="10" w:after="10"/>
                    <w:rPr>
                      <w:rFonts w:hint="eastAsia" w:ascii="Calibri" w:hAnsi="Calibri" w:eastAsia="Calibri" w:cs="Calibri"/>
                      <w:b w:val="0"/>
                      <w:bCs w:val="0"/>
                      <w:i w:val="0"/>
                      <w:iCs w:val="0"/>
                      <w:color w:val="000000"/>
                      <w:sz w:val="17"/>
                      <w:szCs w:val="17"/>
                      <w:lang w:val="en-US" w:eastAsia="zh-CN"/>
                    </w:rPr>
                  </w:pPr>
                </w:p>
              </w:tc>
            </w:tr>
          </w:tbl>
          <w:p w14:paraId="002656D3">
            <w:pPr>
              <w:spacing w:before="0" w:after="60"/>
              <w:rPr>
                <w:b/>
                <w:bCs/>
              </w:rPr>
            </w:pPr>
          </w:p>
          <w:p w14:paraId="0137E774">
            <w:pPr>
              <w:rPr>
                <w:rFonts w:hint="eastAsia"/>
              </w:rPr>
            </w:pPr>
            <w:r>
              <w:rPr>
                <w:rFonts w:hint="eastAsia"/>
                <w:b/>
                <w:bCs/>
              </w:rPr>
              <w:t>CMR is the headline</w:t>
            </w:r>
            <w:r>
              <w:rPr>
                <w:rFonts w:hint="default"/>
                <w:b/>
                <w:bCs/>
                <w:lang w:val="en-US"/>
              </w:rPr>
              <w:t xml:space="preserve">: </w:t>
            </w:r>
            <w:r>
              <w:rPr>
                <w:rFonts w:hint="default" w:eastAsia="SimSun"/>
                <w:b w:val="0"/>
                <w:bCs w:val="0"/>
                <w:lang w:val="en-US" w:eastAsia="zh-CN"/>
              </w:rPr>
              <w:t xml:space="preserve">It is </w:t>
            </w:r>
            <w:r>
              <w:rPr>
                <w:rFonts w:hint="eastAsia"/>
                <w:b w:val="0"/>
                <w:bCs w:val="0"/>
              </w:rPr>
              <w:t xml:space="preserve">because the decision </w:t>
            </w:r>
            <w:r>
              <w:rPr>
                <w:rFonts w:hint="eastAsia"/>
              </w:rPr>
              <w:t>is discrete</w:t>
            </w:r>
            <w:r>
              <w:rPr>
                <w:rFonts w:hint="default"/>
                <w:lang w:val="en-US"/>
              </w:rPr>
              <w:t xml:space="preserve">, </w:t>
            </w:r>
            <w:r>
              <w:rPr>
                <w:rFonts w:hint="eastAsia"/>
              </w:rPr>
              <w:t>an order is 3 cases or 4. A forecast 8% off matters only if it crosses a case boundary, and store-level MAPE hides exactly that. (Renamed from “Case-Pack Order Accuracy”: with no inventory data this measures demand in cases, not ordering optimality.)</w:t>
            </w:r>
          </w:p>
          <w:p w14:paraId="0B3738C0">
            <w:pPr>
              <w:rPr>
                <w:rFonts w:hint="eastAsia"/>
              </w:rPr>
            </w:pPr>
          </w:p>
          <w:p w14:paraId="30574F18">
            <w:pPr>
              <w:rPr>
                <w:rFonts w:hint="default"/>
                <w:b/>
                <w:bCs/>
                <w:lang w:val="en-US"/>
              </w:rPr>
            </w:pPr>
            <w:r>
              <w:rPr>
                <w:rFonts w:hint="eastAsia"/>
                <w:b/>
                <w:bCs/>
              </w:rPr>
              <w:t>The abstention numbers are not independent</w:t>
            </w:r>
            <w:r>
              <w:rPr>
                <w:rFonts w:hint="default"/>
                <w:b/>
                <w:bCs/>
                <w:lang w:val="en-US"/>
              </w:rPr>
              <w:t xml:space="preserve">: </w:t>
            </w:r>
          </w:p>
          <w:p w14:paraId="09E475EF">
            <w:r>
              <w:rPr>
                <w:rFonts w:hint="eastAsia"/>
                <w:b/>
                <w:bCs/>
              </w:rPr>
              <w:t xml:space="preserve">Recall = (abstain_rate × precision) / error_base_rate. </w:t>
            </w:r>
            <w:r>
              <w:rPr>
                <w:rFonts w:hint="eastAsia"/>
              </w:rPr>
              <w:t>The base rate is a property of the data, so I am not setting a recall target, but the relation holds whatever it turns out to be: at a fixed abstain rate I cannot raise precision and recall together, and tightening the gate trades one for the other. Reporting the sweep as a curve is the honest form of that, not a single point. Abstention precision is also measurable only on a backtest — in production an abstained case goes to a person and the model's would-be answer is never observed, so it never appears as a live metric.</w:t>
            </w:r>
          </w:p>
          <w:p w14:paraId="64624AC8">
            <w:pPr>
              <w:rPr>
                <w:rFonts w:hint="default"/>
                <w:lang w:val="en-US"/>
              </w:rPr>
            </w:pPr>
            <w:r>
              <w:br w:type="textWrapping"/>
            </w:r>
            <w:r>
              <w:rPr>
                <w:rFonts w:hint="eastAsia"/>
                <w:b/>
                <w:bCs/>
              </w:rPr>
              <w:t>The eval I will run. Four checks, in order of what they would invalidate</w:t>
            </w:r>
            <w:r>
              <w:rPr>
                <w:rFonts w:hint="default"/>
                <w:b/>
                <w:bCs/>
                <w:lang w:val="en-US"/>
              </w:rPr>
              <w:t>:</w:t>
            </w:r>
          </w:p>
          <w:p w14:paraId="31A33DC9">
            <w:pPr>
              <w:numPr>
                <w:ilvl w:val="0"/>
                <w:numId w:val="1"/>
              </w:numPr>
              <w:rPr>
                <w:rFonts w:hint="eastAsia"/>
                <w:b/>
                <w:bCs/>
              </w:rPr>
            </w:pPr>
            <w:r>
              <w:rPr>
                <w:rFonts w:hint="eastAsia"/>
                <w:b/>
                <w:bCs/>
              </w:rPr>
              <w:t>Temporal holdout</w:t>
            </w:r>
          </w:p>
          <w:p w14:paraId="33DF30F4">
            <w:pPr>
              <w:numPr>
                <w:numId w:val="0"/>
              </w:numPr>
              <w:rPr>
                <w:rFonts w:hint="eastAsia"/>
              </w:rPr>
            </w:pPr>
            <w:r>
              <w:rPr>
                <w:rFonts w:hint="eastAsia"/>
              </w:rPr>
              <w:t>Three rolling-origin folds, each trained on everything before its test window and tested on the next 31 days: 2017-05-16 to 06-15, 06-16 to 07-15, and 07-16 to 08-15 (the last 31 days of the data). Folds are reported separately, not averaged, so a single holiday weekend cannot own the result. The windows were not authored by me, which is how I avoid designing my own test set, and I will not claim statistical sufficiency: each fold is 31 correlated days.</w:t>
            </w:r>
          </w:p>
          <w:p w14:paraId="2B786B73">
            <w:pPr>
              <w:rPr>
                <w:rFonts w:hint="eastAsia"/>
              </w:rPr>
            </w:pPr>
            <w:r>
              <w:rPr>
                <w:rFonts w:hint="eastAsia"/>
                <w:b/>
                <w:bCs/>
              </w:rPr>
              <w:t>2. Gate sweep</w:t>
            </w:r>
            <w:r>
              <w:rPr>
                <w:rFonts w:hint="eastAsia"/>
              </w:rPr>
              <w:br w:type="textWrapping"/>
              <w:t>Re-run the backtest at rel_width thresholds of 0.40 / 0.50 / 0.60 / 0.70 (extended to 0.60 / 0.70 / 0.85 / 1.00 / 1.20 after the first run measured a median rel_width of about 0.77, so the planned range never reached the design abstain rate) and report abstention precision against abstain rate as a curve. The operating point is chosen from that curve, not fixed in advance.</w:t>
            </w:r>
          </w:p>
          <w:p w14:paraId="1A71B28F">
            <w:pPr>
              <w:rPr>
                <w:rFonts w:hint="eastAsia"/>
              </w:rPr>
            </w:pPr>
            <w:r>
              <w:rPr>
                <w:rFonts w:hint="eastAsia"/>
                <w:b/>
                <w:bCs/>
              </w:rPr>
              <w:t>3. Explanation harness</w:t>
            </w:r>
            <w:r>
              <w:rPr>
                <w:rFonts w:hint="eastAsia"/>
              </w:rPr>
              <w:br w:type="textWrapping"/>
              <w:t>The 10-case L1/L2 setup from Class 3 on the language layer. L1 is deterministic: every numeral in the output must be a member of the fact block. L2 is an LLM judge on faithfulness and tone, and the judge is a component, not ground truth.</w:t>
            </w:r>
          </w:p>
          <w:p w14:paraId="681A0B64">
            <w:pPr>
              <w:rPr>
                <w:rFonts w:hint="eastAsia"/>
                <w:b/>
                <w:bCs/>
              </w:rPr>
            </w:pPr>
            <w:r>
              <w:rPr>
                <w:rFonts w:hint="eastAsia"/>
                <w:b/>
                <w:bCs/>
              </w:rPr>
              <w:t>4. Interval calibration</w:t>
            </w:r>
          </w:p>
          <w:p w14:paraId="09C92B38">
            <w:pPr>
              <w:rPr>
                <w:rFonts w:hint="eastAsia"/>
              </w:rPr>
            </w:pPr>
            <w:r>
              <w:rPr>
                <w:rFonts w:hint="eastAsia"/>
              </w:rPr>
              <w:t>If empirical coverage is far below nominal, the intervals are not what they claim to be and every abstention number above it is meaningless. This check runs first in practice, because it can invalidate the other three.</w:t>
            </w:r>
          </w:p>
          <w:p w14:paraId="4FF66836">
            <w:pPr>
              <w:rPr>
                <w:rFonts w:hint="eastAsia"/>
              </w:rPr>
            </w:pPr>
          </w:p>
          <w:p w14:paraId="6A6E2B12">
            <w:pPr>
              <w:rPr>
                <w:rFonts w:hint="eastAsia"/>
              </w:rPr>
            </w:pPr>
          </w:p>
          <w:p w14:paraId="4D19FC43">
            <w:pPr>
              <w:rPr>
                <w:rFonts w:hint="eastAsia"/>
              </w:rPr>
            </w:pPr>
          </w:p>
          <w:p w14:paraId="7C211EEA">
            <w:r>
              <w:rPr>
                <w:rFonts w:hint="eastAsia"/>
                <w:b/>
                <w:bCs/>
              </w:rPr>
              <w:t>What would make me abandon the approach</w:t>
            </w:r>
            <w:r>
              <w:rPr>
                <w:rFonts w:hint="default"/>
                <w:b/>
                <w:bCs/>
                <w:lang w:val="en-US"/>
              </w:rPr>
              <w:t xml:space="preserve">: </w:t>
            </w:r>
            <w:r>
              <w:rPr>
                <w:rFonts w:hint="eastAsia"/>
              </w:rPr>
              <w:t>If the sweep shows abstention precision at the 15% rate is no better than picking SKUs at random, the gate carries no information and the honest conclusion is that this problem needs faster post-hoc detection rather than abstention. I will report that outcome if I get it.</w:t>
            </w:r>
          </w:p>
        </w:tc>
      </w:tr>
    </w:tbl>
    <w:p w14:paraId="687FACA3">
      <w:pPr>
        <w:spacing w:before="170" w:after="20"/>
      </w:pPr>
      <w:r>
        <w:rPr>
          <w:b/>
          <w:bCs/>
          <w:color w:val="1F3864"/>
          <w:sz w:val="21"/>
          <w:szCs w:val="21"/>
        </w:rPr>
        <w:t>8 · Risks, limitations &amp; responsible use</w:t>
      </w:r>
    </w:p>
    <w:p w14:paraId="050EEB25">
      <w:pPr>
        <w:spacing w:after="40"/>
      </w:pPr>
      <w:r>
        <w:rPr>
          <w:i/>
          <w:iCs/>
          <w:color w:val="595959"/>
          <w:sz w:val="16"/>
          <w:szCs w:val="16"/>
        </w:rPr>
        <w:t>What could go wrong (incl. silent failure), and who might it affect?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48DF975A">
        <w:tc>
          <w:tcPr>
            <w:tcW w:w="9026" w:type="dxa"/>
            <w:shd w:val="clear" w:color="auto" w:fill="FAFBFD"/>
            <w:tcMar>
              <w:top w:w="60" w:type="dxa"/>
              <w:left w:w="120" w:type="dxa"/>
              <w:bottom w:w="60" w:type="dxa"/>
              <w:right w:w="120" w:type="dxa"/>
            </w:tcMar>
          </w:tcPr>
          <w:p w14:paraId="196F51D4">
            <w:pPr>
              <w:spacing w:before="0" w:after="60"/>
              <w:rPr>
                <w:rFonts w:hint="eastAsia" w:ascii="Calibri" w:hAnsi="Calibri" w:eastAsia="Calibri" w:cs="Calibri"/>
                <w:b/>
                <w:bCs/>
                <w:i w:val="0"/>
                <w:iCs w:val="0"/>
                <w:color w:val="000000"/>
                <w:sz w:val="19"/>
                <w:szCs w:val="19"/>
              </w:rPr>
            </w:pPr>
            <w:r>
              <w:rPr>
                <w:rFonts w:hint="eastAsia" w:ascii="Calibri" w:hAnsi="Calibri" w:eastAsia="SimSun" w:cs="Calibri"/>
                <w:b/>
                <w:bCs/>
                <w:i w:val="0"/>
                <w:iCs w:val="0"/>
                <w:color w:val="000000"/>
                <w:sz w:val="19"/>
                <w:szCs w:val="19"/>
                <w:lang w:val="en-US" w:eastAsia="zh-CN"/>
              </w:rPr>
              <w:t>A Silent failure</w:t>
            </w:r>
            <w:r>
              <w:rPr>
                <w:rFonts w:hint="default" w:ascii="Calibri" w:hAnsi="Calibri" w:eastAsia="SimSun" w:cs="Calibri"/>
                <w:b/>
                <w:bCs/>
                <w:i w:val="0"/>
                <w:iCs w:val="0"/>
                <w:color w:val="000000"/>
                <w:sz w:val="19"/>
                <w:szCs w:val="19"/>
                <w:lang w:val="en-US" w:eastAsia="zh-CN"/>
              </w:rPr>
              <w:t>, the</w:t>
            </w:r>
            <w:r>
              <w:rPr>
                <w:rFonts w:hint="eastAsia" w:ascii="Calibri" w:hAnsi="Calibri" w:eastAsia="Calibri" w:cs="Calibri"/>
                <w:b/>
                <w:bCs/>
                <w:i w:val="0"/>
                <w:iCs w:val="0"/>
                <w:color w:val="000000"/>
                <w:sz w:val="19"/>
                <w:szCs w:val="19"/>
              </w:rPr>
              <w:t xml:space="preserve"> demand regime break the features cannot see:</w:t>
            </w:r>
            <w:r>
              <w:rPr>
                <w:rFonts w:hint="default" w:cs="Calibri"/>
                <w:b/>
                <w:bCs/>
                <w:i w:val="0"/>
                <w:iCs w:val="0"/>
                <w:color w:val="000000"/>
                <w:sz w:val="19"/>
                <w:szCs w:val="19"/>
                <w:lang w:val="en-US"/>
              </w:rPr>
              <w:t xml:space="preserve"> </w:t>
            </w:r>
            <w:r>
              <w:rPr>
                <w:rFonts w:hint="eastAsia" w:ascii="Calibri" w:hAnsi="Calibri" w:eastAsia="Calibri" w:cs="Calibri"/>
                <w:b w:val="0"/>
                <w:bCs w:val="0"/>
                <w:i w:val="0"/>
                <w:iCs w:val="0"/>
                <w:color w:val="000000"/>
                <w:sz w:val="19"/>
                <w:szCs w:val="19"/>
              </w:rPr>
              <w:t xml:space="preserve">For example a local promotion, a school holiday, a competitor closure. The interval is estimated from residuals under normal conditions, so on the break day it stays narrow, sits below the gate, and no abstention fires. The model then writes a fluent, faithful but useless sentence from the fact block: "last 7 days averaged 30 with no trend." It will pass every automated check, and be irrelevant. </w:t>
            </w:r>
          </w:p>
          <w:p w14:paraId="7AF3F756">
            <w:pPr>
              <w:spacing w:before="0" w:after="60"/>
              <w:rPr>
                <w:rFonts w:hint="eastAsia" w:ascii="Calibri" w:hAnsi="Calibri" w:eastAsia="Calibri" w:cs="Calibri"/>
                <w:b/>
                <w:bCs/>
                <w:i w:val="0"/>
                <w:iCs w:val="0"/>
                <w:color w:val="000000"/>
                <w:sz w:val="19"/>
                <w:szCs w:val="19"/>
              </w:rPr>
            </w:pPr>
          </w:p>
          <w:p w14:paraId="5EAA603D">
            <w:pPr>
              <w:spacing w:before="0" w:after="60"/>
              <w:rPr>
                <w:rFonts w:hint="eastAsia" w:ascii="Calibri" w:hAnsi="Calibri" w:eastAsia="Calibri" w:cs="Calibri"/>
                <w:b/>
                <w:bCs/>
                <w:i w:val="0"/>
                <w:iCs w:val="0"/>
                <w:color w:val="000000"/>
                <w:sz w:val="19"/>
                <w:szCs w:val="19"/>
              </w:rPr>
            </w:pPr>
            <w:r>
              <w:rPr>
                <w:rFonts w:hint="eastAsia" w:ascii="Calibri" w:hAnsi="Calibri" w:eastAsia="Calibri" w:cs="Calibri"/>
                <w:b/>
                <w:bCs/>
                <w:i w:val="0"/>
                <w:iCs w:val="0"/>
                <w:color w:val="000000"/>
                <w:sz w:val="19"/>
                <w:szCs w:val="19"/>
              </w:rPr>
              <w:t>The compounding version is worse:</w:t>
            </w:r>
            <w:r>
              <w:rPr>
                <w:rFonts w:hint="default" w:cs="Calibri"/>
                <w:b/>
                <w:bCs/>
                <w:i w:val="0"/>
                <w:iCs w:val="0"/>
                <w:color w:val="000000"/>
                <w:sz w:val="19"/>
                <w:szCs w:val="19"/>
                <w:lang w:val="en-US"/>
              </w:rPr>
              <w:t xml:space="preserve"> </w:t>
            </w:r>
            <w:r>
              <w:rPr>
                <w:rFonts w:hint="eastAsia" w:ascii="Calibri" w:hAnsi="Calibri" w:eastAsia="Calibri" w:cs="Calibri"/>
                <w:b w:val="0"/>
                <w:bCs w:val="0"/>
                <w:i w:val="0"/>
                <w:iCs w:val="0"/>
                <w:color w:val="000000"/>
                <w:sz w:val="19"/>
                <w:szCs w:val="19"/>
              </w:rPr>
              <w:t>A stockout censors recorded demand downward</w:t>
            </w:r>
            <w:r>
              <w:rPr>
                <w:rFonts w:hint="default" w:ascii="Calibri" w:hAnsi="Calibri" w:eastAsia="Calibri" w:cs="Calibri"/>
                <w:b w:val="0"/>
                <w:bCs w:val="0"/>
                <w:i w:val="0"/>
                <w:iCs w:val="0"/>
                <w:color w:val="000000"/>
                <w:sz w:val="19"/>
                <w:szCs w:val="19"/>
                <w:lang w:val="en-US"/>
              </w:rPr>
              <w:t>. T</w:t>
            </w:r>
            <w:r>
              <w:rPr>
                <w:rFonts w:hint="eastAsia" w:ascii="Calibri" w:hAnsi="Calibri" w:eastAsia="Calibri" w:cs="Calibri"/>
                <w:b w:val="0"/>
                <w:bCs w:val="0"/>
                <w:i w:val="0"/>
                <w:iCs w:val="0"/>
                <w:color w:val="000000"/>
                <w:sz w:val="19"/>
                <w:szCs w:val="19"/>
              </w:rPr>
              <w:t>he POS logs what was sold, not what was wanted. That day enters next week's training data, the model learns lower demand, orders less, stocks out again. It trains on its own mistake, and MAPE stays flat throughout because the error is a persistent bias, not a larger magnitude.</w:t>
            </w:r>
          </w:p>
          <w:p w14:paraId="7512E328">
            <w:pPr>
              <w:spacing w:before="0" w:after="60"/>
              <w:rPr>
                <w:rFonts w:hint="eastAsia" w:ascii="Calibri" w:hAnsi="Calibri" w:eastAsia="Calibri" w:cs="Calibri"/>
                <w:b/>
                <w:bCs/>
                <w:i w:val="0"/>
                <w:iCs w:val="0"/>
                <w:color w:val="000000"/>
                <w:sz w:val="19"/>
                <w:szCs w:val="19"/>
              </w:rPr>
            </w:pPr>
          </w:p>
          <w:tbl>
            <w:tblPr>
              <w:tblStyle w:val="12"/>
              <w:tblW w:w="930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338"/>
              <w:gridCol w:w="5962"/>
            </w:tblGrid>
            <w:tr w14:paraId="405030FB">
              <w:trPr>
                <w:cantSplit/>
                <w:tblHeader/>
              </w:trPr>
              <w:tc>
                <w:tcPr>
                  <w:tcW w:w="3338" w:type="dxa"/>
                  <w:shd w:val="clear" w:color="auto" w:fill="F2F2F2"/>
                  <w:tcMar>
                    <w:top w:w="50" w:type="dxa"/>
                    <w:left w:w="90" w:type="dxa"/>
                    <w:bottom w:w="50" w:type="dxa"/>
                    <w:right w:w="90" w:type="dxa"/>
                  </w:tcMar>
                </w:tcPr>
                <w:p w14:paraId="0965DB91">
                  <w:pPr>
                    <w:spacing w:before="10" w:after="10"/>
                  </w:pPr>
                  <w:r>
                    <w:rPr>
                      <w:rFonts w:ascii="Calibri" w:hAnsi="Calibri" w:eastAsia="Calibri" w:cs="Calibri"/>
                      <w:b/>
                      <w:bCs/>
                      <w:i w:val="0"/>
                      <w:iCs w:val="0"/>
                      <w:color w:val="1F4E79"/>
                      <w:sz w:val="17"/>
                      <w:szCs w:val="17"/>
                    </w:rPr>
                    <w:t>Risk</w:t>
                  </w:r>
                </w:p>
              </w:tc>
              <w:tc>
                <w:tcPr>
                  <w:tcW w:w="5962" w:type="dxa"/>
                  <w:shd w:val="clear" w:color="auto" w:fill="F2F2F2"/>
                  <w:tcMar>
                    <w:top w:w="50" w:type="dxa"/>
                    <w:left w:w="90" w:type="dxa"/>
                    <w:bottom w:w="50" w:type="dxa"/>
                    <w:right w:w="90" w:type="dxa"/>
                  </w:tcMar>
                </w:tcPr>
                <w:p w14:paraId="22DA6712">
                  <w:pPr>
                    <w:spacing w:before="10" w:after="10"/>
                  </w:pPr>
                  <w:r>
                    <w:rPr>
                      <w:rFonts w:ascii="Calibri" w:hAnsi="Calibri" w:eastAsia="Calibri" w:cs="Calibri"/>
                      <w:b/>
                      <w:bCs/>
                      <w:i w:val="0"/>
                      <w:iCs w:val="0"/>
                      <w:color w:val="1F4E79"/>
                      <w:sz w:val="17"/>
                      <w:szCs w:val="17"/>
                    </w:rPr>
                    <w:t>Mitigation (built, not described)</w:t>
                  </w:r>
                </w:p>
              </w:tc>
            </w:tr>
            <w:tr w14:paraId="6C06795F">
              <w:trPr>
                <w:cantSplit/>
              </w:trPr>
              <w:tc>
                <w:tcPr>
                  <w:tcW w:w="3338" w:type="dxa"/>
                  <w:tcMar>
                    <w:top w:w="50" w:type="dxa"/>
                    <w:left w:w="90" w:type="dxa"/>
                    <w:bottom w:w="50" w:type="dxa"/>
                    <w:right w:w="90" w:type="dxa"/>
                  </w:tcMar>
                </w:tcPr>
                <w:p w14:paraId="0785C791">
                  <w:pPr>
                    <w:spacing w:before="10" w:after="10"/>
                  </w:pPr>
                  <w:r>
                    <w:rPr>
                      <w:rFonts w:ascii="Calibri" w:hAnsi="Calibri" w:eastAsia="Calibri" w:cs="Calibri"/>
                      <w:b w:val="0"/>
                      <w:bCs w:val="0"/>
                      <w:i w:val="0"/>
                      <w:iCs w:val="0"/>
                      <w:color w:val="000000"/>
                      <w:sz w:val="17"/>
                      <w:szCs w:val="17"/>
                    </w:rPr>
                    <w:t>Narrow interval on a regime break</w:t>
                  </w:r>
                </w:p>
              </w:tc>
              <w:tc>
                <w:tcPr>
                  <w:tcW w:w="5962" w:type="dxa"/>
                  <w:tcMar>
                    <w:top w:w="50" w:type="dxa"/>
                    <w:left w:w="90" w:type="dxa"/>
                    <w:bottom w:w="50" w:type="dxa"/>
                    <w:right w:w="90" w:type="dxa"/>
                  </w:tcMar>
                </w:tcPr>
                <w:p w14:paraId="24107144">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Two gates that do not depend on the interval: a calendar-flag rule forcing abstention around rare events, and a novelty check on distance from the training feature distribution. The interval catches SKUs that are inherently volatile; these catch inputs the model has not seen. Both thresholds come from the data, not from a number chosen now.</w:t>
                  </w:r>
                </w:p>
                <w:p w14:paraId="2B467BA7">
                  <w:pPr>
                    <w:spacing w:before="10" w:after="10"/>
                    <w:rPr>
                      <w:rFonts w:ascii="Calibri" w:hAnsi="Calibri" w:eastAsia="Calibri" w:cs="Calibri"/>
                      <w:b w:val="0"/>
                      <w:bCs w:val="0"/>
                      <w:i w:val="0"/>
                      <w:iCs w:val="0"/>
                      <w:color w:val="000000"/>
                      <w:sz w:val="17"/>
                      <w:szCs w:val="17"/>
                    </w:rPr>
                  </w:pPr>
                </w:p>
              </w:tc>
            </w:tr>
            <w:tr w14:paraId="775477AD">
              <w:trPr>
                <w:cantSplit/>
              </w:trPr>
              <w:tc>
                <w:tcPr>
                  <w:tcW w:w="3338" w:type="dxa"/>
                  <w:tcMar>
                    <w:top w:w="50" w:type="dxa"/>
                    <w:left w:w="90" w:type="dxa"/>
                    <w:bottom w:w="50" w:type="dxa"/>
                    <w:right w:w="90" w:type="dxa"/>
                  </w:tcMar>
                </w:tcPr>
                <w:p w14:paraId="31943DD4">
                  <w:pPr>
                    <w:spacing w:before="10" w:after="10"/>
                  </w:pPr>
                  <w:r>
                    <w:rPr>
                      <w:rFonts w:ascii="Calibri" w:hAnsi="Calibri" w:eastAsia="Calibri" w:cs="Calibri"/>
                      <w:b w:val="0"/>
                      <w:bCs w:val="0"/>
                      <w:i w:val="0"/>
                      <w:iCs w:val="0"/>
                      <w:color w:val="000000"/>
                      <w:sz w:val="17"/>
                      <w:szCs w:val="17"/>
                    </w:rPr>
                    <w:t>Persistent over-order bias invisible to MAPE</w:t>
                  </w:r>
                </w:p>
              </w:tc>
              <w:tc>
                <w:tcPr>
                  <w:tcW w:w="5962" w:type="dxa"/>
                  <w:tcMar>
                    <w:top w:w="50" w:type="dxa"/>
                    <w:left w:w="90" w:type="dxa"/>
                    <w:bottom w:w="50" w:type="dxa"/>
                    <w:right w:w="90" w:type="dxa"/>
                  </w:tcMar>
                </w:tcPr>
                <w:p w14:paraId="64394176">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Rolling mean signed error, with the alert threshold set from the backtest residual distribution. Absolute-error metrics cannot see a persistent bias at all — that is why this monitor exists separately.</w:t>
                  </w:r>
                </w:p>
                <w:p w14:paraId="5D5D40B8">
                  <w:pPr>
                    <w:spacing w:before="10" w:after="10"/>
                    <w:rPr>
                      <w:rFonts w:ascii="Calibri" w:hAnsi="Calibri" w:eastAsia="Calibri" w:cs="Calibri"/>
                      <w:b w:val="0"/>
                      <w:bCs w:val="0"/>
                      <w:i w:val="0"/>
                      <w:iCs w:val="0"/>
                      <w:color w:val="000000"/>
                      <w:sz w:val="17"/>
                      <w:szCs w:val="17"/>
                    </w:rPr>
                  </w:pPr>
                </w:p>
              </w:tc>
            </w:tr>
            <w:tr w14:paraId="3821F4F9">
              <w:trPr>
                <w:cantSplit/>
              </w:trPr>
              <w:tc>
                <w:tcPr>
                  <w:tcW w:w="3338" w:type="dxa"/>
                  <w:tcMar>
                    <w:top w:w="50" w:type="dxa"/>
                    <w:left w:w="90" w:type="dxa"/>
                    <w:bottom w:w="50" w:type="dxa"/>
                    <w:right w:w="90" w:type="dxa"/>
                  </w:tcMar>
                </w:tcPr>
                <w:p w14:paraId="2C44C158">
                  <w:pPr>
                    <w:spacing w:before="10" w:after="10"/>
                  </w:pPr>
                  <w:r>
                    <w:rPr>
                      <w:rFonts w:ascii="Calibri" w:hAnsi="Calibri" w:eastAsia="Calibri" w:cs="Calibri"/>
                      <w:b w:val="0"/>
                      <w:bCs w:val="0"/>
                      <w:i w:val="0"/>
                      <w:iCs w:val="0"/>
                      <w:color w:val="000000"/>
                      <w:sz w:val="17"/>
                      <w:szCs w:val="17"/>
                    </w:rPr>
                    <w:t>Censored-demand feedback loop</w:t>
                  </w:r>
                </w:p>
              </w:tc>
              <w:tc>
                <w:tcPr>
                  <w:tcW w:w="5962" w:type="dxa"/>
                  <w:tcMar>
                    <w:top w:w="50" w:type="dxa"/>
                    <w:left w:w="90" w:type="dxa"/>
                    <w:bottom w:w="50" w:type="dxa"/>
                    <w:right w:w="90" w:type="dxa"/>
                  </w:tcMar>
                </w:tcPr>
                <w:p w14:paraId="138D581C">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On real POS data, exclude any SKU-day ending at zero on-hand from training. Favorita has no inventory field, so I cannot implement this on the prototype and will state the limitation rather than simulate a fix.</w:t>
                  </w:r>
                </w:p>
                <w:p w14:paraId="3A670719">
                  <w:pPr>
                    <w:spacing w:before="10" w:after="10"/>
                    <w:rPr>
                      <w:rFonts w:ascii="Calibri" w:hAnsi="Calibri" w:eastAsia="Calibri" w:cs="Calibri"/>
                      <w:b w:val="0"/>
                      <w:bCs w:val="0"/>
                      <w:i w:val="0"/>
                      <w:iCs w:val="0"/>
                      <w:color w:val="000000"/>
                      <w:sz w:val="17"/>
                      <w:szCs w:val="17"/>
                    </w:rPr>
                  </w:pPr>
                </w:p>
              </w:tc>
            </w:tr>
            <w:tr w14:paraId="6E2B7AE7">
              <w:trPr>
                <w:cantSplit/>
              </w:trPr>
              <w:tc>
                <w:tcPr>
                  <w:tcW w:w="3338" w:type="dxa"/>
                  <w:tcMar>
                    <w:top w:w="50" w:type="dxa"/>
                    <w:left w:w="90" w:type="dxa"/>
                    <w:bottom w:w="50" w:type="dxa"/>
                    <w:right w:w="90" w:type="dxa"/>
                  </w:tcMar>
                </w:tcPr>
                <w:p w14:paraId="45B5C184">
                  <w:pPr>
                    <w:spacing w:before="10" w:after="10"/>
                  </w:pPr>
                  <w:r>
                    <w:rPr>
                      <w:rFonts w:ascii="Calibri" w:hAnsi="Calibri" w:eastAsia="Calibri" w:cs="Calibri"/>
                      <w:b w:val="0"/>
                      <w:bCs w:val="0"/>
                      <w:i w:val="0"/>
                      <w:iCs w:val="0"/>
                      <w:color w:val="000000"/>
                      <w:sz w:val="17"/>
                      <w:szCs w:val="17"/>
                    </w:rPr>
                    <w:t>Uncertainty model silently miscalibrated</w:t>
                  </w:r>
                </w:p>
              </w:tc>
              <w:tc>
                <w:tcPr>
                  <w:tcW w:w="5962" w:type="dxa"/>
                  <w:tcMar>
                    <w:top w:w="50" w:type="dxa"/>
                    <w:left w:w="90" w:type="dxa"/>
                    <w:bottom w:w="50" w:type="dxa"/>
                    <w:right w:w="90" w:type="dxa"/>
                  </w:tcMar>
                </w:tcPr>
                <w:p w14:paraId="59393028">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Coverage monitor: does the P10–P90 band contain the actual 80% of the time on a rolling window? Sustained under-coverage forces global abstention until retrained.</w:t>
                  </w:r>
                </w:p>
                <w:p w14:paraId="6A6CB84C">
                  <w:pPr>
                    <w:spacing w:before="10" w:after="10"/>
                    <w:rPr>
                      <w:rFonts w:ascii="Calibri" w:hAnsi="Calibri" w:eastAsia="Calibri" w:cs="Calibri"/>
                      <w:b w:val="0"/>
                      <w:bCs w:val="0"/>
                      <w:i w:val="0"/>
                      <w:iCs w:val="0"/>
                      <w:color w:val="000000"/>
                      <w:sz w:val="17"/>
                      <w:szCs w:val="17"/>
                    </w:rPr>
                  </w:pPr>
                </w:p>
              </w:tc>
            </w:tr>
            <w:tr w14:paraId="2CE757EC">
              <w:trPr>
                <w:cantSplit/>
              </w:trPr>
              <w:tc>
                <w:tcPr>
                  <w:tcW w:w="3338" w:type="dxa"/>
                  <w:tcMar>
                    <w:top w:w="50" w:type="dxa"/>
                    <w:left w:w="90" w:type="dxa"/>
                    <w:bottom w:w="50" w:type="dxa"/>
                    <w:right w:w="90" w:type="dxa"/>
                  </w:tcMar>
                </w:tcPr>
                <w:p w14:paraId="483FF8CC">
                  <w:pPr>
                    <w:spacing w:before="10" w:after="10"/>
                  </w:pPr>
                  <w:r>
                    <w:rPr>
                      <w:rFonts w:ascii="Calibri" w:hAnsi="Calibri" w:eastAsia="Calibri" w:cs="Calibri"/>
                      <w:b w:val="0"/>
                      <w:bCs w:val="0"/>
                      <w:i w:val="0"/>
                      <w:iCs w:val="0"/>
                      <w:color w:val="000000"/>
                      <w:sz w:val="17"/>
                      <w:szCs w:val="17"/>
                    </w:rPr>
                    <w:t>LLM invents a figure</w:t>
                  </w:r>
                </w:p>
              </w:tc>
              <w:tc>
                <w:tcPr>
                  <w:tcW w:w="5962" w:type="dxa"/>
                  <w:tcMar>
                    <w:top w:w="50" w:type="dxa"/>
                    <w:left w:w="90" w:type="dxa"/>
                    <w:bottom w:w="50" w:type="dxa"/>
                    <w:right w:w="90" w:type="dxa"/>
                  </w:tcMar>
                </w:tcPr>
                <w:p w14:paraId="6C6DF3D4">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lang w:val="en-US" w:eastAsia="zh-CN"/>
                    </w:rPr>
                    <w:t>Numeric-containment assertion on every production call; failure falls back to a deterministic template string.</w:t>
                  </w:r>
                </w:p>
                <w:p w14:paraId="2289BC9F">
                  <w:pPr>
                    <w:spacing w:before="10" w:after="10"/>
                    <w:rPr>
                      <w:rFonts w:ascii="Calibri" w:hAnsi="Calibri" w:eastAsia="Calibri" w:cs="Calibri"/>
                      <w:b w:val="0"/>
                      <w:bCs w:val="0"/>
                      <w:i w:val="0"/>
                      <w:iCs w:val="0"/>
                      <w:color w:val="000000"/>
                      <w:sz w:val="17"/>
                      <w:szCs w:val="17"/>
                    </w:rPr>
                  </w:pPr>
                </w:p>
              </w:tc>
            </w:tr>
            <w:tr w14:paraId="337572B0">
              <w:trPr>
                <w:cantSplit/>
              </w:trPr>
              <w:tc>
                <w:tcPr>
                  <w:tcW w:w="3338" w:type="dxa"/>
                  <w:tcMar>
                    <w:top w:w="50" w:type="dxa"/>
                    <w:left w:w="90" w:type="dxa"/>
                    <w:bottom w:w="50" w:type="dxa"/>
                    <w:right w:w="90" w:type="dxa"/>
                  </w:tcMar>
                </w:tcPr>
                <w:p w14:paraId="65AFA34B">
                  <w:pPr>
                    <w:spacing w:before="10" w:after="10"/>
                  </w:pPr>
                  <w:r>
                    <w:rPr>
                      <w:rFonts w:ascii="Calibri" w:hAnsi="Calibri" w:eastAsia="Calibri" w:cs="Calibri"/>
                      <w:b w:val="0"/>
                      <w:bCs w:val="0"/>
                      <w:i w:val="0"/>
                      <w:iCs w:val="0"/>
                      <w:color w:val="000000"/>
                      <w:sz w:val="17"/>
                      <w:szCs w:val="17"/>
                    </w:rPr>
                    <w:t>Manager over-trusts and stops checking</w:t>
                  </w:r>
                </w:p>
              </w:tc>
              <w:tc>
                <w:tcPr>
                  <w:tcW w:w="5962" w:type="dxa"/>
                  <w:tcMar>
                    <w:top w:w="50" w:type="dxa"/>
                    <w:left w:w="90" w:type="dxa"/>
                    <w:bottom w:w="50" w:type="dxa"/>
                    <w:right w:w="90" w:type="dxa"/>
                  </w:tcMar>
                </w:tcPr>
                <w:p w14:paraId="266B6941">
                  <w:pPr>
                    <w:spacing w:before="10" w:after="10"/>
                    <w:rPr>
                      <w:rFonts w:ascii="Calibri" w:hAnsi="Calibri" w:eastAsia="Calibri" w:cs="Calibri"/>
                      <w:b w:val="0"/>
                      <w:bCs w:val="0"/>
                      <w:i w:val="0"/>
                      <w:iCs w:val="0"/>
                      <w:color w:val="000000"/>
                      <w:sz w:val="17"/>
                      <w:szCs w:val="17"/>
                    </w:rPr>
                  </w:pPr>
                  <w:r>
                    <w:rPr>
                      <w:rFonts w:ascii="Calibri" w:hAnsi="Calibri" w:eastAsia="Calibri" w:cs="Calibri"/>
                      <w:b w:val="0"/>
                      <w:bCs w:val="0"/>
                      <w:i w:val="0"/>
                      <w:iCs w:val="0"/>
                      <w:color w:val="000000"/>
                      <w:sz w:val="17"/>
                      <w:szCs w:val="17"/>
                    </w:rPr>
                    <w:t>The order is never auto-submitted; every recommendation needs an explicit confirmation tap</w:t>
                  </w:r>
                </w:p>
              </w:tc>
            </w:tr>
          </w:tbl>
          <w:p w14:paraId="611563DD">
            <w:pPr>
              <w:spacing w:before="0" w:after="60"/>
            </w:pPr>
          </w:p>
          <w:p w14:paraId="2A61992B">
            <w:pPr>
              <w:rPr>
                <w:rFonts w:hint="eastAsia"/>
              </w:rPr>
            </w:pPr>
            <w:r>
              <w:rPr>
                <w:rFonts w:hint="eastAsia"/>
                <w:b/>
                <w:bCs/>
              </w:rPr>
              <w:t xml:space="preserve">Intended use: </w:t>
            </w:r>
            <w:r>
              <w:rPr>
                <w:rFonts w:hint="default"/>
                <w:b w:val="0"/>
                <w:bCs w:val="0"/>
                <w:lang w:val="en-US"/>
              </w:rPr>
              <w:t>A</w:t>
            </w:r>
            <w:r>
              <w:rPr>
                <w:rFonts w:hint="eastAsia"/>
                <w:b w:val="0"/>
                <w:bCs w:val="0"/>
              </w:rPr>
              <w:t>d</w:t>
            </w:r>
            <w:r>
              <w:rPr>
                <w:rFonts w:hint="eastAsia"/>
              </w:rPr>
              <w:t xml:space="preserve">visory next-day quantities for short-shelf-life SKUs, always human-confirmed. </w:t>
            </w:r>
          </w:p>
          <w:p w14:paraId="27626C21">
            <w:pPr>
              <w:rPr>
                <w:rFonts w:hint="eastAsia"/>
              </w:rPr>
            </w:pPr>
          </w:p>
          <w:p w14:paraId="6014A933">
            <w:pPr>
              <w:rPr>
                <w:rFonts w:hint="eastAsia"/>
              </w:rPr>
            </w:pPr>
            <w:r>
              <w:rPr>
                <w:rFonts w:hint="eastAsia"/>
                <w:b/>
                <w:bCs/>
              </w:rPr>
              <w:t xml:space="preserve">Explicit non-use: </w:t>
            </w:r>
            <w:r>
              <w:rPr>
                <w:rFonts w:hint="eastAsia"/>
              </w:rPr>
              <w:t xml:space="preserve">never a food-safety decision — shelf life, hold times and discard times are HACCP-governed and the system must not be extended into them; not labour scheduling; not any SKU where a stockout has a safety or allergen consequence; never auto-submits to a supplier. </w:t>
            </w:r>
          </w:p>
          <w:p w14:paraId="1B66726A">
            <w:pPr>
              <w:rPr>
                <w:rFonts w:hint="eastAsia"/>
              </w:rPr>
            </w:pPr>
          </w:p>
          <w:p w14:paraId="7706545E">
            <w:r>
              <w:rPr>
                <w:rFonts w:hint="eastAsia"/>
                <w:b/>
                <w:bCs/>
              </w:rPr>
              <w:t xml:space="preserve">Affected: </w:t>
            </w:r>
            <w:r>
              <w:rPr>
                <w:rFonts w:hint="default"/>
                <w:b w:val="0"/>
                <w:bCs w:val="0"/>
                <w:lang w:val="en-US"/>
              </w:rPr>
              <w:t>T</w:t>
            </w:r>
            <w:r>
              <w:rPr>
                <w:rFonts w:hint="eastAsia"/>
                <w:b w:val="0"/>
                <w:bCs w:val="0"/>
              </w:rPr>
              <w:t>he m</w:t>
            </w:r>
            <w:r>
              <w:rPr>
                <w:rFonts w:hint="eastAsia"/>
              </w:rPr>
              <w:t xml:space="preserve">anager, accountable for a variance </w:t>
            </w:r>
            <w:r>
              <w:rPr>
                <w:rFonts w:hint="eastAsia" w:eastAsia="新細明體"/>
                <w:lang w:val="en-US" w:eastAsia="zh-TW"/>
              </w:rPr>
              <w:t>he</w:t>
            </w:r>
            <w:r>
              <w:rPr>
                <w:rFonts w:hint="default" w:eastAsia="新細明體"/>
                <w:lang w:val="en-US" w:eastAsia="zh-TW"/>
              </w:rPr>
              <w:t>/</w:t>
            </w:r>
            <w:r>
              <w:rPr>
                <w:rFonts w:hint="eastAsia"/>
              </w:rPr>
              <w:t>she did not cause; crew, who absorb stockouts; the franchisee P&amp;L.</w:t>
            </w:r>
          </w:p>
        </w:tc>
      </w:tr>
    </w:tbl>
    <w:p w14:paraId="44BE459D">
      <w:pPr>
        <w:spacing w:before="170" w:after="20"/>
      </w:pPr>
      <w:r>
        <w:rPr>
          <w:b/>
          <w:bCs/>
          <w:color w:val="1F3864"/>
          <w:sz w:val="21"/>
          <w:szCs w:val="21"/>
        </w:rPr>
        <w:t>9 · Smallest first version (optional)</w:t>
      </w:r>
    </w:p>
    <w:p w14:paraId="528183C8">
      <w:pPr>
        <w:spacing w:after="40"/>
      </w:pPr>
      <w:r>
        <w:rPr>
          <w:i/>
          <w:iCs/>
          <w:color w:val="595959"/>
          <w:sz w:val="16"/>
          <w:szCs w:val="16"/>
        </w:rPr>
        <w:t>The tiniest end-to-end slice you could build first.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38A5571">
        <w:tc>
          <w:tcPr>
            <w:tcW w:w="9026" w:type="dxa"/>
            <w:shd w:val="clear" w:color="auto" w:fill="FAFBFD"/>
            <w:tcMar>
              <w:top w:w="60" w:type="dxa"/>
              <w:left w:w="120" w:type="dxa"/>
              <w:bottom w:w="60" w:type="dxa"/>
              <w:right w:w="120" w:type="dxa"/>
            </w:tcMar>
          </w:tcPr>
          <w:p w14:paraId="191036B5">
            <w:pPr>
              <w:rPr>
                <w:rFonts w:hint="eastAsia"/>
              </w:rPr>
            </w:pPr>
            <w:r>
              <w:rPr>
                <w:rFonts w:hint="eastAsia"/>
              </w:rPr>
              <w:t>One SKU, exported from the Favorita slice as a 90-row daily CSV — the shortest history that still contains twelve weekday cycles.</w:t>
            </w:r>
          </w:p>
          <w:p w14:paraId="108CBDEB">
            <w:pPr>
              <w:rPr>
                <w:rFonts w:hint="eastAsia"/>
              </w:rPr>
            </w:pPr>
          </w:p>
          <w:p w14:paraId="3F1F352C">
            <w:pPr>
              <w:rPr>
                <w:rFonts w:hint="eastAsia"/>
              </w:rPr>
            </w:pPr>
            <w:r>
              <w:rPr>
                <w:rFonts w:hint="eastAsia"/>
              </w:rPr>
              <w:t>Fit three quantile GBRs (α = 0.1, 0.5, 0.9) on the first 83 rows with weekday dummies, lag-1, lag-7 and a rolling-7 mean, all shifted by one day. Compute rel_width = (P90 − P10) / max(P50, 1) and abstain above a threshold set at 0.60 to start — an opening position for the sweep in Section 7, not a derived value.</w:t>
            </w:r>
          </w:p>
          <w:p w14:paraId="1F7EF369">
            <w:pPr>
              <w:rPr>
                <w:rFonts w:hint="eastAsia"/>
              </w:rPr>
            </w:pPr>
          </w:p>
          <w:p w14:paraId="0572BBF5">
            <w:pPr>
              <w:rPr>
                <w:rFonts w:hint="eastAsia"/>
              </w:rPr>
            </w:pPr>
            <w:r>
              <w:rPr>
                <w:rFonts w:hint="eastAsia"/>
              </w:rPr>
              <w:t>Otherwise round P50 to whole units (the SKUs are sold only in whole units; quantile predictions below 0 are clipped to 0), then compute cases = ceil((round(P50) + safety − on_hand) / 12) and units = cases × 12 in plain Python, and write both into the fact block. Favorita has no inventory field, so on_hand cannot come from the data: the slice sets it to 0 and safety to a fixed constant from the YAML, both labelled as assumptions. That makes the s</w:t>
            </w:r>
            <w:bookmarkStart w:id="0" w:name="_GoBack"/>
            <w:bookmarkEnd w:id="0"/>
            <w:r>
              <w:rPr>
                <w:rFonts w:hint="eastAsia"/>
              </w:rPr>
              <w:t>lice a test of the pipeline, not of the safety-stock policy.</w:t>
            </w:r>
          </w:p>
          <w:p w14:paraId="3E0D2B47">
            <w:pPr>
              <w:rPr>
                <w:rFonts w:hint="eastAsia"/>
              </w:rPr>
            </w:pPr>
          </w:p>
          <w:p w14:paraId="6157E388">
            <w:pPr>
              <w:ind w:left="100" w:hanging="100" w:hangingChars="50"/>
              <w:rPr>
                <w:rFonts w:hint="default"/>
                <w:b/>
                <w:bCs/>
                <w:lang w:val="en-US"/>
              </w:rPr>
            </w:pPr>
            <w:r>
              <w:rPr>
                <w:rFonts w:hint="eastAsia"/>
                <w:b/>
                <w:bCs/>
              </w:rPr>
              <w:t>Pass / fail</w:t>
            </w:r>
            <w:r>
              <w:rPr>
                <w:rFonts w:hint="default"/>
                <w:b/>
                <w:bCs/>
                <w:lang w:val="en-US"/>
              </w:rPr>
              <w:t>:</w:t>
            </w:r>
          </w:p>
          <w:p w14:paraId="6514DE7B">
            <w:pPr>
              <w:numPr>
                <w:ilvl w:val="0"/>
                <w:numId w:val="2"/>
              </w:numPr>
              <w:rPr>
                <w:rFonts w:hint="eastAsia"/>
                <w:b w:val="0"/>
                <w:bCs w:val="0"/>
              </w:rPr>
            </w:pPr>
            <w:r>
              <w:rPr>
                <w:rFonts w:hint="default"/>
                <w:b w:val="0"/>
                <w:bCs w:val="0"/>
                <w:lang w:val="en-US"/>
              </w:rPr>
              <w:t>R</w:t>
            </w:r>
            <w:r>
              <w:rPr>
                <w:rFonts w:hint="eastAsia"/>
                <w:b w:val="0"/>
                <w:bCs w:val="0"/>
              </w:rPr>
              <w:t xml:space="preserve">uns end to end on a clean venv in under 60 seconds; </w:t>
            </w:r>
          </w:p>
          <w:p w14:paraId="1274CEF8">
            <w:pPr>
              <w:numPr>
                <w:ilvl w:val="0"/>
                <w:numId w:val="1"/>
              </w:numPr>
              <w:rPr>
                <w:rFonts w:hint="eastAsia"/>
                <w:b w:val="0"/>
                <w:bCs w:val="0"/>
              </w:rPr>
            </w:pPr>
            <w:r>
              <w:rPr>
                <w:rFonts w:hint="default"/>
                <w:b w:val="0"/>
                <w:bCs w:val="0"/>
                <w:lang w:val="en-US"/>
              </w:rPr>
              <w:t>U</w:t>
            </w:r>
            <w:r>
              <w:rPr>
                <w:rFonts w:hint="eastAsia"/>
                <w:b w:val="0"/>
                <w:bCs w:val="0"/>
              </w:rPr>
              <w:t xml:space="preserve">nits % 12 == 0, asserted in code rather than read by eye; </w:t>
            </w:r>
          </w:p>
          <w:p w14:paraId="663BC1AD">
            <w:pPr>
              <w:numPr>
                <w:ilvl w:val="0"/>
                <w:numId w:val="1"/>
              </w:numPr>
              <w:rPr>
                <w:rFonts w:hint="eastAsia"/>
                <w:b w:val="0"/>
                <w:bCs w:val="0"/>
              </w:rPr>
            </w:pPr>
            <w:r>
              <w:rPr>
                <w:rFonts w:hint="default"/>
                <w:b w:val="0"/>
                <w:bCs w:val="0"/>
                <w:lang w:val="en-US"/>
              </w:rPr>
              <w:t>E</w:t>
            </w:r>
            <w:r>
              <w:rPr>
                <w:rFonts w:hint="eastAsia"/>
                <w:b w:val="0"/>
                <w:bCs w:val="0"/>
              </w:rPr>
              <w:t>very numeral in the output is a member of the fact block — one unauthorised number is a failure, zero tolerance;</w:t>
            </w:r>
          </w:p>
          <w:p w14:paraId="2828E6BB">
            <w:pPr>
              <w:numPr>
                <w:ilvl w:val="0"/>
                <w:numId w:val="1"/>
              </w:numPr>
              <w:rPr>
                <w:rFonts w:hint="eastAsia"/>
                <w:b w:val="0"/>
                <w:bCs w:val="0"/>
              </w:rPr>
            </w:pPr>
            <w:r>
              <w:rPr>
                <w:rFonts w:hint="default"/>
                <w:b w:val="0"/>
                <w:bCs w:val="0"/>
                <w:lang w:val="en-US"/>
              </w:rPr>
              <w:t>A</w:t>
            </w:r>
            <w:r>
              <w:rPr>
                <w:rFonts w:hint="eastAsia"/>
                <w:b w:val="0"/>
                <w:bCs w:val="0"/>
              </w:rPr>
              <w:t xml:space="preserve"> high-variance series produces the abstain string, containing no quantity and no confidence figure.</w:t>
            </w:r>
          </w:p>
          <w:p w14:paraId="593F6CE3">
            <w:pPr>
              <w:rPr>
                <w:rFonts w:hint="eastAsia"/>
              </w:rPr>
            </w:pPr>
          </w:p>
          <w:p w14:paraId="7866319D">
            <w:r>
              <w:rPr>
                <w:rFonts w:hint="eastAsia"/>
                <w:b/>
                <w:bCs/>
              </w:rPr>
              <w:t>The one sentence that tells me it worked:</w:t>
            </w:r>
            <w:r>
              <w:rPr>
                <w:rFonts w:hint="default"/>
                <w:b/>
                <w:bCs/>
                <w:lang w:val="en-US"/>
              </w:rPr>
              <w:t xml:space="preserve"> </w:t>
            </w:r>
            <w:r>
              <w:rPr>
                <w:rFonts w:hint="default"/>
                <w:lang w:val="en-US"/>
              </w:rPr>
              <w:t>T</w:t>
            </w:r>
            <w:r>
              <w:rPr>
                <w:rFonts w:hint="eastAsia"/>
              </w:rPr>
              <w:t>he slice prints an integer multiple of 12 in a sentence whose every numeral also appears in the fact block, and prints a number-free abstain string when I widen the interval past the gate. If check 3 fails, nothing built on top of it matters.</w:t>
            </w:r>
          </w:p>
          <w:p w14:paraId="7A3BE9AD"/>
        </w:tc>
      </w:tr>
    </w:tbl>
    <w:p w14:paraId="6CFC77D6">
      <w:pPr>
        <w:spacing w:before="170" w:after="40"/>
      </w:pPr>
      <w:r>
        <w:rPr>
          <w:b/>
          <w:bCs/>
          <w:color w:val="1F3864"/>
        </w:rPr>
        <w:t>How this is used</w:t>
      </w:r>
    </w:p>
    <w:p w14:paraId="2C8E37E4">
      <w:pPr>
        <w:spacing w:after="40"/>
      </w:pPr>
      <w:r>
        <w:rPr>
          <w:sz w:val="18"/>
          <w:szCs w:val="18"/>
        </w:rPr>
        <w:t>This milestone is not graded — it’s to give you fast, written feedback while there’s still time to change direction. A strong problem statement makes criteria 1 (problem &amp; significance) and 2 (business &amp; technical trade-offs) and helps you start on a strong footing. Bring questions during class breakouts or email the course account or WA text me</w:t>
      </w:r>
    </w:p>
    <w:p w14:paraId="6702F5ED">
      <w:pPr>
        <w:pBdr>
          <w:bottom w:val="single" w:color="D51A47" w:sz="8" w:space="0"/>
        </w:pBdr>
        <w:spacing w:before="200"/>
      </w:pPr>
    </w:p>
    <w:p w14:paraId="77A1659A">
      <w:pPr>
        <w:spacing w:before="120" w:after="6"/>
      </w:pPr>
      <w:r>
        <w:rPr>
          <w:b/>
          <w:bCs/>
          <w:color w:val="D51A47"/>
          <w:sz w:val="16"/>
          <w:szCs w:val="16"/>
        </w:rPr>
        <w:t>INSTRUCTOR FEEDBACK</w:t>
      </w:r>
    </w:p>
    <w:p w14:paraId="05C3C35A">
      <w:pPr>
        <w:spacing w:after="40"/>
      </w:pPr>
      <w:r>
        <w:rPr>
          <w:i/>
          <w:iCs/>
          <w:color w:val="595959"/>
          <w:sz w:val="16"/>
          <w:szCs w:val="16"/>
        </w:rPr>
        <w:t>For marker use — formative comments on the problem &amp; significance (criterion 1) and the business/technical trade-offs (criterion 2), plus one thing to strengthen before the final project.</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7729D86">
        <w:tc>
          <w:tcPr>
            <w:tcW w:w="9026" w:type="dxa"/>
            <w:shd w:val="clear" w:color="auto" w:fill="FAFBFD"/>
            <w:tcMar>
              <w:top w:w="60" w:type="dxa"/>
              <w:left w:w="120" w:type="dxa"/>
              <w:bottom w:w="60" w:type="dxa"/>
              <w:right w:w="120" w:type="dxa"/>
            </w:tcMar>
          </w:tcPr>
          <w:p w14:paraId="422A17A8"/>
          <w:p w14:paraId="63DA5834"/>
          <w:p w14:paraId="4A76AA5E"/>
          <w:p w14:paraId="4572AC11"/>
          <w:p w14:paraId="5B3FF2CC"/>
          <w:p w14:paraId="3F526828"/>
        </w:tc>
      </w:tr>
    </w:tbl>
    <w:p w14:paraId="6311F319"/>
    <w:sectPr>
      <w:headerReference r:id="rId3" w:type="default"/>
      <w:footerReference r:id="rId4" w:type="default"/>
      <w:pgSz w:w="11906" w:h="16838"/>
      <w:pgMar w:top="1080" w:right="1440" w:bottom="108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Regular">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imSun">
    <w:altName w:val="汉仪书宋二KW"/>
    <w:panose1 w:val="00000000000000000000"/>
    <w:charset w:val="00"/>
    <w:family w:val="auto"/>
    <w:pitch w:val="default"/>
    <w:sig w:usb0="00000000" w:usb1="00000000" w:usb2="00000000" w:usb3="00000000" w:csb0="00000000" w:csb1="00000000"/>
  </w:font>
  <w:font w:name="新細明體">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4CDC6">
    <w:pPr>
      <w:pBdr>
        <w:top w:val="single" w:color="BFC9DA" w:sz="6" w:space="0"/>
      </w:pBdr>
      <w:spacing w:before="40"/>
    </w:pPr>
    <w:r>
      <w:rPr>
        <w:color w:val="595959"/>
        <w:sz w:val="15"/>
        <w:szCs w:val="15"/>
      </w:rPr>
      <w:t>Nanyang Technological University · MSc Enterprise AI · T1 AY2026–27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78C1A">
    <w:pPr>
      <w:pBdr>
        <w:bottom w:val="single" w:color="BFC9DA" w:sz="6" w:space="0"/>
      </w:pBdr>
      <w:spacing w:after="60"/>
    </w:pPr>
    <w:r>
      <w:rPr>
        <w:b/>
        <w:bCs/>
        <w:color w:val="1F3864"/>
        <w:sz w:val="15"/>
        <w:szCs w:val="15"/>
      </w:rPr>
      <w:t>PE6201 · EMERGING AI TECHNOLOGIES</w:t>
    </w:r>
    <w:r>
      <w:ptab w:relativeTo="margin" w:alignment="right" w:leader="none"/>
    </w:r>
    <w:r>
      <w:rPr>
        <w:color w:val="595959"/>
        <w:sz w:val="15"/>
        <w:szCs w:val="15"/>
      </w:rPr>
      <w:t>Project · Problem Statement (Wk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7FD6F4"/>
    <w:multiLevelType w:val="singleLevel"/>
    <w:tmpl w:val="CF7FD6F4"/>
    <w:lvl w:ilvl="0" w:tentative="0">
      <w:start w:val="1"/>
      <w:numFmt w:val="decimal"/>
      <w:suff w:val="space"/>
      <w:lvlText w:val="%1."/>
      <w:lvlJc w:val="left"/>
    </w:lvl>
  </w:abstractNum>
  <w:abstractNum w:abstractNumId="1">
    <w:nsid w:val="3BFEEFCB"/>
    <w:multiLevelType w:val="singleLevel"/>
    <w:tmpl w:val="3BFEEFCB"/>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A47"/>
    <w:rsid w:val="0012333F"/>
    <w:rsid w:val="0014668C"/>
    <w:rsid w:val="001B223B"/>
    <w:rsid w:val="002E737D"/>
    <w:rsid w:val="00672AE8"/>
    <w:rsid w:val="00932A47"/>
    <w:rsid w:val="00A332D7"/>
    <w:rsid w:val="00DD4069"/>
    <w:rsid w:val="3AEF8622"/>
    <w:rsid w:val="436731DB"/>
    <w:rsid w:val="6BEFBBF9"/>
    <w:rsid w:val="6FFA102E"/>
    <w:rsid w:val="76CC39B2"/>
    <w:rsid w:val="7AAD7837"/>
    <w:rsid w:val="7FFE5BF6"/>
    <w:rsid w:val="E1FD2459"/>
    <w:rsid w:val="EEFF642C"/>
    <w:rsid w:val="F67E0212"/>
    <w:rsid w:val="FEDA7C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lang w:val="en-SG" w:eastAsia="en-GB" w:bidi="ar-SA"/>
    </w:rPr>
  </w:style>
  <w:style w:type="paragraph" w:styleId="2">
    <w:name w:val="heading 1"/>
    <w:qFormat/>
    <w:uiPriority w:val="9"/>
    <w:pPr>
      <w:outlineLvl w:val="0"/>
    </w:pPr>
    <w:rPr>
      <w:rFonts w:ascii="Calibri" w:hAnsi="Calibri" w:eastAsia="Calibri" w:cs="Calibri"/>
      <w:color w:val="2E74B5"/>
      <w:sz w:val="32"/>
      <w:szCs w:val="32"/>
      <w:lang w:val="en-SG" w:eastAsia="en-GB"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SG" w:eastAsia="en-GB"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SG" w:eastAsia="en-GB" w:bidi="ar-SA"/>
    </w:rPr>
  </w:style>
  <w:style w:type="paragraph" w:styleId="5">
    <w:name w:val="heading 4"/>
    <w:semiHidden/>
    <w:unhideWhenUsed/>
    <w:qFormat/>
    <w:uiPriority w:val="9"/>
    <w:pPr>
      <w:outlineLvl w:val="3"/>
    </w:pPr>
    <w:rPr>
      <w:rFonts w:ascii="Calibri" w:hAnsi="Calibri" w:eastAsia="Calibri" w:cs="Calibri"/>
      <w:i/>
      <w:iCs/>
      <w:color w:val="2E74B5"/>
      <w:lang w:val="en-SG" w:eastAsia="en-GB" w:bidi="ar-SA"/>
    </w:rPr>
  </w:style>
  <w:style w:type="paragraph" w:styleId="6">
    <w:name w:val="heading 5"/>
    <w:semiHidden/>
    <w:unhideWhenUsed/>
    <w:qFormat/>
    <w:uiPriority w:val="9"/>
    <w:pPr>
      <w:outlineLvl w:val="4"/>
    </w:pPr>
    <w:rPr>
      <w:rFonts w:ascii="Calibri" w:hAnsi="Calibri" w:eastAsia="Calibri" w:cs="Calibri"/>
      <w:color w:val="2E74B5"/>
      <w:lang w:val="en-SG" w:eastAsia="en-GB" w:bidi="ar-SA"/>
    </w:rPr>
  </w:style>
  <w:style w:type="paragraph" w:styleId="7">
    <w:name w:val="heading 6"/>
    <w:semiHidden/>
    <w:unhideWhenUsed/>
    <w:qFormat/>
    <w:uiPriority w:val="9"/>
    <w:pPr>
      <w:outlineLvl w:val="5"/>
    </w:pPr>
    <w:rPr>
      <w:rFonts w:ascii="Calibri" w:hAnsi="Calibri" w:eastAsia="Calibri" w:cs="Calibri"/>
      <w:color w:val="1F4D78"/>
      <w:lang w:val="en-SG" w:eastAsia="en-GB"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2"/>
    <w:semiHidden/>
    <w:unhideWhenUsed/>
    <w:uiPriority w:val="99"/>
    <w:rPr>
      <w:rFonts w:ascii="Calibri" w:hAnsi="Calibri" w:eastAsia="Calibri" w:cs="Calibri"/>
      <w:color w:val="1A1A1A"/>
      <w:lang w:val="en-SG" w:eastAsia="en-GB" w:bidi="ar-SA"/>
    </w:rPr>
  </w:style>
  <w:style w:type="paragraph" w:styleId="9">
    <w:name w:val="footnote text"/>
    <w:link w:val="21"/>
    <w:semiHidden/>
    <w:unhideWhenUsed/>
    <w:uiPriority w:val="99"/>
    <w:rPr>
      <w:rFonts w:ascii="Calibri" w:hAnsi="Calibri" w:eastAsia="Calibri" w:cs="Calibri"/>
      <w:color w:val="1A1A1A"/>
      <w:lang w:val="en-SG" w:eastAsia="en-GB" w:bidi="ar-SA"/>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1">
    <w:name w:val="Title"/>
    <w:qFormat/>
    <w:uiPriority w:val="10"/>
    <w:rPr>
      <w:rFonts w:ascii="Calibri" w:hAnsi="Calibri" w:eastAsia="Calibri" w:cs="Calibri"/>
      <w:color w:val="1A1A1A"/>
      <w:sz w:val="56"/>
      <w:szCs w:val="56"/>
      <w:lang w:val="en-SG" w:eastAsia="en-GB" w:bidi="ar-SA"/>
    </w:rPr>
  </w:style>
  <w:style w:type="character" w:styleId="14">
    <w:name w:val="Strong"/>
    <w:basedOn w:val="13"/>
    <w:qFormat/>
    <w:uiPriority w:val="22"/>
    <w:rPr>
      <w:b/>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HTML Code"/>
    <w:basedOn w:val="13"/>
    <w:semiHidden/>
    <w:unhideWhenUsed/>
    <w:uiPriority w:val="99"/>
    <w:rPr>
      <w:rFonts w:ascii="Courier New" w:hAnsi="Courier New"/>
      <w:sz w:val="20"/>
    </w:rPr>
  </w:style>
  <w:style w:type="character" w:styleId="18">
    <w:name w:val="footnote reference"/>
    <w:semiHidden/>
    <w:unhideWhenUsed/>
    <w:uiPriority w:val="99"/>
    <w:rPr>
      <w:vertAlign w:val="superscript"/>
    </w:rPr>
  </w:style>
  <w:style w:type="paragraph" w:customStyle="1" w:styleId="19">
    <w:name w:val="Strong1"/>
    <w:qFormat/>
    <w:uiPriority w:val="0"/>
    <w:rPr>
      <w:rFonts w:ascii="Calibri" w:hAnsi="Calibri" w:eastAsia="Calibri" w:cs="Calibri"/>
      <w:b/>
      <w:bCs/>
      <w:color w:val="1A1A1A"/>
      <w:lang w:val="en-SG" w:eastAsia="en-GB" w:bidi="ar-SA"/>
    </w:rPr>
  </w:style>
  <w:style w:type="paragraph" w:styleId="20">
    <w:name w:val="List Paragraph"/>
    <w:qFormat/>
    <w:uiPriority w:val="0"/>
    <w:rPr>
      <w:rFonts w:ascii="Calibri" w:hAnsi="Calibri" w:eastAsia="Calibri" w:cs="Calibri"/>
      <w:color w:val="1A1A1A"/>
      <w:lang w:val="en-SG" w:eastAsia="en-GB" w:bidi="ar-SA"/>
    </w:rPr>
  </w:style>
  <w:style w:type="character" w:customStyle="1" w:styleId="21">
    <w:name w:val="Footnote Text Char"/>
    <w:link w:val="9"/>
    <w:semiHidden/>
    <w:unhideWhenUsed/>
    <w:uiPriority w:val="99"/>
    <w:rPr>
      <w:sz w:val="20"/>
      <w:szCs w:val="20"/>
    </w:rPr>
  </w:style>
  <w:style w:type="character" w:customStyle="1" w:styleId="22">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2574</Words>
  <Characters>12642</Characters>
  <Lines>62</Lines>
  <Paragraphs>33</Paragraphs>
  <TotalTime>57</TotalTime>
  <ScaleCrop>false</ScaleCrop>
  <LinksUpToDate>false</LinksUpToDate>
  <CharactersWithSpaces>15086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2026-08-10T23:35:00Z</dcterms:created>
  <dc:creator>Un-named</dc:creator>
  <cp:lastModifiedBy>harry</cp:lastModifiedBy>
  <dcterms:modified xsi:type="dcterms:W3CDTF">2026-08-23T17:27:49Z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920DF6FF234398157EB9896AB71E96E5_42</vt:lpwstr>
  </property>
</Properties>
</file>