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"/>
        <w:jc w:val="center"/>
        <w:rPr/>
      </w:pPr>
      <w:r>
        <w:rPr>
          <w:rFonts w:ascii="Aptos Display" w:hAnsi="Aptos Display"/>
          <w:b/>
          <w:color w:val="0E3552"/>
          <w:sz w:val="40"/>
        </w:rPr>
        <w:t>Hari Kishan</w:t>
      </w:r>
    </w:p>
    <w:p>
      <w:pPr>
        <w:pStyle w:val="Normal"/>
        <w:spacing w:lineRule="auto" w:line="240" w:before="0" w:after="160"/>
        <w:jc w:val="center"/>
        <w:rPr/>
      </w:pPr>
      <w:r>
        <w:rPr>
          <w:sz w:val="18"/>
        </w:rPr>
        <w:t>McKinney, TX | +1 (203) 673-5155 | harikishan1180@gmail.com | linkedin.com/in/hari-kishan | github.com/harry1180</w:t>
      </w:r>
    </w:p>
    <w:tbl>
      <w:tblPr>
        <w:tblW w:w="10656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Row="1" w:noVBand="1" w:lastRow="0" w:firstColumn="1" w:lastColumn="0" w:noHBand="0" w:val="04a0"/>
      </w:tblPr>
      <w:tblGrid>
        <w:gridCol w:w="10656"/>
      </w:tblGrid>
      <w:tr>
        <w:trPr/>
        <w:tc>
          <w:tcPr>
            <w:tcW w:w="10656" w:type="dxa"/>
            <w:tcBorders>
              <w:top w:val="single" w:sz="6" w:space="0" w:color="BFD3E6"/>
              <w:start w:val="single" w:sz="6" w:space="0" w:color="BFD3E6"/>
              <w:bottom w:val="single" w:sz="6" w:space="0" w:color="BFD3E6"/>
              <w:end w:val="single" w:sz="6" w:space="0" w:color="BFD3E6"/>
            </w:tcBorders>
            <w:shd w:fill="F6F9FC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Enterprise technology executive with leadership experience across insurance, healthcare, fintech, marketing, supply chain, entertainment, and mechanical/industrial environments. Known for leading platform modernization, cloud transformation, data and AI programs, contact center reinvention, and cyber-risk-aware operating models across regulated enterprises. Brings a rare blend of technical depth, executive communication, delivery rigor, and people leadership - building high-performing teams, aligning business and technology strategy, strengthening governance, and delivering measurable gains in resilience, customer experience, efficiency, and scale.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ectionHeader"/>
        <w:spacing w:lineRule="auto" w:line="240" w:before="0" w:after="80"/>
        <w:rPr>
          <w:b w:val="false"/>
          <w:bCs w:val="false"/>
        </w:rPr>
      </w:pPr>
      <w:r>
        <w:rPr>
          <w:b w:val="false"/>
          <w:bCs w:val="false"/>
        </w:rPr>
        <w:t>EXECUTIVE PROFILE</w:t>
      </w:r>
    </w:p>
    <w:tbl>
      <w:tblPr>
        <w:tblW w:w="9576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firstRow="1" w:noVBand="1" w:lastRow="0" w:firstColumn="1" w:lastColumn="0" w:noHBand="0" w:val="04a0"/>
      </w:tblPr>
      <w:tblGrid>
        <w:gridCol w:w="3166"/>
        <w:gridCol w:w="3170"/>
        <w:gridCol w:w="3240"/>
      </w:tblGrid>
      <w:tr>
        <w:trPr/>
        <w:tc>
          <w:tcPr>
            <w:tcW w:w="3166" w:type="dxa"/>
            <w:tcBorders>
              <w:top w:val="single" w:sz="4" w:space="0" w:color="C7D5E0"/>
              <w:start w:val="single" w:sz="4" w:space="0" w:color="C7D5E0"/>
              <w:bottom w:val="single" w:sz="4" w:space="0" w:color="C7D5E0"/>
              <w:end w:val="single" w:sz="4" w:space="0" w:color="C7D5E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18"/>
              </w:rPr>
              <w:t>Business &amp; Operating Leadership</w:t>
            </w:r>
          </w:p>
        </w:tc>
        <w:tc>
          <w:tcPr>
            <w:tcW w:w="3170" w:type="dxa"/>
            <w:tcBorders>
              <w:top w:val="single" w:sz="4" w:space="0" w:color="C7D5E0"/>
              <w:start w:val="single" w:sz="4" w:space="0" w:color="C7D5E0"/>
              <w:bottom w:val="single" w:sz="4" w:space="0" w:color="C7D5E0"/>
              <w:end w:val="single" w:sz="4" w:space="0" w:color="C7D5E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18"/>
              </w:rPr>
              <w:t>Technology &amp; Transformation</w:t>
            </w:r>
          </w:p>
        </w:tc>
        <w:tc>
          <w:tcPr>
            <w:tcW w:w="3240" w:type="dxa"/>
            <w:tcBorders>
              <w:top w:val="single" w:sz="4" w:space="0" w:color="C7D5E0"/>
              <w:start w:val="single" w:sz="4" w:space="0" w:color="C7D5E0"/>
              <w:bottom w:val="single" w:sz="4" w:space="0" w:color="C7D5E0"/>
              <w:end w:val="single" w:sz="4" w:space="0" w:color="C7D5E0"/>
            </w:tcBorders>
            <w:shd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18"/>
              </w:rPr>
              <w:t>Cybersecurity &amp; Governance</w:t>
            </w:r>
          </w:p>
        </w:tc>
      </w:tr>
      <w:tr>
        <w:trPr/>
        <w:tc>
          <w:tcPr>
            <w:tcW w:w="3166" w:type="dxa"/>
            <w:tcBorders>
              <w:top w:val="single" w:sz="4" w:space="0" w:color="C7D5E0"/>
              <w:start w:val="single" w:sz="4" w:space="0" w:color="C7D5E0"/>
              <w:bottom w:val="single" w:sz="4" w:space="0" w:color="C7D5E0"/>
              <w:end w:val="single" w:sz="4" w:space="0" w:color="C7D5E0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lineRule="auto" w:line="247" w:before="0" w:after="0"/>
              <w:rPr/>
            </w:pPr>
            <w:r>
              <w:rPr>
                <w:sz w:val="17"/>
              </w:rPr>
              <w:t>P&amp;L-aware delivery leadership, cross-functional team building, vendor management, stakeholder alignment, roadmap ownership, operating model design</w:t>
            </w:r>
          </w:p>
        </w:tc>
        <w:tc>
          <w:tcPr>
            <w:tcW w:w="3170" w:type="dxa"/>
            <w:tcBorders>
              <w:top w:val="single" w:sz="4" w:space="0" w:color="C7D5E0"/>
              <w:start w:val="single" w:sz="4" w:space="0" w:color="C7D5E0"/>
              <w:bottom w:val="single" w:sz="4" w:space="0" w:color="C7D5E0"/>
              <w:end w:val="single" w:sz="4" w:space="0" w:color="C7D5E0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lineRule="auto" w:line="247" w:before="0" w:after="0"/>
              <w:rPr/>
            </w:pPr>
            <w:r>
              <w:rPr>
                <w:sz w:val="17"/>
              </w:rPr>
              <w:t>Cloud strategy, platform modernization, AI and agentic AI, data platforms, contact center transformation, DevOps, resilience, service excellence</w:t>
            </w:r>
          </w:p>
        </w:tc>
        <w:tc>
          <w:tcPr>
            <w:tcW w:w="3240" w:type="dxa"/>
            <w:tcBorders>
              <w:top w:val="single" w:sz="4" w:space="0" w:color="C7D5E0"/>
              <w:start w:val="single" w:sz="4" w:space="0" w:color="C7D5E0"/>
              <w:bottom w:val="single" w:sz="4" w:space="0" w:color="C7D5E0"/>
              <w:end w:val="single" w:sz="4" w:space="0" w:color="C7D5E0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Normal"/>
              <w:spacing w:lineRule="auto" w:line="247" w:before="0" w:after="0"/>
              <w:rPr/>
            </w:pPr>
            <w:r>
              <w:rPr>
                <w:sz w:val="17"/>
              </w:rPr>
              <w:t>Security-by-design, risk management, IAM-aware controls, auditability, compliance alignment, governance, incident readiness, third-party oversight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ectionHeader"/>
        <w:spacing w:lineRule="auto" w:line="240" w:before="0" w:after="60"/>
        <w:rPr>
          <w:b w:val="false"/>
          <w:bCs w:val="false"/>
        </w:rPr>
      </w:pPr>
      <w:r>
        <w:rPr>
          <w:b w:val="false"/>
          <w:bCs w:val="false"/>
        </w:rPr>
        <w:t>SELECT EXECUTIVE STRENGTHS</w:t>
      </w:r>
    </w:p>
    <w:tbl>
      <w:tblPr>
        <w:tblW w:w="10656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firstRow="1" w:noVBand="1" w:lastRow="0" w:firstColumn="1" w:lastColumn="0" w:noHBand="0" w:val="04a0"/>
      </w:tblPr>
      <w:tblGrid>
        <w:gridCol w:w="3552"/>
        <w:gridCol w:w="3552"/>
        <w:gridCol w:w="3552"/>
      </w:tblGrid>
      <w:tr>
        <w:trPr/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Enterprise Transformation Strategy</w:t>
            </w:r>
          </w:p>
        </w:tc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Platform, Data &amp; AI Leadership</w:t>
            </w:r>
          </w:p>
        </w:tc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Cloud &amp; Infrastructure Modernization</w:t>
            </w:r>
          </w:p>
        </w:tc>
      </w:tr>
      <w:tr>
        <w:trPr/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Cybersecurity Governance &amp; Risk</w:t>
            </w:r>
          </w:p>
        </w:tc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Digital Customer Experience / Contact Center</w:t>
            </w:r>
          </w:p>
        </w:tc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Regulated Industry Delivery</w:t>
            </w:r>
          </w:p>
        </w:tc>
      </w:tr>
      <w:tr>
        <w:trPr/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Global Team Leadership</w:t>
            </w:r>
          </w:p>
        </w:tc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Board/Executive Stakeholder Communication</w:t>
            </w:r>
          </w:p>
        </w:tc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Vendor &amp; Partner Management</w:t>
            </w:r>
          </w:p>
        </w:tc>
      </w:tr>
      <w:tr>
        <w:trPr/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Agile / SAFe Operating Models</w:t>
            </w:r>
          </w:p>
        </w:tc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Service Reliability &amp; Resilience</w:t>
            </w:r>
          </w:p>
        </w:tc>
        <w:tc>
          <w:tcPr>
            <w:tcW w:w="355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F7F7F7" w:val="clear"/>
          </w:tcPr>
          <w:p>
            <w:pPr>
              <w:pStyle w:val="Normal"/>
              <w:spacing w:lineRule="auto" w:line="240" w:before="0" w:after="40"/>
              <w:rPr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Compliance, Auditability &amp; Control Design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ectionHeader"/>
        <w:spacing w:lineRule="auto" w:line="240" w:before="0" w:after="100"/>
        <w:rPr>
          <w:b w:val="false"/>
          <w:bCs w:val="false"/>
        </w:rPr>
      </w:pPr>
      <w:r>
        <w:rPr>
          <w:b w:val="false"/>
          <w:bCs w:val="false"/>
        </w:rPr>
        <w:t>PROFESSIONAL EXPERIENCE</w:t>
      </w:r>
    </w:p>
    <w:p>
      <w:pPr>
        <w:pStyle w:val="RoleHeader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  <w:color w:val="191919"/>
          <w:sz w:val="20"/>
        </w:rPr>
        <w:t>Director of Cloud Engineering</w:t>
      </w:r>
      <w:r>
        <w:rPr>
          <w:b w:val="false"/>
          <w:bCs w:val="false"/>
          <w:color w:val="5A5A5A"/>
        </w:rPr>
        <w:t xml:space="preserve">  |  </w:t>
      </w:r>
      <w:r>
        <w:rPr>
          <w:b w:val="false"/>
          <w:bCs w:val="false"/>
          <w:color w:val="154360"/>
          <w:sz w:val="20"/>
        </w:rPr>
        <w:t>Manulife / John Hancock</w:t>
      </w:r>
    </w:p>
    <w:p>
      <w:pPr>
        <w:pStyle w:val="SmallMuted"/>
        <w:spacing w:lineRule="auto" w:line="240" w:before="0" w:after="40"/>
        <w:rPr/>
      </w:pPr>
      <w:r>
        <w:rPr>
          <w:i/>
        </w:rPr>
        <w:t>Aug 2024 - Present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Lead enterprise delivery for data, AI, agentic AI, and customer experience modernization across insurance operations supporting policy servicing, claims, underwriting support, and contact center transformation.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Own cross-functional execution across business, engineering, architecture, security, product, and operations teams, aligning priorities across 8 lines of business and multiple regulated workflows.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Drive modernization of legacy IVR and telephony environments into cloud-based, AI-enabled service platforms, improving customer self-service, service consistency, and operational scalability.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Established governance patterns for responsible AI adoption, including model traceability, human-in-the-loop control points, audit readiness, fallback strategies, and risk-aware deployment guardrails.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Partner with security and risk stakeholders to strengthen controls around customer-facing platforms, availability, access, data handling, resilience, and compliance within insurance environments.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Shape multi-year transformation roadmaps focused on digital servicing, automation, operational efficiency, service reliability, and better policyholder experiences.</w:t>
      </w:r>
    </w:p>
    <w:p>
      <w:pPr>
        <w:pStyle w:val="RoleHeader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  <w:color w:val="191919"/>
          <w:sz w:val="20"/>
        </w:rPr>
        <w:t>Senior Associate Manager - Cloud Data Engineering &amp; Platform Strategy</w:t>
      </w:r>
      <w:r>
        <w:rPr>
          <w:b w:val="false"/>
          <w:bCs w:val="false"/>
          <w:color w:val="5A5A5A"/>
        </w:rPr>
        <w:t xml:space="preserve">  |  </w:t>
      </w:r>
      <w:r>
        <w:rPr>
          <w:b w:val="false"/>
          <w:bCs w:val="false"/>
          <w:color w:val="154360"/>
          <w:sz w:val="20"/>
        </w:rPr>
        <w:t>Eli Lilly</w:t>
      </w:r>
    </w:p>
    <w:p>
      <w:pPr>
        <w:pStyle w:val="SmallMuted"/>
        <w:spacing w:lineRule="auto" w:line="240" w:before="0" w:after="40"/>
        <w:rPr/>
      </w:pPr>
      <w:r>
        <w:rPr>
          <w:i/>
        </w:rPr>
        <w:t>Jul 2020 - Jul 2024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Led cloud data platform and analytics delivery in a highly regulated healthcare environment, balancing modernization goals with quality, governance, and business continuity requirements.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Directed platform migration and operating model improvements for enterprise analytics workloads, coordinating global delivery teams and external partners while improving delivery predictability.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Built scalable data engineering frameworks and production-ready pipelines that supported analytics, AI/ML use cases, and executive decision support.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Strengthened platform governance through data quality controls, lineage awareness, operational SLAs, monitoring disciplines, and compliance-aligned delivery practices.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Contributed to security-conscious architecture decisions spanning access patterns, operational controls, data stewardship, and reliability for critical enterprise workloads.</w:t>
      </w:r>
    </w:p>
    <w:p>
      <w:pPr>
        <w:pStyle w:val="RoleHeader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  <w:color w:val="191919"/>
          <w:sz w:val="20"/>
        </w:rPr>
        <w:t>Machine Learning &amp; Platform Lead</w:t>
      </w:r>
      <w:r>
        <w:rPr>
          <w:b w:val="false"/>
          <w:bCs w:val="false"/>
          <w:color w:val="5A5A5A"/>
        </w:rPr>
        <w:t xml:space="preserve">  |  </w:t>
      </w:r>
      <w:r>
        <w:rPr>
          <w:b w:val="false"/>
          <w:bCs w:val="false"/>
          <w:color w:val="154360"/>
          <w:sz w:val="20"/>
        </w:rPr>
        <w:t>Kaodim</w:t>
      </w:r>
    </w:p>
    <w:p>
      <w:pPr>
        <w:pStyle w:val="SmallMuted"/>
        <w:spacing w:lineRule="auto" w:line="240" w:before="0" w:after="40"/>
        <w:rPr/>
      </w:pPr>
      <w:r>
        <w:rPr>
          <w:i/>
        </w:rPr>
        <w:t>Feb 2020 - Jul 2020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Led delivery of ML-enabled automation capabilities and platform improvements that increased scalability, improved operational efficiency, and supported rapid product iteration.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Helped transition core systems toward modern service-based architectures with stronger CI/CD discipline, better deployment reliability, and more maintainable engineering practices.</w:t>
      </w:r>
    </w:p>
    <w:p>
      <w:pPr>
        <w:pStyle w:val="RoleHeader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  <w:color w:val="191919"/>
          <w:sz w:val="20"/>
        </w:rPr>
        <w:t>Technical Consultant - Cloud Contact Center Transformation</w:t>
      </w:r>
      <w:r>
        <w:rPr>
          <w:b w:val="false"/>
          <w:bCs w:val="false"/>
          <w:color w:val="5A5A5A"/>
        </w:rPr>
        <w:t xml:space="preserve">  |  </w:t>
      </w:r>
      <w:r>
        <w:rPr>
          <w:b w:val="false"/>
          <w:bCs w:val="false"/>
          <w:color w:val="154360"/>
          <w:sz w:val="20"/>
        </w:rPr>
        <w:t>Deloitte</w:t>
      </w:r>
    </w:p>
    <w:p>
      <w:pPr>
        <w:pStyle w:val="SmallMuted"/>
        <w:spacing w:lineRule="auto" w:line="240" w:before="0" w:after="40"/>
        <w:rPr/>
      </w:pPr>
      <w:r>
        <w:rPr>
          <w:i/>
        </w:rPr>
        <w:t>Jan 2019 - Feb 2020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Advised on cloud contact center transformation initiatives combining customer experience redesign, workflow automation, architecture modernization, and platform delivery.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Worked across business and engineering stakeholders to implement scalable service flows, automation patterns, and release practices for enterprise customer operations.</w:t>
      </w:r>
    </w:p>
    <w:p>
      <w:pPr>
        <w:pStyle w:val="RoleHeader"/>
        <w:spacing w:lineRule="auto" w:line="240" w:before="0" w:after="0"/>
        <w:rPr>
          <w:b w:val="false"/>
          <w:bCs w:val="false"/>
        </w:rPr>
      </w:pPr>
      <w:r>
        <w:rPr>
          <w:b w:val="false"/>
          <w:bCs w:val="false"/>
          <w:color w:val="191919"/>
          <w:sz w:val="20"/>
        </w:rPr>
        <w:t>Earlier Career: Data Engineering, DevOps, Analytics &amp; Delivery Leadership</w:t>
      </w:r>
      <w:r>
        <w:rPr>
          <w:b w:val="false"/>
          <w:bCs w:val="false"/>
          <w:color w:val="5A5A5A"/>
        </w:rPr>
        <w:t xml:space="preserve">  |  </w:t>
      </w:r>
      <w:r>
        <w:rPr>
          <w:b w:val="false"/>
          <w:bCs w:val="false"/>
          <w:color w:val="154360"/>
          <w:sz w:val="20"/>
        </w:rPr>
        <w:t>Aroha Technologies / Tech Mahindra</w:t>
      </w:r>
    </w:p>
    <w:p>
      <w:pPr>
        <w:pStyle w:val="SmallMuted"/>
        <w:spacing w:lineRule="auto" w:line="240" w:before="0" w:after="40"/>
        <w:rPr/>
      </w:pPr>
      <w:r>
        <w:rPr>
          <w:i/>
        </w:rPr>
        <w:t>Jul 2015 - Jan 2019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Built foundational experience leading data delivery, analytics enablement, DevOps automation, stakeholder coordination, and platform scaling across marketing, fintech, and digital product environments.</w:t>
      </w:r>
    </w:p>
    <w:p>
      <w:pPr>
        <w:pStyle w:val="Normal"/>
        <w:spacing w:lineRule="auto" w:line="245" w:before="0" w:after="0"/>
        <w:ind w:hanging="202" w:start="259"/>
        <w:rPr/>
      </w:pPr>
      <w:r>
        <w:rPr>
          <w:b/>
        </w:rPr>
        <w:t xml:space="preserve">• </w:t>
      </w:r>
      <w:r>
        <w:rPr>
          <w:sz w:val="18"/>
        </w:rPr>
        <w:t>Supported cross-border collaboration, partner integration, roadmap execution, and engineering process maturity in fast-moving delivery settings.</w:t>
      </w:r>
    </w:p>
    <w:p>
      <w:pPr>
        <w:pStyle w:val="Normal"/>
        <w:rPr/>
      </w:pPr>
      <w:r>
        <w:rPr/>
      </w:r>
    </w:p>
    <w:p>
      <w:pPr>
        <w:pStyle w:val="SectionHeader"/>
        <w:spacing w:lineRule="auto" w:line="240" w:before="0" w:after="80"/>
        <w:rPr>
          <w:b w:val="false"/>
          <w:bCs w:val="false"/>
        </w:rPr>
      </w:pPr>
      <w:r>
        <w:rPr>
          <w:b w:val="false"/>
          <w:bCs w:val="false"/>
        </w:rPr>
        <w:t>CREDENTIALS, THOUGHT LEADERSHIP &amp; DOMAIN BREADTH</w:t>
      </w:r>
    </w:p>
    <w:tbl>
      <w:tblPr>
        <w:tblW w:w="10080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firstRow="1" w:noVBand="1" w:lastRow="0" w:firstColumn="1" w:lastColumn="0" w:noHBand="0" w:val="04a0"/>
      </w:tblPr>
      <w:tblGrid>
        <w:gridCol w:w="5040"/>
        <w:gridCol w:w="5040"/>
      </w:tblGrid>
      <w:tr>
        <w:trPr/>
        <w:tc>
          <w:tcPr>
            <w:tcW w:w="5040" w:type="dxa"/>
            <w:tcBorders>
              <w:top w:val="single" w:sz="4" w:space="0" w:color="D3DEE8"/>
              <w:start w:val="single" w:sz="4" w:space="0" w:color="D3DEE8"/>
              <w:bottom w:val="single" w:sz="4" w:space="0" w:color="D3DEE8"/>
              <w:end w:val="single" w:sz="4" w:space="0" w:color="D3DEE8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"/>
              <w:rPr/>
            </w:pPr>
            <w:r>
              <w:rPr>
                <w:b w:val="false"/>
                <w:bCs w:val="false"/>
                <w:color w:val="154360"/>
                <w:sz w:val="18"/>
              </w:rPr>
              <w:t>Credentials:</w:t>
            </w:r>
            <w:r>
              <w:rPr>
                <w:b/>
                <w:color w:val="154360"/>
                <w:sz w:val="18"/>
              </w:rPr>
              <w:t xml:space="preserve"> </w:t>
            </w:r>
            <w:r>
              <w:rPr>
                <w:sz w:val="17"/>
              </w:rPr>
              <w:t>AWS Solutions Architect Professional; AWS DevOps Engineer Professional; AWS Machine Learning Specialty; AWS Generative AI Developer Professional Early Adopter; Microsoft Azure Solutions Architect Expert; SAFe 5 Practitioner.</w:t>
            </w:r>
          </w:p>
          <w:p>
            <w:pPr>
              <w:pStyle w:val="Normal"/>
              <w:spacing w:lineRule="auto" w:line="240" w:before="0" w:after="20"/>
              <w:rPr/>
            </w:pPr>
            <w:r>
              <w:rPr>
                <w:b w:val="false"/>
                <w:bCs w:val="false"/>
                <w:color w:val="154360"/>
                <w:sz w:val="18"/>
              </w:rPr>
              <w:t>Thought Leadership:</w:t>
            </w:r>
            <w:r>
              <w:rPr>
                <w:b/>
                <w:color w:val="154360"/>
                <w:sz w:val="18"/>
              </w:rPr>
              <w:t xml:space="preserve"> </w:t>
            </w:r>
            <w:r>
              <w:rPr>
                <w:sz w:val="17"/>
              </w:rPr>
              <w:t>Author of The Thinking Voice. Speaker, researcher, and executive voice on AI, cloud, platform modernization, and enterprise transformation.</w:t>
            </w:r>
          </w:p>
          <w:p>
            <w:pPr>
              <w:pStyle w:val="Normal"/>
              <w:spacing w:lineRule="auto" w:line="240" w:before="0" w:after="20"/>
              <w:rPr/>
            </w:pPr>
            <w:r>
              <w:rPr>
                <w:b w:val="false"/>
                <w:bCs w:val="false"/>
                <w:color w:val="154360"/>
                <w:sz w:val="18"/>
              </w:rPr>
              <w:t xml:space="preserve">Selected Publications: </w:t>
            </w:r>
            <w:r>
              <w:rPr>
                <w:sz w:val="17"/>
              </w:rPr>
              <w:t>Research and publication work spanning hybrid SLM/LLM architectures, AI planning robustness, and machine learning-based volatility modeling.</w:t>
            </w:r>
          </w:p>
        </w:tc>
        <w:tc>
          <w:tcPr>
            <w:tcW w:w="5040" w:type="dxa"/>
            <w:tcBorders>
              <w:top w:val="single" w:sz="4" w:space="0" w:color="D3DEE8"/>
              <w:start w:val="single" w:sz="4" w:space="0" w:color="D3DEE8"/>
              <w:bottom w:val="single" w:sz="4" w:space="0" w:color="D3DEE8"/>
              <w:end w:val="single" w:sz="4" w:space="0" w:color="D3DEE8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20"/>
              <w:rPr/>
            </w:pPr>
            <w:r>
              <w:rPr>
                <w:b w:val="false"/>
                <w:bCs w:val="false"/>
                <w:color w:val="154360"/>
                <w:sz w:val="18"/>
              </w:rPr>
              <w:t>Industry Breadth:</w:t>
            </w:r>
            <w:r>
              <w:rPr>
                <w:b/>
                <w:color w:val="154360"/>
                <w:sz w:val="18"/>
              </w:rPr>
              <w:t xml:space="preserve"> </w:t>
            </w:r>
            <w:r>
              <w:rPr>
                <w:sz w:val="17"/>
              </w:rPr>
              <w:t>Insurance, healthcare, fintech, marketing, supply chain, entertainment, contact center / CX, cloud platforms, and industrial / mechanical contexts.</w:t>
            </w:r>
          </w:p>
          <w:p>
            <w:pPr>
              <w:pStyle w:val="Normal"/>
              <w:spacing w:lineRule="auto" w:line="240" w:before="0" w:after="20"/>
              <w:rPr/>
            </w:pPr>
            <w:r>
              <w:rPr>
                <w:b w:val="false"/>
                <w:bCs w:val="false"/>
                <w:color w:val="154360"/>
                <w:sz w:val="18"/>
              </w:rPr>
              <w:t>Executive Differentiators:</w:t>
            </w:r>
            <w:r>
              <w:rPr>
                <w:b/>
                <w:color w:val="154360"/>
                <w:sz w:val="18"/>
              </w:rPr>
              <w:t xml:space="preserve"> </w:t>
            </w:r>
            <w:r>
              <w:rPr>
                <w:sz w:val="17"/>
              </w:rPr>
              <w:t>Balances deep technical credibility with people leadership, governance, vendor coordination, strategic communication, and enterprise operating model design.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ectionHeader"/>
        <w:spacing w:lineRule="auto" w:line="240" w:before="0" w:after="60"/>
        <w:rPr>
          <w:b w:val="false"/>
          <w:bCs w:val="false"/>
        </w:rPr>
      </w:pPr>
      <w:r>
        <w:rPr>
          <w:b w:val="false"/>
          <w:bCs w:val="false"/>
        </w:rPr>
        <w:t>EDUCATION</w:t>
      </w:r>
    </w:p>
    <w:p>
      <w:pPr>
        <w:pStyle w:val="Normal"/>
        <w:spacing w:lineRule="auto" w:line="240" w:before="0" w:after="0"/>
        <w:rPr/>
      </w:pPr>
      <w:r>
        <w:rPr>
          <w:b w:val="false"/>
          <w:bCs w:val="false"/>
          <w:sz w:val="19"/>
        </w:rPr>
        <w:t>B.Tech (Dual Degree), IIIT RK Valley</w:t>
      </w:r>
      <w:r>
        <w:rPr>
          <w:sz w:val="18"/>
        </w:rPr>
        <w:t xml:space="preserve"> - Electronics &amp; Communication, Minor in Management | CGPA: 8.11/10</w:t>
      </w:r>
    </w:p>
    <w:sectPr>
      <w:type w:val="nextPage"/>
      <w:pgSz w:w="12240" w:h="15840"/>
      <w:pgMar w:left="792" w:right="792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 Display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ectionHeader" w:customStyle="1">
    <w:name w:val="SectionHeader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ＭＳ 明朝" w:cs=""/>
      <w:b/>
      <w:color w:val="154360"/>
      <w:kern w:val="0"/>
      <w:sz w:val="22"/>
      <w:szCs w:val="22"/>
      <w:lang w:val="en-US" w:eastAsia="en-US" w:bidi="ar-SA"/>
    </w:rPr>
  </w:style>
  <w:style w:type="paragraph" w:styleId="RoleHeader" w:customStyle="1">
    <w:name w:val="RoleHeader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" w:cs="" w:cstheme="minorBidi" w:eastAsiaTheme="minorEastAsia"/>
      <w:b/>
      <w:color w:val="auto"/>
      <w:kern w:val="0"/>
      <w:sz w:val="21"/>
      <w:szCs w:val="22"/>
      <w:lang w:val="en-US" w:eastAsia="en-US" w:bidi="ar-SA"/>
    </w:rPr>
  </w:style>
  <w:style w:type="paragraph" w:styleId="SmallMuted" w:customStyle="1">
    <w:name w:val="SmallMuted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ＭＳ 明朝" w:cs=""/>
      <w:color w:val="5A5A5A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LibreOffice/25.8.5.2$Windows_X86_64 LibreOffice_project/9c8b85f387cc00a89945a79c9e6239f32e450ac2</Application>
  <AppVersion>15.0000</AppVersion>
  <Pages>2</Pages>
  <Words>775</Words>
  <Characters>5680</Characters>
  <CharactersWithSpaces>6406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2026-05-17T23:55:02Z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