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0" w:line="240" w:lineRule="auto"/>
        <w:jc w:val="both"/>
      </w:pPr>
    </w:p>
    <w:p>
      <w:pPr>
        <w:spacing w:before="0" w:after="60" w:line="240" w:lineRule="auto"/>
        <w:jc w:val="center"/>
      </w:pPr>
      <w:r>
        <w:rPr>
          <w:rFonts w:ascii="Times New Roman" w:hAnsi="Times New Roman"/>
          <w:b/>
          <w:i w:val="0"/>
          <w:sz w:val="28"/>
        </w:rPr>
        <w:t>A PROJECT REPORT ON</w:t>
      </w:r>
    </w:p>
    <w:p>
      <w:pPr>
        <w:spacing w:before="0" w:after="60" w:line="240" w:lineRule="auto"/>
        <w:jc w:val="center"/>
      </w:pPr>
      <w:r>
        <w:rPr>
          <w:rFonts w:ascii="Times New Roman" w:hAnsi="Times New Roman"/>
          <w:b/>
          <w:i w:val="0"/>
          <w:sz w:val="32"/>
        </w:rPr>
        <w:t>HEARTGUARD: PREVENTIVE INSIGHTS FOR HEART FAILURE READMISSION FORECASTING</w:t>
      </w:r>
    </w:p>
    <w:p>
      <w:pPr>
        <w:spacing w:before="0" w:after="60" w:line="240" w:lineRule="auto"/>
        <w:jc w:val="center"/>
      </w:pPr>
      <w:r>
        <w:rPr>
          <w:rFonts w:ascii="Times New Roman" w:hAnsi="Times New Roman"/>
          <w:b w:val="0"/>
          <w:i w:val="0"/>
          <w:sz w:val="24"/>
        </w:rPr>
        <w:t>SUBMITTED TO THE SAVITRIBAI PHULE PUNE UNIVERSITY, PUNE</w:t>
      </w:r>
    </w:p>
    <w:p>
      <w:pPr>
        <w:spacing w:before="0" w:after="60" w:line="240" w:lineRule="auto"/>
        <w:jc w:val="center"/>
      </w:pPr>
      <w:r>
        <w:rPr>
          <w:rFonts w:ascii="Times New Roman" w:hAnsi="Times New Roman"/>
          <w:b w:val="0"/>
          <w:i w:val="0"/>
          <w:sz w:val="24"/>
        </w:rPr>
        <w:t>IN PARTIAL FULFILLMENT OF THE REQUIREMENTS</w:t>
      </w:r>
    </w:p>
    <w:p>
      <w:pPr>
        <w:spacing w:before="0" w:after="60" w:line="240" w:lineRule="auto"/>
        <w:jc w:val="center"/>
      </w:pPr>
      <w:r>
        <w:rPr>
          <w:rFonts w:ascii="Times New Roman" w:hAnsi="Times New Roman"/>
          <w:b w:val="0"/>
          <w:i w:val="0"/>
          <w:sz w:val="24"/>
        </w:rPr>
        <w:t>FOR THE AWARD OF THE DEGREE</w:t>
      </w:r>
    </w:p>
    <w:p>
      <w:pPr>
        <w:spacing w:before="0" w:after="60" w:line="240" w:lineRule="auto"/>
        <w:jc w:val="center"/>
      </w:pPr>
      <w:r>
        <w:rPr>
          <w:rFonts w:ascii="Times New Roman" w:hAnsi="Times New Roman"/>
          <w:b/>
          <w:i w:val="0"/>
          <w:sz w:val="28"/>
        </w:rPr>
        <w:t>BACHELOR OF ENGINEERING</w:t>
      </w:r>
    </w:p>
    <w:p>
      <w:pPr>
        <w:spacing w:before="0" w:after="60" w:line="240" w:lineRule="auto"/>
        <w:jc w:val="center"/>
      </w:pPr>
      <w:r>
        <w:rPr>
          <w:rFonts w:ascii="Times New Roman" w:hAnsi="Times New Roman"/>
          <w:b w:val="0"/>
          <w:i w:val="0"/>
          <w:sz w:val="24"/>
        </w:rPr>
        <w:t>IN</w:t>
      </w:r>
    </w:p>
    <w:p>
      <w:pPr>
        <w:spacing w:before="0" w:after="60" w:line="240" w:lineRule="auto"/>
        <w:jc w:val="center"/>
      </w:pPr>
      <w:r>
        <w:rPr>
          <w:rFonts w:ascii="Times New Roman" w:hAnsi="Times New Roman"/>
          <w:b/>
          <w:i w:val="0"/>
          <w:sz w:val="28"/>
        </w:rPr>
        <w:t>COMPUTER ENGINEERING</w:t>
      </w:r>
    </w:p>
    <w:p>
      <w:pPr>
        <w:spacing w:before="0" w:after="60" w:line="240" w:lineRule="auto"/>
        <w:jc w:val="center"/>
      </w:pPr>
      <w:r>
        <w:rPr>
          <w:rFonts w:ascii="Times New Roman" w:hAnsi="Times New Roman"/>
          <w:b w:val="0"/>
          <w:i w:val="0"/>
          <w:sz w:val="24"/>
        </w:rPr>
        <w:t>OF</w:t>
      </w:r>
    </w:p>
    <w:p>
      <w:pPr>
        <w:spacing w:before="0" w:after="60" w:line="240" w:lineRule="auto"/>
        <w:jc w:val="center"/>
      </w:pPr>
      <w:r>
        <w:rPr>
          <w:rFonts w:ascii="Times New Roman" w:hAnsi="Times New Roman"/>
          <w:b/>
          <w:i w:val="0"/>
          <w:sz w:val="24"/>
        </w:rPr>
        <w:t>SAVITRIBAI PHULE PUNE UNIVERSITY</w:t>
      </w:r>
    </w:p>
    <w:p>
      <w:pPr>
        <w:spacing w:before="0" w:after="60" w:line="240" w:lineRule="auto"/>
        <w:jc w:val="center"/>
      </w:pPr>
      <w:r>
        <w:rPr>
          <w:rFonts w:ascii="Times New Roman" w:hAnsi="Times New Roman"/>
          <w:b w:val="0"/>
          <w:i w:val="0"/>
          <w:sz w:val="24"/>
        </w:rPr>
        <w:t>BY</w:t>
      </w:r>
    </w:p>
    <w:p>
      <w:pPr>
        <w:spacing w:before="0" w:after="40" w:line="240" w:lineRule="auto"/>
        <w:jc w:val="center"/>
      </w:pPr>
      <w:r>
        <w:rPr>
          <w:rFonts w:ascii="Times New Roman" w:hAnsi="Times New Roman"/>
          <w:b/>
          <w:i w:val="0"/>
          <w:sz w:val="24"/>
        </w:rPr>
        <w:t>HARSH BANDAL    Roll No: 405A101</w:t>
      </w:r>
    </w:p>
    <w:p>
      <w:pPr>
        <w:spacing w:before="0" w:after="40" w:line="240" w:lineRule="auto"/>
        <w:jc w:val="center"/>
      </w:pPr>
      <w:r>
        <w:rPr>
          <w:rFonts w:ascii="Times New Roman" w:hAnsi="Times New Roman"/>
          <w:b/>
          <w:i w:val="0"/>
          <w:sz w:val="24"/>
        </w:rPr>
        <w:t>PANKAJ ASWALE    Roll No: 405A096</w:t>
      </w:r>
    </w:p>
    <w:p>
      <w:pPr>
        <w:spacing w:before="0" w:after="40" w:line="240" w:lineRule="auto"/>
        <w:jc w:val="center"/>
      </w:pPr>
      <w:r>
        <w:rPr>
          <w:rFonts w:ascii="Times New Roman" w:hAnsi="Times New Roman"/>
          <w:b/>
          <w:i w:val="0"/>
          <w:sz w:val="24"/>
        </w:rPr>
        <w:t>SAMRUDDHI BHARDE    Roll No: 405A092</w:t>
      </w:r>
    </w:p>
    <w:p>
      <w:pPr>
        <w:spacing w:before="0" w:after="40" w:line="240" w:lineRule="auto"/>
        <w:jc w:val="center"/>
      </w:pPr>
      <w:r>
        <w:rPr>
          <w:rFonts w:ascii="Times New Roman" w:hAnsi="Times New Roman"/>
          <w:b/>
          <w:i w:val="0"/>
          <w:sz w:val="24"/>
        </w:rPr>
        <w:t>SONALI BHOJANE    Roll No: 405A090</w:t>
      </w:r>
    </w:p>
    <w:p>
      <w:pPr>
        <w:spacing w:before="0" w:after="80" w:line="240" w:lineRule="auto"/>
        <w:jc w:val="both"/>
      </w:pPr>
    </w:p>
    <w:p>
      <w:pPr>
        <w:spacing w:before="0" w:after="60" w:line="240" w:lineRule="auto"/>
        <w:jc w:val="center"/>
      </w:pPr>
      <w:r>
        <w:rPr>
          <w:rFonts w:ascii="Times New Roman" w:hAnsi="Times New Roman"/>
          <w:b w:val="0"/>
          <w:i w:val="0"/>
          <w:sz w:val="24"/>
        </w:rPr>
        <w:t>Under the guidance of</w:t>
      </w:r>
    </w:p>
    <w:p>
      <w:pPr>
        <w:spacing w:before="0" w:after="60" w:line="240" w:lineRule="auto"/>
        <w:jc w:val="center"/>
      </w:pPr>
      <w:r>
        <w:rPr>
          <w:rFonts w:ascii="Times New Roman" w:hAnsi="Times New Roman"/>
          <w:b/>
          <w:i w:val="0"/>
          <w:sz w:val="26"/>
        </w:rPr>
        <w:t>Prof. N. G. BHOJNE</w:t>
      </w:r>
    </w:p>
    <w:p>
      <w:pPr>
        <w:spacing w:before="0" w:after="60" w:line="240" w:lineRule="auto"/>
        <w:jc w:val="center"/>
      </w:pPr>
      <w:r>
        <w:rPr>
          <w:rFonts w:ascii="Times New Roman" w:hAnsi="Times New Roman"/>
          <w:b/>
          <w:i w:val="0"/>
          <w:sz w:val="24"/>
        </w:rPr>
        <w:t>DEPARTMENT OF COMPUTER ENGINEERING</w:t>
      </w:r>
    </w:p>
    <w:p>
      <w:pPr>
        <w:spacing w:before="0" w:after="60" w:line="240" w:lineRule="auto"/>
        <w:jc w:val="center"/>
      </w:pPr>
      <w:r>
        <w:rPr>
          <w:rFonts w:ascii="Times New Roman" w:hAnsi="Times New Roman"/>
          <w:b/>
          <w:i w:val="0"/>
          <w:sz w:val="24"/>
        </w:rPr>
        <w:t>SINHGAD COLLEGE OF ENGINEERING, PUNE-41</w:t>
      </w:r>
    </w:p>
    <w:p>
      <w:pPr>
        <w:spacing w:before="0" w:after="60" w:line="240" w:lineRule="auto"/>
        <w:jc w:val="center"/>
      </w:pPr>
      <w:r>
        <w:rPr>
          <w:rFonts w:ascii="Times New Roman" w:hAnsi="Times New Roman"/>
          <w:b w:val="0"/>
          <w:i w:val="0"/>
          <w:sz w:val="22"/>
        </w:rPr>
        <w:t>Accredited by NAAC with A+ Grade</w:t>
      </w:r>
    </w:p>
    <w:p>
      <w:pPr>
        <w:spacing w:before="0" w:after="60" w:line="240" w:lineRule="auto"/>
        <w:jc w:val="center"/>
      </w:pPr>
      <w:r>
        <w:rPr>
          <w:rFonts w:ascii="Times New Roman" w:hAnsi="Times New Roman"/>
          <w:b/>
          <w:i w:val="0"/>
          <w:sz w:val="24"/>
        </w:rPr>
        <w:t>2025-26</w:t>
      </w:r>
    </w:p>
    <w:p>
      <w:r>
        <w:br w:type="page"/>
      </w:r>
    </w:p>
    <w:p>
      <w:pPr>
        <w:spacing w:before="0" w:after="60" w:line="240" w:lineRule="auto"/>
        <w:jc w:val="center"/>
      </w:pPr>
      <w:r>
        <w:rPr>
          <w:rFonts w:ascii="Times New Roman" w:hAnsi="Times New Roman"/>
          <w:b w:val="0"/>
          <w:i w:val="0"/>
          <w:sz w:val="24"/>
        </w:rPr>
        <w:t>Sinhgad Technical Education Society</w:t>
      </w:r>
    </w:p>
    <w:p>
      <w:pPr>
        <w:spacing w:before="0" w:after="60" w:line="240" w:lineRule="auto"/>
        <w:jc w:val="center"/>
      </w:pPr>
      <w:r>
        <w:rPr>
          <w:rFonts w:ascii="Times New Roman" w:hAnsi="Times New Roman"/>
          <w:b w:val="0"/>
          <w:i w:val="0"/>
          <w:sz w:val="24"/>
        </w:rPr>
        <w:t>Sinhgad College of Engineering, Pune-41</w:t>
      </w:r>
    </w:p>
    <w:p>
      <w:pPr>
        <w:spacing w:before="0" w:after="60" w:line="240" w:lineRule="auto"/>
        <w:jc w:val="center"/>
      </w:pPr>
      <w:r>
        <w:rPr>
          <w:rFonts w:ascii="Times New Roman" w:hAnsi="Times New Roman"/>
          <w:b w:val="0"/>
          <w:i w:val="0"/>
          <w:sz w:val="24"/>
        </w:rPr>
        <w:t>Department of Computer Engineering</w:t>
      </w:r>
    </w:p>
    <w:p>
      <w:pPr>
        <w:spacing w:before="0" w:after="160" w:line="240" w:lineRule="auto"/>
        <w:jc w:val="left"/>
      </w:pPr>
      <w:r>
        <w:rPr>
          <w:rFonts w:ascii="Times New Roman" w:hAnsi="Times New Roman"/>
          <w:b w:val="0"/>
          <w:i w:val="0"/>
          <w:sz w:val="24"/>
        </w:rPr>
        <w:t>Date:</w:t>
      </w:r>
    </w:p>
    <w:p>
      <w:pPr>
        <w:spacing w:before="0" w:after="240" w:line="240" w:lineRule="auto"/>
        <w:jc w:val="center"/>
      </w:pPr>
      <w:r>
        <w:rPr>
          <w:rFonts w:ascii="Times New Roman" w:hAnsi="Times New Roman"/>
          <w:b/>
          <w:i w:val="0"/>
          <w:sz w:val="30"/>
        </w:rPr>
        <w:t>CERTIFICATE</w:t>
      </w:r>
    </w:p>
    <w:p>
      <w:pPr>
        <w:spacing w:before="0" w:after="200" w:line="264" w:lineRule="auto"/>
        <w:jc w:val="both"/>
      </w:pPr>
      <w:r>
        <w:rPr>
          <w:rFonts w:ascii="Times New Roman" w:hAnsi="Times New Roman"/>
          <w:b w:val="0"/>
          <w:i w:val="0"/>
          <w:sz w:val="24"/>
        </w:rPr>
        <w:t>This is to certify that the project report entitled "HEARTGUARD: PREVENTIVE INSIGHTS FOR HEART FAILURE READMISSION FORECASTING" submitted by Harsh Bandal, Pankaj Aswale, Samruddhi Bharde, and Sonali Bhojane is a bonafide work carried out under the supervision of Prof. N. G. Bhojne and is approved for the partial fulfillment of the requirements of Savitribai Phule Pune University, Pune for the award of the degree of Bachelor of Engineering (Computer Engineering) during the year 2025-26.</w:t>
      </w:r>
    </w:p>
    <w:tbl>
      <w:tblPr>
        <w:tblStyle w:val="TableGrid"/>
        <w:tblW w:type="auto" w:w="0"/>
        <w:jc w:val="center"/>
        <w:tblLook w:firstColumn="1" w:firstRow="1" w:lastColumn="0" w:lastRow="0" w:noHBand="0" w:noVBand="1" w:val="04A0"/>
      </w:tblPr>
      <w:tblGrid>
        <w:gridCol w:w="3081"/>
        <w:gridCol w:w="3081"/>
        <w:gridCol w:w="3081"/>
      </w:tblGrid>
      <w:tr>
        <w:tc>
          <w:tcPr>
            <w:tcW w:type="dxa" w:w="3024"/>
            <w:vAlign w:val="center"/>
          </w:tcPr>
          <w:p>
            <w:pPr>
              <w:spacing w:before="0" w:after="0" w:line="240" w:lineRule="auto"/>
              <w:jc w:val="center"/>
            </w:pPr>
            <w:r>
              <w:rPr>
                <w:rFonts w:ascii="Times New Roman" w:hAnsi="Times New Roman"/>
                <w:b w:val="0"/>
                <w:i w:val="0"/>
                <w:sz w:val="20"/>
              </w:rPr>
              <w:t>Prof. N. G. Bhojne</w:t>
              <w:br/>
              <w:t>Guide</w:t>
              <w:br/>
              <w:t>Department of Computer Engineering</w:t>
            </w:r>
          </w:p>
        </w:tc>
        <w:tc>
          <w:tcPr>
            <w:tcW w:type="dxa" w:w="3024"/>
            <w:vAlign w:val="center"/>
          </w:tcPr>
          <w:p>
            <w:pPr>
              <w:spacing w:before="0" w:after="0" w:line="240" w:lineRule="auto"/>
              <w:jc w:val="center"/>
            </w:pPr>
            <w:r>
              <w:rPr>
                <w:rFonts w:ascii="Times New Roman" w:hAnsi="Times New Roman"/>
                <w:b w:val="0"/>
                <w:i w:val="0"/>
                <w:sz w:val="20"/>
              </w:rPr>
              <w:t>Prof. R. H. Borhade</w:t>
              <w:br/>
              <w:t>Head</w:t>
              <w:br/>
              <w:t>Department of Computer Engineering</w:t>
            </w:r>
          </w:p>
        </w:tc>
        <w:tc>
          <w:tcPr>
            <w:tcW w:type="dxa" w:w="3024"/>
            <w:vAlign w:val="center"/>
          </w:tcPr>
          <w:p>
            <w:pPr>
              <w:spacing w:before="0" w:after="0" w:line="240" w:lineRule="auto"/>
              <w:jc w:val="center"/>
            </w:pPr>
            <w:r>
              <w:rPr>
                <w:rFonts w:ascii="Times New Roman" w:hAnsi="Times New Roman"/>
                <w:b w:val="0"/>
                <w:i w:val="0"/>
                <w:sz w:val="20"/>
              </w:rPr>
              <w:t>Dr. S. D. Lokhande</w:t>
              <w:br/>
              <w:t>Principal</w:t>
              <w:br/>
              <w:t>Sinhgad College of Engineering</w:t>
            </w:r>
          </w:p>
        </w:tc>
      </w:tr>
      <w:tr>
        <w:tc>
          <w:tcPr>
            <w:tcW w:type="dxa" w:w="3024"/>
            <w:vAlign w:val="center"/>
          </w:tcPr>
          <w:p>
            <w:pPr>
              <w:spacing w:before="0" w:after="0" w:line="240" w:lineRule="auto"/>
              <w:jc w:val="center"/>
            </w:pPr>
            <w:r>
              <w:rPr>
                <w:rFonts w:ascii="Times New Roman" w:hAnsi="Times New Roman"/>
                <w:b w:val="0"/>
                <w:i w:val="0"/>
                <w:sz w:val="20"/>
              </w:rPr>
              <w:t>Harsh Bandal</w:t>
              <w:br/>
              <w:t>405A101</w:t>
            </w:r>
          </w:p>
        </w:tc>
        <w:tc>
          <w:tcPr>
            <w:tcW w:type="dxa" w:w="3024"/>
            <w:vAlign w:val="center"/>
          </w:tcPr>
          <w:p>
            <w:pPr>
              <w:spacing w:before="0" w:after="0" w:line="240" w:lineRule="auto"/>
              <w:jc w:val="center"/>
            </w:pPr>
            <w:r>
              <w:rPr>
                <w:rFonts w:ascii="Times New Roman" w:hAnsi="Times New Roman"/>
                <w:b w:val="0"/>
                <w:i w:val="0"/>
                <w:sz w:val="20"/>
              </w:rPr>
              <w:t>Pankaj Aswale</w:t>
              <w:br/>
              <w:t>405A096</w:t>
            </w:r>
          </w:p>
        </w:tc>
        <w:tc>
          <w:tcPr>
            <w:tcW w:type="dxa" w:w="3024"/>
            <w:vAlign w:val="center"/>
          </w:tcPr>
          <w:p>
            <w:pPr>
              <w:spacing w:before="0" w:after="0" w:line="240" w:lineRule="auto"/>
              <w:jc w:val="center"/>
            </w:pPr>
            <w:r>
              <w:rPr>
                <w:rFonts w:ascii="Times New Roman" w:hAnsi="Times New Roman"/>
                <w:b w:val="0"/>
                <w:i w:val="0"/>
                <w:sz w:val="20"/>
              </w:rPr>
              <w:t>Samruddhi Bharde / Sonali Bhojane</w:t>
              <w:br/>
              <w:t>405A092 / 405A090</w:t>
            </w:r>
          </w:p>
        </w:tc>
      </w:tr>
    </w:tbl>
    <w:p>
      <w:r>
        <w:br w:type="page"/>
      </w:r>
    </w:p>
    <w:p>
      <w:pPr>
        <w:spacing w:before="0" w:after="240" w:line="240" w:lineRule="auto"/>
        <w:jc w:val="center"/>
      </w:pPr>
      <w:r>
        <w:rPr>
          <w:rFonts w:ascii="Times New Roman" w:hAnsi="Times New Roman"/>
          <w:b/>
          <w:i w:val="0"/>
          <w:sz w:val="30"/>
        </w:rPr>
        <w:t>ACKNOWLEDGEMENT</w:t>
      </w:r>
    </w:p>
    <w:p>
      <w:pPr>
        <w:spacing w:before="0" w:after="80" w:line="264" w:lineRule="auto"/>
        <w:jc w:val="both"/>
      </w:pPr>
      <w:r>
        <w:rPr>
          <w:rFonts w:ascii="Times New Roman" w:hAnsi="Times New Roman"/>
          <w:b w:val="0"/>
          <w:i w:val="0"/>
          <w:sz w:val="24"/>
        </w:rPr>
        <w:t>We express our sincere gratitude to Prof. N. G. Bhojne for his constant guidance, motivation, and technical insight throughout the development of HeartGuard. His support helped us move from an initial predictive-healthcare idea to a practical web-based project that combines forecasting, persistence, and patient-support modules.</w:t>
      </w:r>
    </w:p>
    <w:p>
      <w:pPr>
        <w:spacing w:before="0" w:after="80" w:line="264" w:lineRule="auto"/>
        <w:jc w:val="both"/>
      </w:pPr>
      <w:r>
        <w:rPr>
          <w:rFonts w:ascii="Times New Roman" w:hAnsi="Times New Roman"/>
          <w:b w:val="0"/>
          <w:i w:val="0"/>
          <w:sz w:val="24"/>
        </w:rPr>
        <w:t>We are also thankful to Dr. S. D. Lokhande, Principal of Sinhgad College of Engineering, Pune, and Prof. R. H. Borhade, Head of the Department of Computer Engineering, for providing the academic environment, infrastructure, and encouragement necessary for this work. We further acknowledge the contribution of our department staff, classmates, and the openly available healthcare datasets and tools that made experimentation, validation, and report preparation possible.</w:t>
      </w:r>
    </w:p>
    <w:p>
      <w:pPr>
        <w:spacing w:before="0" w:after="40" w:line="240" w:lineRule="auto"/>
        <w:jc w:val="right"/>
      </w:pPr>
      <w:r>
        <w:rPr>
          <w:rFonts w:ascii="Times New Roman" w:hAnsi="Times New Roman"/>
          <w:b w:val="0"/>
          <w:i w:val="0"/>
          <w:sz w:val="24"/>
        </w:rPr>
        <w:t>Harsh Bandal</w:t>
        <w:br/>
        <w:t>Pankaj Aswale</w:t>
        <w:br/>
        <w:t>Samruddhi Bharde</w:t>
        <w:br/>
        <w:t>Sonali Bhojane</w:t>
      </w:r>
    </w:p>
    <w:p>
      <w:r>
        <w:br w:type="page"/>
      </w:r>
    </w:p>
    <w:p>
      <w:pPr>
        <w:spacing w:before="0" w:after="240" w:line="240" w:lineRule="auto"/>
        <w:jc w:val="center"/>
      </w:pPr>
      <w:r>
        <w:rPr>
          <w:rFonts w:ascii="Times New Roman" w:hAnsi="Times New Roman"/>
          <w:b/>
          <w:i w:val="0"/>
          <w:sz w:val="30"/>
        </w:rPr>
        <w:t>ABSTRACT</w:t>
      </w:r>
    </w:p>
    <w:p>
      <w:pPr>
        <w:spacing w:before="0" w:after="80" w:line="264" w:lineRule="auto"/>
        <w:jc w:val="both"/>
      </w:pPr>
      <w:r>
        <w:rPr>
          <w:rFonts w:ascii="Times New Roman" w:hAnsi="Times New Roman"/>
          <w:b w:val="0"/>
          <w:i w:val="0"/>
          <w:sz w:val="24"/>
        </w:rPr>
        <w:t>Heart failure remains one of the leading causes of repeated hospitalization, and timely identification of high-risk patients is still a major challenge in preventive healthcare. HeartGuard is proposed as a combined forecasting and support platform that studies heart-failure-aware risk prediction while also providing a practical web workflow for continuity after assessment. The project uses a FastAPI backend, modular HTML/CSS/JavaScript frontend pages, persistent Excel-backed prediction history, and a multi-source clinical data foundation that includes 312,774 harmonized records across cardiovascular, diabetes, Framingham, and heart-failure datasets. The current public prototype emphasizes explainability and sparse-input usability through a weighted scoring engine that accepts incomplete clinical inputs, estimates confidence, stores results, and connects them to dashboard review, diet planning, AI assistant support, mood logging, medication tracking, and vital monitoring.</w:t>
      </w:r>
    </w:p>
    <w:p>
      <w:pPr>
        <w:spacing w:before="0" w:after="80" w:line="264" w:lineRule="auto"/>
        <w:jc w:val="both"/>
      </w:pPr>
      <w:r>
        <w:rPr>
          <w:rFonts w:ascii="Times New Roman" w:hAnsi="Times New Roman"/>
          <w:b w:val="0"/>
          <w:i w:val="0"/>
          <w:sz w:val="24"/>
        </w:rPr>
        <w:t>Training artifacts in the project repository demonstrate exploratory supervised-model performance with accuracy 0.8146 and ROC-AUC 0.8027, while the deployed application intentionally prioritizes interpretability and robustness over black-box complexity. Functional validation confirms partial-input prediction, dashboard continuity after refresh, and successful handoff from forecasting to supportive follow-up modules. The project therefore presents HeartGuard as a realistic academic prototype for preventive insight generation, readmission-aware monitoring, and future model-integrated healthcare analytics.</w:t>
      </w:r>
    </w:p>
    <w:p>
      <w:r>
        <w:br w:type="page"/>
      </w:r>
    </w:p>
    <w:p>
      <w:pPr>
        <w:spacing w:before="0" w:after="200" w:line="240" w:lineRule="auto"/>
        <w:jc w:val="center"/>
      </w:pPr>
      <w:r>
        <w:rPr>
          <w:rFonts w:ascii="Times New Roman" w:hAnsi="Times New Roman"/>
          <w:b/>
          <w:i w:val="0"/>
          <w:sz w:val="28"/>
        </w:rPr>
        <w:t>LIST OF FIGURES</w:t>
      </w:r>
    </w:p>
    <w:p>
      <w:pPr>
        <w:spacing w:before="0" w:after="40" w:line="240" w:lineRule="auto"/>
        <w:jc w:val="left"/>
      </w:pPr>
      <w:r>
        <w:rPr>
          <w:rFonts w:ascii="Times New Roman" w:hAnsi="Times New Roman"/>
          <w:b w:val="0"/>
          <w:i w:val="0"/>
          <w:sz w:val="24"/>
        </w:rPr>
        <w:t>Figure 2.1 Project Process Modelling</w:t>
      </w:r>
    </w:p>
    <w:p>
      <w:pPr>
        <w:spacing w:before="0" w:after="40" w:line="240" w:lineRule="auto"/>
        <w:jc w:val="left"/>
      </w:pPr>
      <w:r>
        <w:rPr>
          <w:rFonts w:ascii="Times New Roman" w:hAnsi="Times New Roman"/>
          <w:b w:val="0"/>
          <w:i w:val="0"/>
          <w:sz w:val="24"/>
        </w:rPr>
        <w:t>Figure 2.2 Gantt Chart</w:t>
      </w:r>
    </w:p>
    <w:p>
      <w:pPr>
        <w:spacing w:before="0" w:after="40" w:line="240" w:lineRule="auto"/>
        <w:jc w:val="left"/>
      </w:pPr>
      <w:r>
        <w:rPr>
          <w:rFonts w:ascii="Times New Roman" w:hAnsi="Times New Roman"/>
          <w:b w:val="0"/>
          <w:i w:val="0"/>
          <w:sz w:val="24"/>
        </w:rPr>
        <w:t>Figure 3.1 System Architecture of HeartGuard</w:t>
      </w:r>
    </w:p>
    <w:p>
      <w:pPr>
        <w:spacing w:before="0" w:after="40" w:line="240" w:lineRule="auto"/>
        <w:jc w:val="left"/>
      </w:pPr>
      <w:r>
        <w:rPr>
          <w:rFonts w:ascii="Times New Roman" w:hAnsi="Times New Roman"/>
          <w:b w:val="0"/>
          <w:i w:val="0"/>
          <w:sz w:val="24"/>
        </w:rPr>
        <w:t>Figure 3.2 Methodology Flow Diagram of HeartGuard System</w:t>
      </w:r>
    </w:p>
    <w:p>
      <w:pPr>
        <w:spacing w:before="0" w:after="40" w:line="240" w:lineRule="auto"/>
        <w:jc w:val="left"/>
      </w:pPr>
      <w:r>
        <w:rPr>
          <w:rFonts w:ascii="Times New Roman" w:hAnsi="Times New Roman"/>
          <w:b w:val="0"/>
          <w:i w:val="0"/>
          <w:sz w:val="24"/>
        </w:rPr>
        <w:t>Figure 3.3 Use Case Diagram of HeartGuard System</w:t>
      </w:r>
    </w:p>
    <w:p>
      <w:pPr>
        <w:spacing w:before="0" w:after="40" w:line="240" w:lineRule="auto"/>
        <w:jc w:val="left"/>
      </w:pPr>
      <w:r>
        <w:rPr>
          <w:rFonts w:ascii="Times New Roman" w:hAnsi="Times New Roman"/>
          <w:b w:val="0"/>
          <w:i w:val="0"/>
          <w:sz w:val="24"/>
        </w:rPr>
        <w:t>Figure 3.4 Activity Diagram of HeartGuard System</w:t>
      </w:r>
    </w:p>
    <w:p>
      <w:pPr>
        <w:spacing w:before="0" w:after="40" w:line="240" w:lineRule="auto"/>
        <w:jc w:val="left"/>
      </w:pPr>
      <w:r>
        <w:rPr>
          <w:rFonts w:ascii="Times New Roman" w:hAnsi="Times New Roman"/>
          <w:b w:val="0"/>
          <w:i w:val="0"/>
          <w:sz w:val="24"/>
        </w:rPr>
        <w:t>Figure 3.5 Class Diagram of HeartGuard System</w:t>
      </w:r>
    </w:p>
    <w:p>
      <w:pPr>
        <w:spacing w:before="0" w:after="40" w:line="240" w:lineRule="auto"/>
        <w:jc w:val="left"/>
      </w:pPr>
      <w:r>
        <w:rPr>
          <w:rFonts w:ascii="Times New Roman" w:hAnsi="Times New Roman"/>
          <w:b w:val="0"/>
          <w:i w:val="0"/>
          <w:sz w:val="24"/>
        </w:rPr>
        <w:t>Figure 3.6 Sequence Diagram of HeartGuard System</w:t>
      </w:r>
    </w:p>
    <w:p>
      <w:r>
        <w:br w:type="page"/>
      </w:r>
    </w:p>
    <w:p>
      <w:pPr>
        <w:spacing w:before="0" w:after="200" w:line="240" w:lineRule="auto"/>
        <w:jc w:val="center"/>
      </w:pPr>
      <w:r>
        <w:rPr>
          <w:rFonts w:ascii="Times New Roman" w:hAnsi="Times New Roman"/>
          <w:b/>
          <w:i w:val="0"/>
          <w:sz w:val="28"/>
        </w:rPr>
        <w:t>LIST OF TABLES</w:t>
      </w:r>
    </w:p>
    <w:p>
      <w:pPr>
        <w:spacing w:before="0" w:after="40" w:line="240" w:lineRule="auto"/>
        <w:jc w:val="left"/>
      </w:pPr>
      <w:r>
        <w:rPr>
          <w:rFonts w:ascii="Times New Roman" w:hAnsi="Times New Roman"/>
          <w:b w:val="0"/>
          <w:i w:val="0"/>
          <w:sz w:val="24"/>
        </w:rPr>
        <w:t>Table 1.1 Literature Survey</w:t>
      </w:r>
    </w:p>
    <w:p>
      <w:pPr>
        <w:spacing w:before="0" w:after="40" w:line="240" w:lineRule="auto"/>
        <w:jc w:val="left"/>
      </w:pPr>
      <w:r>
        <w:rPr>
          <w:rFonts w:ascii="Times New Roman" w:hAnsi="Times New Roman"/>
          <w:b w:val="0"/>
          <w:i w:val="0"/>
          <w:sz w:val="24"/>
        </w:rPr>
        <w:t>Table 2.1 Requirement Summary</w:t>
      </w:r>
    </w:p>
    <w:p>
      <w:pPr>
        <w:spacing w:before="0" w:after="40" w:line="240" w:lineRule="auto"/>
        <w:jc w:val="left"/>
      </w:pPr>
      <w:r>
        <w:rPr>
          <w:rFonts w:ascii="Times New Roman" w:hAnsi="Times New Roman"/>
          <w:b w:val="0"/>
          <w:i w:val="0"/>
          <w:sz w:val="24"/>
        </w:rPr>
        <w:t>Table 2.2 Feasibility Snapshot</w:t>
      </w:r>
    </w:p>
    <w:p>
      <w:pPr>
        <w:spacing w:before="0" w:after="40" w:line="240" w:lineRule="auto"/>
        <w:jc w:val="left"/>
      </w:pPr>
      <w:r>
        <w:rPr>
          <w:rFonts w:ascii="Times New Roman" w:hAnsi="Times New Roman"/>
          <w:b w:val="0"/>
          <w:i w:val="0"/>
          <w:sz w:val="24"/>
        </w:rPr>
        <w:t>Table 2.3 Project Scheduling</w:t>
      </w:r>
    </w:p>
    <w:p>
      <w:pPr>
        <w:spacing w:before="0" w:after="40" w:line="240" w:lineRule="auto"/>
        <w:jc w:val="left"/>
      </w:pPr>
      <w:r>
        <w:rPr>
          <w:rFonts w:ascii="Times New Roman" w:hAnsi="Times New Roman"/>
          <w:b w:val="0"/>
          <w:i w:val="0"/>
          <w:sz w:val="24"/>
        </w:rPr>
        <w:t>Table 3.1 Module Description of HeartGuard System</w:t>
      </w:r>
    </w:p>
    <w:p>
      <w:pPr>
        <w:spacing w:before="0" w:after="40" w:line="240" w:lineRule="auto"/>
        <w:jc w:val="left"/>
      </w:pPr>
      <w:r>
        <w:rPr>
          <w:rFonts w:ascii="Times New Roman" w:hAnsi="Times New Roman"/>
          <w:b w:val="0"/>
          <w:i w:val="0"/>
          <w:sz w:val="24"/>
        </w:rPr>
        <w:t>Table 4.1 Backend Endpoints and Responsibilities</w:t>
      </w:r>
    </w:p>
    <w:p>
      <w:pPr>
        <w:spacing w:before="0" w:after="40" w:line="240" w:lineRule="auto"/>
        <w:jc w:val="left"/>
      </w:pPr>
      <w:r>
        <w:rPr>
          <w:rFonts w:ascii="Times New Roman" w:hAnsi="Times New Roman"/>
          <w:b w:val="0"/>
          <w:i w:val="0"/>
          <w:sz w:val="24"/>
        </w:rPr>
        <w:t>Table 5.1 Testing Summary</w:t>
      </w:r>
    </w:p>
    <w:p>
      <w:pPr>
        <w:spacing w:before="0" w:after="40" w:line="240" w:lineRule="auto"/>
        <w:jc w:val="left"/>
      </w:pPr>
      <w:r>
        <w:rPr>
          <w:rFonts w:ascii="Times New Roman" w:hAnsi="Times New Roman"/>
          <w:b w:val="0"/>
          <w:i w:val="0"/>
          <w:sz w:val="24"/>
        </w:rPr>
        <w:t>Table 6.1 Results and Discussion Summary</w:t>
      </w:r>
    </w:p>
    <w:p>
      <w:pPr>
        <w:spacing w:before="0" w:after="40" w:line="240" w:lineRule="auto"/>
        <w:jc w:val="left"/>
      </w:pPr>
      <w:r>
        <w:rPr>
          <w:rFonts w:ascii="Times New Roman" w:hAnsi="Times New Roman"/>
          <w:b w:val="0"/>
          <w:i w:val="0"/>
          <w:sz w:val="24"/>
        </w:rPr>
        <w:t>Table A.1 Dataset and Variable Summary</w:t>
      </w:r>
    </w:p>
    <w:p>
      <w:r>
        <w:br w:type="page"/>
      </w:r>
    </w:p>
    <w:p>
      <w:pPr>
        <w:spacing w:before="0" w:after="200" w:line="240" w:lineRule="auto"/>
        <w:jc w:val="center"/>
      </w:pPr>
      <w:r>
        <w:rPr>
          <w:rFonts w:ascii="Times New Roman" w:hAnsi="Times New Roman"/>
          <w:b/>
          <w:i w:val="0"/>
          <w:sz w:val="28"/>
        </w:rPr>
        <w:t>ABBREVIATIONS</w:t>
      </w:r>
    </w:p>
    <w:p>
      <w:pPr>
        <w:spacing w:before="0" w:after="40" w:line="240" w:lineRule="auto"/>
        <w:jc w:val="left"/>
      </w:pPr>
      <w:r>
        <w:rPr>
          <w:rFonts w:ascii="Times New Roman" w:hAnsi="Times New Roman"/>
          <w:b w:val="0"/>
          <w:i w:val="0"/>
          <w:sz w:val="24"/>
        </w:rPr>
        <w:t>HG - HeartGuard</w:t>
      </w:r>
    </w:p>
    <w:p>
      <w:pPr>
        <w:spacing w:before="0" w:after="40" w:line="240" w:lineRule="auto"/>
        <w:jc w:val="left"/>
      </w:pPr>
      <w:r>
        <w:rPr>
          <w:rFonts w:ascii="Times New Roman" w:hAnsi="Times New Roman"/>
          <w:b w:val="0"/>
          <w:i w:val="0"/>
          <w:sz w:val="24"/>
        </w:rPr>
        <w:t>HF - Heart Failure</w:t>
      </w:r>
    </w:p>
    <w:p>
      <w:pPr>
        <w:spacing w:before="0" w:after="40" w:line="240" w:lineRule="auto"/>
        <w:jc w:val="left"/>
      </w:pPr>
      <w:r>
        <w:rPr>
          <w:rFonts w:ascii="Times New Roman" w:hAnsi="Times New Roman"/>
          <w:b w:val="0"/>
          <w:i w:val="0"/>
          <w:sz w:val="24"/>
        </w:rPr>
        <w:t>AI - Artificial Intelligence</w:t>
      </w:r>
    </w:p>
    <w:p>
      <w:pPr>
        <w:spacing w:before="0" w:after="40" w:line="240" w:lineRule="auto"/>
        <w:jc w:val="left"/>
      </w:pPr>
      <w:r>
        <w:rPr>
          <w:rFonts w:ascii="Times New Roman" w:hAnsi="Times New Roman"/>
          <w:b w:val="0"/>
          <w:i w:val="0"/>
          <w:sz w:val="24"/>
        </w:rPr>
        <w:t>ML - Machine Learning</w:t>
      </w:r>
    </w:p>
    <w:p>
      <w:pPr>
        <w:spacing w:before="0" w:after="40" w:line="240" w:lineRule="auto"/>
        <w:jc w:val="left"/>
      </w:pPr>
      <w:r>
        <w:rPr>
          <w:rFonts w:ascii="Times New Roman" w:hAnsi="Times New Roman"/>
          <w:b w:val="0"/>
          <w:i w:val="0"/>
          <w:sz w:val="24"/>
        </w:rPr>
        <w:t>API - Application Programming Interface</w:t>
      </w:r>
    </w:p>
    <w:p>
      <w:pPr>
        <w:spacing w:before="0" w:after="40" w:line="240" w:lineRule="auto"/>
        <w:jc w:val="left"/>
      </w:pPr>
      <w:r>
        <w:rPr>
          <w:rFonts w:ascii="Times New Roman" w:hAnsi="Times New Roman"/>
          <w:b w:val="0"/>
          <w:i w:val="0"/>
          <w:sz w:val="24"/>
        </w:rPr>
        <w:t>EHR - Electronic Health Record</w:t>
      </w:r>
    </w:p>
    <w:p>
      <w:pPr>
        <w:spacing w:before="0" w:after="40" w:line="240" w:lineRule="auto"/>
        <w:jc w:val="left"/>
      </w:pPr>
      <w:r>
        <w:rPr>
          <w:rFonts w:ascii="Times New Roman" w:hAnsi="Times New Roman"/>
          <w:b w:val="0"/>
          <w:i w:val="0"/>
          <w:sz w:val="24"/>
        </w:rPr>
        <w:t>ROC - Receiver Operating Characteristic</w:t>
      </w:r>
    </w:p>
    <w:p>
      <w:pPr>
        <w:spacing w:before="0" w:after="40" w:line="240" w:lineRule="auto"/>
        <w:jc w:val="left"/>
      </w:pPr>
      <w:r>
        <w:rPr>
          <w:rFonts w:ascii="Times New Roman" w:hAnsi="Times New Roman"/>
          <w:b w:val="0"/>
          <w:i w:val="0"/>
          <w:sz w:val="24"/>
        </w:rPr>
        <w:t>AUC - Area Under Curve</w:t>
      </w:r>
    </w:p>
    <w:p>
      <w:pPr>
        <w:spacing w:before="0" w:after="40" w:line="240" w:lineRule="auto"/>
        <w:jc w:val="left"/>
      </w:pPr>
      <w:r>
        <w:rPr>
          <w:rFonts w:ascii="Times New Roman" w:hAnsi="Times New Roman"/>
          <w:b w:val="0"/>
          <w:i w:val="0"/>
          <w:sz w:val="24"/>
        </w:rPr>
        <w:t>EF - Ejection Fraction</w:t>
      </w:r>
    </w:p>
    <w:p>
      <w:pPr>
        <w:spacing w:before="0" w:after="40" w:line="240" w:lineRule="auto"/>
        <w:jc w:val="left"/>
      </w:pPr>
      <w:r>
        <w:rPr>
          <w:rFonts w:ascii="Times New Roman" w:hAnsi="Times New Roman"/>
          <w:b w:val="0"/>
          <w:i w:val="0"/>
          <w:sz w:val="24"/>
        </w:rPr>
        <w:t>BMI - Body Mass Index</w:t>
      </w:r>
    </w:p>
    <w:p>
      <w:r>
        <w:br w:type="page"/>
      </w:r>
    </w:p>
    <w:p>
      <w:pPr>
        <w:spacing w:before="0" w:after="200" w:line="240" w:lineRule="auto"/>
        <w:jc w:val="center"/>
      </w:pPr>
      <w:r>
        <w:rPr>
          <w:rFonts w:ascii="Times New Roman" w:hAnsi="Times New Roman"/>
          <w:b/>
          <w:i w:val="0"/>
          <w:sz w:val="28"/>
        </w:rPr>
        <w:t>TABLE OF CONTENTS</w:t>
      </w:r>
    </w:p>
    <w:p>
      <w:pPr>
        <w:spacing w:before="0" w:after="40" w:line="240" w:lineRule="auto"/>
        <w:jc w:val="left"/>
      </w:pPr>
      <w:r>
        <w:rPr>
          <w:rFonts w:ascii="Times New Roman" w:hAnsi="Times New Roman"/>
          <w:b w:val="0"/>
          <w:i w:val="0"/>
          <w:sz w:val="24"/>
        </w:rPr>
        <w:t>Chapter 1 Introduction</w:t>
      </w:r>
    </w:p>
    <w:p>
      <w:pPr>
        <w:spacing w:before="0" w:after="40" w:line="240" w:lineRule="auto"/>
        <w:jc w:val="left"/>
      </w:pPr>
      <w:r>
        <w:rPr>
          <w:rFonts w:ascii="Times New Roman" w:hAnsi="Times New Roman"/>
          <w:b w:val="0"/>
          <w:i w:val="0"/>
          <w:sz w:val="24"/>
        </w:rPr>
        <w:t>1.1 Background and Basics</w:t>
      </w:r>
    </w:p>
    <w:p>
      <w:pPr>
        <w:spacing w:before="0" w:after="40" w:line="240" w:lineRule="auto"/>
        <w:jc w:val="left"/>
      </w:pPr>
      <w:r>
        <w:rPr>
          <w:rFonts w:ascii="Times New Roman" w:hAnsi="Times New Roman"/>
          <w:b w:val="0"/>
          <w:i w:val="0"/>
          <w:sz w:val="24"/>
        </w:rPr>
        <w:t>1.2 Literature Survey and Research Gap</w:t>
      </w:r>
    </w:p>
    <w:p>
      <w:pPr>
        <w:spacing w:before="0" w:after="40" w:line="240" w:lineRule="auto"/>
        <w:jc w:val="left"/>
      </w:pPr>
      <w:r>
        <w:rPr>
          <w:rFonts w:ascii="Times New Roman" w:hAnsi="Times New Roman"/>
          <w:b w:val="0"/>
          <w:i w:val="0"/>
          <w:sz w:val="24"/>
        </w:rPr>
        <w:t>1.3 Project Undertaken</w:t>
      </w:r>
    </w:p>
    <w:p>
      <w:pPr>
        <w:spacing w:before="0" w:after="40" w:line="240" w:lineRule="auto"/>
        <w:jc w:val="left"/>
      </w:pPr>
      <w:r>
        <w:rPr>
          <w:rFonts w:ascii="Times New Roman" w:hAnsi="Times New Roman"/>
          <w:b w:val="0"/>
          <w:i w:val="0"/>
          <w:sz w:val="24"/>
        </w:rPr>
        <w:t>1.4 Problem Definition</w:t>
      </w:r>
    </w:p>
    <w:p>
      <w:pPr>
        <w:spacing w:before="0" w:after="40" w:line="240" w:lineRule="auto"/>
        <w:jc w:val="left"/>
      </w:pPr>
      <w:r>
        <w:rPr>
          <w:rFonts w:ascii="Times New Roman" w:hAnsi="Times New Roman"/>
          <w:b w:val="0"/>
          <w:i w:val="0"/>
          <w:sz w:val="24"/>
        </w:rPr>
        <w:t>1.5 Scope Statement</w:t>
      </w:r>
    </w:p>
    <w:p>
      <w:pPr>
        <w:spacing w:before="0" w:after="40" w:line="240" w:lineRule="auto"/>
        <w:jc w:val="left"/>
      </w:pPr>
      <w:r>
        <w:rPr>
          <w:rFonts w:ascii="Times New Roman" w:hAnsi="Times New Roman"/>
          <w:b w:val="0"/>
          <w:i w:val="0"/>
          <w:sz w:val="24"/>
        </w:rPr>
        <w:t>1.6 Organization of Project Report</w:t>
      </w:r>
    </w:p>
    <w:p>
      <w:pPr>
        <w:spacing w:before="0" w:after="40" w:line="240" w:lineRule="auto"/>
        <w:jc w:val="left"/>
      </w:pPr>
      <w:r>
        <w:rPr>
          <w:rFonts w:ascii="Times New Roman" w:hAnsi="Times New Roman"/>
          <w:b w:val="0"/>
          <w:i w:val="0"/>
          <w:sz w:val="24"/>
        </w:rPr>
        <w:t>Chapter 2 Project Planning and Management</w:t>
      </w:r>
    </w:p>
    <w:p>
      <w:pPr>
        <w:spacing w:before="0" w:after="40" w:line="240" w:lineRule="auto"/>
        <w:jc w:val="left"/>
      </w:pPr>
      <w:r>
        <w:rPr>
          <w:rFonts w:ascii="Times New Roman" w:hAnsi="Times New Roman"/>
          <w:b w:val="0"/>
          <w:i w:val="0"/>
          <w:sz w:val="24"/>
        </w:rPr>
        <w:t>Chapter 3 Analysis and Design</w:t>
      </w:r>
    </w:p>
    <w:p>
      <w:pPr>
        <w:spacing w:before="0" w:after="40" w:line="240" w:lineRule="auto"/>
        <w:jc w:val="left"/>
      </w:pPr>
      <w:r>
        <w:rPr>
          <w:rFonts w:ascii="Times New Roman" w:hAnsi="Times New Roman"/>
          <w:b w:val="0"/>
          <w:i w:val="0"/>
          <w:sz w:val="24"/>
        </w:rPr>
        <w:t>Chapter 4 Implementation and Coding</w:t>
      </w:r>
    </w:p>
    <w:p>
      <w:pPr>
        <w:spacing w:before="0" w:after="40" w:line="240" w:lineRule="auto"/>
        <w:jc w:val="left"/>
      </w:pPr>
      <w:r>
        <w:rPr>
          <w:rFonts w:ascii="Times New Roman" w:hAnsi="Times New Roman"/>
          <w:b w:val="0"/>
          <w:i w:val="0"/>
          <w:sz w:val="24"/>
        </w:rPr>
        <w:t>Chapter 5 Testing</w:t>
      </w:r>
    </w:p>
    <w:p>
      <w:pPr>
        <w:spacing w:before="0" w:after="40" w:line="240" w:lineRule="auto"/>
        <w:jc w:val="left"/>
      </w:pPr>
      <w:r>
        <w:rPr>
          <w:rFonts w:ascii="Times New Roman" w:hAnsi="Times New Roman"/>
          <w:b w:val="0"/>
          <w:i w:val="0"/>
          <w:sz w:val="24"/>
        </w:rPr>
        <w:t>Chapter 6 Results and Discussion</w:t>
      </w:r>
    </w:p>
    <w:p>
      <w:pPr>
        <w:spacing w:before="0" w:after="40" w:line="240" w:lineRule="auto"/>
        <w:jc w:val="left"/>
      </w:pPr>
      <w:r>
        <w:rPr>
          <w:rFonts w:ascii="Times New Roman" w:hAnsi="Times New Roman"/>
          <w:b w:val="0"/>
          <w:i w:val="0"/>
          <w:sz w:val="24"/>
        </w:rPr>
        <w:t>Chapter 7 Conclusion</w:t>
      </w:r>
    </w:p>
    <w:p>
      <w:pPr>
        <w:spacing w:before="0" w:after="40" w:line="240" w:lineRule="auto"/>
        <w:jc w:val="left"/>
      </w:pPr>
      <w:r>
        <w:rPr>
          <w:rFonts w:ascii="Times New Roman" w:hAnsi="Times New Roman"/>
          <w:b w:val="0"/>
          <w:i w:val="0"/>
          <w:sz w:val="24"/>
        </w:rPr>
        <w:t>Chapter 8 Future Work</w:t>
      </w:r>
    </w:p>
    <w:p>
      <w:pPr>
        <w:spacing w:before="0" w:after="40" w:line="240" w:lineRule="auto"/>
        <w:jc w:val="left"/>
      </w:pPr>
      <w:r>
        <w:rPr>
          <w:rFonts w:ascii="Times New Roman" w:hAnsi="Times New Roman"/>
          <w:b w:val="0"/>
          <w:i w:val="0"/>
          <w:sz w:val="24"/>
        </w:rPr>
        <w:t>References</w:t>
      </w:r>
    </w:p>
    <w:p>
      <w:pPr>
        <w:spacing w:before="0" w:after="40" w:line="240" w:lineRule="auto"/>
        <w:jc w:val="left"/>
      </w:pPr>
      <w:r>
        <w:rPr>
          <w:rFonts w:ascii="Times New Roman" w:hAnsi="Times New Roman"/>
          <w:b w:val="0"/>
          <w:i w:val="0"/>
          <w:sz w:val="24"/>
        </w:rPr>
        <w:t>Annexure</w:t>
      </w:r>
    </w:p>
    <w:p>
      <w:r>
        <w:br w:type="page"/>
      </w:r>
    </w:p>
    <w:p>
      <w:pPr>
        <w:spacing w:before="160" w:after="80" w:line="240" w:lineRule="auto"/>
        <w:jc w:val="center"/>
      </w:pPr>
      <w:r>
        <w:rPr>
          <w:rFonts w:ascii="Times New Roman" w:hAnsi="Times New Roman"/>
          <w:b/>
          <w:i w:val="0"/>
          <w:sz w:val="28"/>
        </w:rPr>
        <w:t>CHAPTER 1</w:t>
      </w:r>
    </w:p>
    <w:p>
      <w:pPr>
        <w:spacing w:before="0" w:after="200" w:line="240" w:lineRule="auto"/>
        <w:jc w:val="center"/>
      </w:pPr>
      <w:r>
        <w:rPr>
          <w:rFonts w:ascii="Times New Roman" w:hAnsi="Times New Roman"/>
          <w:b/>
          <w:i w:val="0"/>
          <w:sz w:val="28"/>
        </w:rPr>
        <w:t>INTRODUCTION</w:t>
      </w:r>
    </w:p>
    <w:p>
      <w:pPr>
        <w:spacing w:before="80" w:after="80" w:line="240" w:lineRule="auto"/>
        <w:jc w:val="left"/>
      </w:pPr>
      <w:r>
        <w:rPr>
          <w:rFonts w:ascii="Times New Roman" w:hAnsi="Times New Roman"/>
          <w:b/>
          <w:i w:val="0"/>
          <w:sz w:val="24"/>
        </w:rPr>
        <w:t>1.1 Background and Basics</w:t>
      </w:r>
    </w:p>
    <w:p>
      <w:pPr>
        <w:spacing w:before="0" w:after="80" w:line="264" w:lineRule="auto"/>
        <w:jc w:val="both"/>
      </w:pPr>
      <w:r>
        <w:rPr>
          <w:rFonts w:ascii="Times New Roman" w:hAnsi="Times New Roman"/>
          <w:b w:val="0"/>
          <w:i w:val="0"/>
          <w:sz w:val="24"/>
        </w:rPr>
        <w:t>Heart disease has emerged as one of the most significant health challenges of the modern era. Within the broader cardiovascular domain, heart failure is especially concerning because it is chronic, progressive, and closely associated with repeated admissions, long recovery cycles, and high treatment costs. Even after discharge, many patients require careful follow-up because symptoms such as fatigue, breathlessness, fluid retention, and unstable blood pressure can deteriorate quickly when not monitored properly.</w:t>
      </w:r>
    </w:p>
    <w:p>
      <w:pPr>
        <w:spacing w:before="0" w:after="80" w:line="264" w:lineRule="auto"/>
        <w:jc w:val="both"/>
      </w:pPr>
      <w:r>
        <w:rPr>
          <w:rFonts w:ascii="Times New Roman" w:hAnsi="Times New Roman"/>
          <w:b w:val="0"/>
          <w:i w:val="0"/>
          <w:sz w:val="24"/>
        </w:rPr>
        <w:t>Hospital readmission after heart-failure treatment remains a serious burden for patients, families, and healthcare systems. A large share of these readmissions are influenced by delayed recognition of risk, weak continuity between discharge and home care, and limited preventive support once a patient leaves the hospital. This makes early forecasting valuable not only as a prediction problem, but also as a clinical workflow problem where insight must lead to timely action.</w:t>
      </w:r>
    </w:p>
    <w:p>
      <w:pPr>
        <w:spacing w:before="0" w:after="80" w:line="264" w:lineRule="auto"/>
        <w:jc w:val="both"/>
      </w:pPr>
      <w:r>
        <w:rPr>
          <w:rFonts w:ascii="Times New Roman" w:hAnsi="Times New Roman"/>
          <w:b w:val="0"/>
          <w:i w:val="0"/>
          <w:sz w:val="24"/>
        </w:rPr>
        <w:t>Traditional readmission assessment methods often depend on a narrow set of variables or linear statistical assumptions. However, real patient outcomes are shaped by interacting factors such as age, metabolic status, blood pressure, cholesterol, glucose, smoking behavior, kidney function, and ventricular performance. As a result, there is growing interest in systems that can combine predictive modeling with explainable preventive recommendations.</w:t>
      </w:r>
    </w:p>
    <w:p>
      <w:pPr>
        <w:spacing w:before="80" w:after="80" w:line="240" w:lineRule="auto"/>
        <w:jc w:val="left"/>
      </w:pPr>
      <w:r>
        <w:rPr>
          <w:rFonts w:ascii="Times New Roman" w:hAnsi="Times New Roman"/>
          <w:b/>
          <w:i w:val="0"/>
          <w:sz w:val="24"/>
        </w:rPr>
        <w:t>1.2 Literature Survey and Research Gap</w:t>
      </w:r>
    </w:p>
    <w:p>
      <w:pPr>
        <w:spacing w:before="0" w:after="120" w:line="264" w:lineRule="auto"/>
        <w:jc w:val="both"/>
      </w:pPr>
      <w:r>
        <w:rPr>
          <w:rFonts w:ascii="Times New Roman" w:hAnsi="Times New Roman"/>
          <w:b w:val="0"/>
          <w:i w:val="0"/>
          <w:sz w:val="24"/>
        </w:rPr>
        <w:t>Recent research has shown that machine learning can improve outcome forecasting in cardiovascular care, especially for mortality and readmission problems. At the same time, published studies also reveal important limitations related to interpretability, generalization, sparse data, and lack of clinical-action support.</w:t>
      </w:r>
    </w:p>
    <w:p>
      <w:pPr>
        <w:spacing w:before="0" w:after="80" w:line="240" w:lineRule="auto"/>
        <w:jc w:val="center"/>
      </w:pPr>
      <w:r>
        <w:rPr>
          <w:rFonts w:ascii="Times New Roman" w:hAnsi="Times New Roman"/>
          <w:b w:val="0"/>
          <w:i w:val="0"/>
          <w:sz w:val="22"/>
        </w:rPr>
        <w:t>Table 1.1 Literature Survey</w:t>
      </w:r>
    </w:p>
    <w:tbl>
      <w:tblPr>
        <w:tblStyle w:val="TableGrid"/>
        <w:tblW w:type="auto" w:w="0"/>
        <w:jc w:val="center"/>
        <w:tblLayout w:type="fixed"/>
        <w:tblLook w:firstColumn="1" w:firstRow="1" w:lastColumn="0" w:lastRow="0" w:noHBand="0" w:noVBand="1" w:val="04A0"/>
      </w:tblPr>
      <w:tblGrid>
        <w:gridCol w:w="2310"/>
        <w:gridCol w:w="2310"/>
        <w:gridCol w:w="2310"/>
        <w:gridCol w:w="2310"/>
      </w:tblGrid>
      <w:tr>
        <w:tc>
          <w:tcPr>
            <w:tcW w:type="dxa" w:w="2232"/>
            <w:vAlign w:val="center"/>
          </w:tcPr>
          <w:p>
            <w:pPr>
              <w:spacing w:before="0" w:after="0" w:line="240" w:lineRule="auto"/>
              <w:jc w:val="center"/>
            </w:pPr>
            <w:r>
              <w:rPr>
                <w:rFonts w:ascii="Times New Roman" w:hAnsi="Times New Roman"/>
                <w:b/>
                <w:i w:val="0"/>
                <w:sz w:val="20"/>
              </w:rPr>
              <w:t>Study</w:t>
            </w:r>
          </w:p>
        </w:tc>
        <w:tc>
          <w:tcPr>
            <w:tcW w:type="dxa" w:w="2448"/>
            <w:vAlign w:val="center"/>
          </w:tcPr>
          <w:p>
            <w:pPr>
              <w:spacing w:before="0" w:after="0" w:line="240" w:lineRule="auto"/>
              <w:jc w:val="center"/>
            </w:pPr>
            <w:r>
              <w:rPr>
                <w:rFonts w:ascii="Times New Roman" w:hAnsi="Times New Roman"/>
                <w:b/>
                <w:i w:val="0"/>
                <w:sz w:val="20"/>
              </w:rPr>
              <w:t>Approach</w:t>
            </w:r>
          </w:p>
        </w:tc>
        <w:tc>
          <w:tcPr>
            <w:tcW w:type="dxa" w:w="2232"/>
            <w:vAlign w:val="center"/>
          </w:tcPr>
          <w:p>
            <w:pPr>
              <w:spacing w:before="0" w:after="0" w:line="240" w:lineRule="auto"/>
              <w:jc w:val="center"/>
            </w:pPr>
            <w:r>
              <w:rPr>
                <w:rFonts w:ascii="Times New Roman" w:hAnsi="Times New Roman"/>
                <w:b/>
                <w:i w:val="0"/>
                <w:sz w:val="20"/>
              </w:rPr>
              <w:t>Finding</w:t>
            </w:r>
          </w:p>
        </w:tc>
        <w:tc>
          <w:tcPr>
            <w:tcW w:type="dxa" w:w="2304"/>
            <w:vAlign w:val="center"/>
          </w:tcPr>
          <w:p>
            <w:pPr>
              <w:spacing w:before="0" w:after="0" w:line="240" w:lineRule="auto"/>
              <w:jc w:val="center"/>
            </w:pPr>
            <w:r>
              <w:rPr>
                <w:rFonts w:ascii="Times New Roman" w:hAnsi="Times New Roman"/>
                <w:b/>
                <w:i w:val="0"/>
                <w:sz w:val="20"/>
              </w:rPr>
              <w:t>Limitation</w:t>
            </w:r>
          </w:p>
        </w:tc>
      </w:tr>
      <w:tr>
        <w:tc>
          <w:tcPr>
            <w:tcW w:type="dxa" w:w="2310"/>
            <w:vAlign w:val="center"/>
          </w:tcPr>
          <w:p>
            <w:pPr>
              <w:spacing w:before="0" w:after="0" w:line="240" w:lineRule="auto"/>
              <w:jc w:val="left"/>
            </w:pPr>
            <w:r>
              <w:rPr>
                <w:rFonts w:ascii="Times New Roman" w:hAnsi="Times New Roman"/>
                <w:b w:val="0"/>
                <w:i w:val="0"/>
                <w:sz w:val="20"/>
              </w:rPr>
              <w:t>Hajishah et al. (2025)</w:t>
            </w:r>
          </w:p>
        </w:tc>
        <w:tc>
          <w:tcPr>
            <w:tcW w:type="dxa" w:w="2310"/>
            <w:vAlign w:val="center"/>
          </w:tcPr>
          <w:p>
            <w:pPr>
              <w:spacing w:before="0" w:after="0" w:line="240" w:lineRule="auto"/>
              <w:jc w:val="center"/>
            </w:pPr>
            <w:r>
              <w:rPr>
                <w:rFonts w:ascii="Times New Roman" w:hAnsi="Times New Roman"/>
                <w:b w:val="0"/>
                <w:i w:val="0"/>
                <w:sz w:val="20"/>
              </w:rPr>
              <w:t>Meta-analysis of machine learning for heart failure mortality and readmission</w:t>
            </w:r>
          </w:p>
        </w:tc>
        <w:tc>
          <w:tcPr>
            <w:tcW w:type="dxa" w:w="2310"/>
            <w:vAlign w:val="center"/>
          </w:tcPr>
          <w:p>
            <w:pPr>
              <w:spacing w:before="0" w:after="0" w:line="240" w:lineRule="auto"/>
              <w:jc w:val="left"/>
            </w:pPr>
            <w:r>
              <w:rPr>
                <w:rFonts w:ascii="Times New Roman" w:hAnsi="Times New Roman"/>
                <w:b w:val="0"/>
                <w:i w:val="0"/>
                <w:sz w:val="20"/>
              </w:rPr>
              <w:t>Confirmed predictive potential across model families</w:t>
            </w:r>
          </w:p>
        </w:tc>
        <w:tc>
          <w:tcPr>
            <w:tcW w:type="dxa" w:w="2310"/>
            <w:vAlign w:val="center"/>
          </w:tcPr>
          <w:p>
            <w:pPr>
              <w:spacing w:before="0" w:after="0" w:line="240" w:lineRule="auto"/>
              <w:jc w:val="left"/>
            </w:pPr>
            <w:r>
              <w:rPr>
                <w:rFonts w:ascii="Times New Roman" w:hAnsi="Times New Roman"/>
                <w:b w:val="0"/>
                <w:i w:val="0"/>
                <w:sz w:val="20"/>
              </w:rPr>
              <w:t>Interpretability remains limited in many high-performing models</w:t>
            </w:r>
          </w:p>
        </w:tc>
      </w:tr>
      <w:tr>
        <w:tc>
          <w:tcPr>
            <w:tcW w:type="dxa" w:w="2310"/>
            <w:vAlign w:val="center"/>
          </w:tcPr>
          <w:p>
            <w:pPr>
              <w:spacing w:before="0" w:after="0" w:line="240" w:lineRule="auto"/>
              <w:jc w:val="left"/>
            </w:pPr>
            <w:r>
              <w:rPr>
                <w:rFonts w:ascii="Times New Roman" w:hAnsi="Times New Roman"/>
                <w:b w:val="0"/>
                <w:i w:val="0"/>
                <w:sz w:val="20"/>
              </w:rPr>
              <w:t>Comparative review (2023)</w:t>
            </w:r>
          </w:p>
        </w:tc>
        <w:tc>
          <w:tcPr>
            <w:tcW w:type="dxa" w:w="2310"/>
            <w:vAlign w:val="center"/>
          </w:tcPr>
          <w:p>
            <w:pPr>
              <w:spacing w:before="0" w:after="0" w:line="240" w:lineRule="auto"/>
              <w:jc w:val="center"/>
            </w:pPr>
            <w:r>
              <w:rPr>
                <w:rFonts w:ascii="Times New Roman" w:hAnsi="Times New Roman"/>
                <w:b w:val="0"/>
                <w:i w:val="0"/>
                <w:sz w:val="20"/>
              </w:rPr>
              <w:t>30-day HF readmission models</w:t>
            </w:r>
          </w:p>
        </w:tc>
        <w:tc>
          <w:tcPr>
            <w:tcW w:type="dxa" w:w="2310"/>
            <w:vAlign w:val="center"/>
          </w:tcPr>
          <w:p>
            <w:pPr>
              <w:spacing w:before="0" w:after="0" w:line="240" w:lineRule="auto"/>
              <w:jc w:val="left"/>
            </w:pPr>
            <w:r>
              <w:rPr>
                <w:rFonts w:ascii="Times New Roman" w:hAnsi="Times New Roman"/>
                <w:b w:val="0"/>
                <w:i w:val="0"/>
                <w:sz w:val="20"/>
              </w:rPr>
              <w:t>AUC varied significantly across datasets and methods</w:t>
            </w:r>
          </w:p>
        </w:tc>
        <w:tc>
          <w:tcPr>
            <w:tcW w:type="dxa" w:w="2310"/>
            <w:vAlign w:val="center"/>
          </w:tcPr>
          <w:p>
            <w:pPr>
              <w:spacing w:before="0" w:after="0" w:line="240" w:lineRule="auto"/>
              <w:jc w:val="left"/>
            </w:pPr>
            <w:r>
              <w:rPr>
                <w:rFonts w:ascii="Times New Roman" w:hAnsi="Times New Roman"/>
                <w:b w:val="0"/>
                <w:i w:val="0"/>
                <w:sz w:val="20"/>
              </w:rPr>
              <w:t>No consistent feature set or deployment standard</w:t>
            </w:r>
          </w:p>
        </w:tc>
      </w:tr>
      <w:tr>
        <w:tc>
          <w:tcPr>
            <w:tcW w:type="dxa" w:w="2310"/>
            <w:vAlign w:val="center"/>
          </w:tcPr>
          <w:p>
            <w:pPr>
              <w:spacing w:before="0" w:after="0" w:line="240" w:lineRule="auto"/>
              <w:jc w:val="left"/>
            </w:pPr>
            <w:r>
              <w:rPr>
                <w:rFonts w:ascii="Times New Roman" w:hAnsi="Times New Roman"/>
                <w:b w:val="0"/>
                <w:i w:val="0"/>
                <w:sz w:val="20"/>
              </w:rPr>
              <w:t>Ru et al. (2023)</w:t>
            </w:r>
          </w:p>
        </w:tc>
        <w:tc>
          <w:tcPr>
            <w:tcW w:type="dxa" w:w="2310"/>
            <w:vAlign w:val="center"/>
          </w:tcPr>
          <w:p>
            <w:pPr>
              <w:spacing w:before="0" w:after="0" w:line="240" w:lineRule="auto"/>
              <w:jc w:val="center"/>
            </w:pPr>
            <w:r>
              <w:rPr>
                <w:rFonts w:ascii="Times New Roman" w:hAnsi="Times New Roman"/>
                <w:b w:val="0"/>
                <w:i w:val="0"/>
                <w:sz w:val="20"/>
              </w:rPr>
              <w:t>RF, XGBoost, deep learning on HFrEF readmissions</w:t>
            </w:r>
          </w:p>
        </w:tc>
        <w:tc>
          <w:tcPr>
            <w:tcW w:type="dxa" w:w="2310"/>
            <w:vAlign w:val="center"/>
          </w:tcPr>
          <w:p>
            <w:pPr>
              <w:spacing w:before="0" w:after="0" w:line="240" w:lineRule="auto"/>
              <w:jc w:val="left"/>
            </w:pPr>
            <w:r>
              <w:rPr>
                <w:rFonts w:ascii="Times New Roman" w:hAnsi="Times New Roman"/>
                <w:b w:val="0"/>
                <w:i w:val="0"/>
                <w:sz w:val="20"/>
              </w:rPr>
              <w:t>Moderate performance for short-term forecasting</w:t>
            </w:r>
          </w:p>
        </w:tc>
        <w:tc>
          <w:tcPr>
            <w:tcW w:type="dxa" w:w="2310"/>
            <w:vAlign w:val="center"/>
          </w:tcPr>
          <w:p>
            <w:pPr>
              <w:spacing w:before="0" w:after="0" w:line="240" w:lineRule="auto"/>
              <w:jc w:val="left"/>
            </w:pPr>
            <w:r>
              <w:rPr>
                <w:rFonts w:ascii="Times New Roman" w:hAnsi="Times New Roman"/>
                <w:b w:val="0"/>
                <w:i w:val="0"/>
                <w:sz w:val="20"/>
              </w:rPr>
              <w:t>Data imbalance and missing values reduced reliability</w:t>
            </w:r>
          </w:p>
        </w:tc>
      </w:tr>
      <w:tr>
        <w:tc>
          <w:tcPr>
            <w:tcW w:type="dxa" w:w="2310"/>
            <w:vAlign w:val="center"/>
          </w:tcPr>
          <w:p>
            <w:pPr>
              <w:spacing w:before="0" w:after="0" w:line="240" w:lineRule="auto"/>
              <w:jc w:val="left"/>
            </w:pPr>
            <w:r>
              <w:rPr>
                <w:rFonts w:ascii="Times New Roman" w:hAnsi="Times New Roman"/>
                <w:b w:val="0"/>
                <w:i w:val="0"/>
                <w:sz w:val="20"/>
              </w:rPr>
              <w:t>Graph-based study (2024)</w:t>
            </w:r>
          </w:p>
        </w:tc>
        <w:tc>
          <w:tcPr>
            <w:tcW w:type="dxa" w:w="2310"/>
            <w:vAlign w:val="center"/>
          </w:tcPr>
          <w:p>
            <w:pPr>
              <w:spacing w:before="0" w:after="0" w:line="240" w:lineRule="auto"/>
              <w:jc w:val="center"/>
            </w:pPr>
            <w:r>
              <w:rPr>
                <w:rFonts w:ascii="Times New Roman" w:hAnsi="Times New Roman"/>
                <w:b w:val="0"/>
                <w:i w:val="0"/>
                <w:sz w:val="20"/>
              </w:rPr>
              <w:t>Clinical similarity graph model</w:t>
            </w:r>
          </w:p>
        </w:tc>
        <w:tc>
          <w:tcPr>
            <w:tcW w:type="dxa" w:w="2310"/>
            <w:vAlign w:val="center"/>
          </w:tcPr>
          <w:p>
            <w:pPr>
              <w:spacing w:before="0" w:after="0" w:line="240" w:lineRule="auto"/>
              <w:jc w:val="left"/>
            </w:pPr>
            <w:r>
              <w:rPr>
                <w:rFonts w:ascii="Times New Roman" w:hAnsi="Times New Roman"/>
                <w:b w:val="0"/>
                <w:i w:val="0"/>
                <w:sz w:val="20"/>
              </w:rPr>
              <w:t>Improved readmission discrimination in one setting</w:t>
            </w:r>
          </w:p>
        </w:tc>
        <w:tc>
          <w:tcPr>
            <w:tcW w:type="dxa" w:w="2310"/>
            <w:vAlign w:val="center"/>
          </w:tcPr>
          <w:p>
            <w:pPr>
              <w:spacing w:before="0" w:after="0" w:line="240" w:lineRule="auto"/>
              <w:jc w:val="left"/>
            </w:pPr>
            <w:r>
              <w:rPr>
                <w:rFonts w:ascii="Times New Roman" w:hAnsi="Times New Roman"/>
                <w:b w:val="0"/>
                <w:i w:val="0"/>
                <w:sz w:val="20"/>
              </w:rPr>
              <w:t>Single-center training reduced generalizability</w:t>
            </w:r>
          </w:p>
        </w:tc>
      </w:tr>
    </w:tbl>
    <w:p>
      <w:pPr>
        <w:spacing w:before="0" w:after="20" w:line="240" w:lineRule="auto"/>
        <w:jc w:val="both"/>
      </w:pPr>
    </w:p>
    <w:p>
      <w:pPr>
        <w:spacing w:before="0" w:after="80" w:line="264" w:lineRule="auto"/>
        <w:jc w:val="both"/>
      </w:pPr>
      <w:r>
        <w:rPr>
          <w:rFonts w:ascii="Times New Roman" w:hAnsi="Times New Roman"/>
          <w:b w:val="0"/>
          <w:i w:val="0"/>
          <w:sz w:val="24"/>
        </w:rPr>
        <w:t>The review suggests a clear research gap. Many systems concentrate on prediction quality alone, but fewer connect prediction with practical preventive follow-up. Likewise, models that perform well in isolated experiments are often difficult to explain to clinicians or use when patient inputs are incomplete. HeartGuard addresses this gap by combining data-driven experimentation with an explainable web prototype that supports continuity after prediction.</w:t>
      </w:r>
    </w:p>
    <w:p>
      <w:pPr>
        <w:spacing w:before="80" w:after="80" w:line="240" w:lineRule="auto"/>
        <w:jc w:val="left"/>
      </w:pPr>
      <w:r>
        <w:rPr>
          <w:rFonts w:ascii="Times New Roman" w:hAnsi="Times New Roman"/>
          <w:b/>
          <w:i w:val="0"/>
          <w:sz w:val="24"/>
        </w:rPr>
        <w:t>1.3 Project Undertaken</w:t>
      </w:r>
    </w:p>
    <w:p>
      <w:pPr>
        <w:spacing w:before="0" w:after="80" w:line="264" w:lineRule="auto"/>
        <w:jc w:val="both"/>
      </w:pPr>
      <w:r>
        <w:rPr>
          <w:rFonts w:ascii="Times New Roman" w:hAnsi="Times New Roman"/>
          <w:b w:val="0"/>
          <w:i w:val="0"/>
          <w:sz w:val="24"/>
        </w:rPr>
        <w:t>The project undertaken in this report is the design and implementation of HeartGuard, a preventive insight platform for heart-failure readmission forecasting. Rather than treating risk estimation as a one-time classification event, HeartGuard connects prediction with dashboard continuity, personalized diet guidance, AI-assisted health information, mood tracking, medication management, and vital-sign monitoring.</w:t>
      </w:r>
    </w:p>
    <w:p>
      <w:pPr>
        <w:spacing w:before="0" w:after="80" w:line="264" w:lineRule="auto"/>
        <w:jc w:val="both"/>
      </w:pPr>
      <w:r>
        <w:rPr>
          <w:rFonts w:ascii="Times New Roman" w:hAnsi="Times New Roman"/>
          <w:b w:val="0"/>
          <w:i w:val="0"/>
          <w:sz w:val="24"/>
        </w:rPr>
        <w:t>This dual structure is important because the current repository contains both training-oriented machine learning assets and a deployed end-user prototype. Notebook experiments and stored model artifacts support the forecasting research dimension, while the FastAPI and frontend stack deliver an interpretable and usable experience for real-world demonstration and academic evaluation.</w:t>
      </w:r>
    </w:p>
    <w:p>
      <w:pPr>
        <w:spacing w:before="80" w:after="80" w:line="240" w:lineRule="auto"/>
        <w:jc w:val="left"/>
      </w:pPr>
      <w:r>
        <w:rPr>
          <w:rFonts w:ascii="Times New Roman" w:hAnsi="Times New Roman"/>
          <w:b/>
          <w:i w:val="0"/>
          <w:sz w:val="24"/>
        </w:rPr>
        <w:t>1.4 Problem Definition</w:t>
      </w:r>
    </w:p>
    <w:p>
      <w:pPr>
        <w:spacing w:before="0" w:after="80" w:line="264" w:lineRule="auto"/>
        <w:jc w:val="both"/>
      </w:pPr>
      <w:r>
        <w:rPr>
          <w:rFonts w:ascii="Times New Roman" w:hAnsi="Times New Roman"/>
          <w:b w:val="0"/>
          <w:i w:val="0"/>
          <w:sz w:val="24"/>
        </w:rPr>
        <w:t>The core problem addressed by HeartGuard is the difficulty of identifying patients at higher risk of post-discharge deterioration or readmission early enough to enable preventive intervention. Existing approaches often fail when data are incomplete, difficult to interpret, or disconnected from meaningful follow-up tools. The project therefore seeks to create a system that can estimate heart-related risk from limited but clinically useful inputs and convert that estimate into practical support for patients and healthcare stakeholders.</w:t>
      </w:r>
    </w:p>
    <w:p>
      <w:pPr>
        <w:spacing w:before="80" w:after="80" w:line="240" w:lineRule="auto"/>
        <w:jc w:val="left"/>
      </w:pPr>
      <w:r>
        <w:rPr>
          <w:rFonts w:ascii="Times New Roman" w:hAnsi="Times New Roman"/>
          <w:b/>
          <w:i w:val="0"/>
          <w:sz w:val="24"/>
        </w:rPr>
        <w:t>1.5 Scope Statement</w:t>
      </w:r>
    </w:p>
    <w:p>
      <w:pPr>
        <w:spacing w:before="0" w:after="80" w:line="264" w:lineRule="auto"/>
        <w:jc w:val="both"/>
      </w:pPr>
      <w:r>
        <w:rPr>
          <w:rFonts w:ascii="Times New Roman" w:hAnsi="Times New Roman"/>
          <w:b w:val="0"/>
          <w:i w:val="0"/>
          <w:sz w:val="24"/>
        </w:rPr>
        <w:t>The scope of the project includes multi-source dataset preparation, exploratory machine learning training, implementation of an explainable weighted scoring predictor, creation of a browser-based FastAPI application, persistence of prediction history, and integration of supportive wellness modules around the prediction workflow. The current scope does not include real-time hospital EHR integration, production-grade multi-user authentication, or certified clinical deployment. Those areas are reserved for future work.</w:t>
      </w:r>
    </w:p>
    <w:p>
      <w:pPr>
        <w:spacing w:before="80" w:after="80" w:line="240" w:lineRule="auto"/>
        <w:jc w:val="left"/>
      </w:pPr>
      <w:r>
        <w:rPr>
          <w:rFonts w:ascii="Times New Roman" w:hAnsi="Times New Roman"/>
          <w:b/>
          <w:i w:val="0"/>
          <w:sz w:val="24"/>
        </w:rPr>
        <w:t>1.6 Organization of Project Report</w:t>
      </w:r>
    </w:p>
    <w:p>
      <w:pPr>
        <w:spacing w:before="0" w:after="40" w:line="240" w:lineRule="auto"/>
        <w:jc w:val="left"/>
      </w:pPr>
      <w:r>
        <w:rPr>
          <w:rFonts w:ascii="Times New Roman" w:hAnsi="Times New Roman"/>
          <w:b w:val="0"/>
          <w:i w:val="0"/>
          <w:sz w:val="24"/>
        </w:rPr>
        <w:t>- Chapter 1 introduces the domain, problem, literature context, and project scope.</w:t>
      </w:r>
    </w:p>
    <w:p>
      <w:pPr>
        <w:spacing w:before="0" w:after="40" w:line="240" w:lineRule="auto"/>
        <w:jc w:val="left"/>
      </w:pPr>
      <w:r>
        <w:rPr>
          <w:rFonts w:ascii="Times New Roman" w:hAnsi="Times New Roman"/>
          <w:b w:val="0"/>
          <w:i w:val="0"/>
          <w:sz w:val="24"/>
        </w:rPr>
        <w:t>- Chapter 2 explains project planning, requirements, feasibility, process modelling, and scheduling.</w:t>
      </w:r>
    </w:p>
    <w:p>
      <w:pPr>
        <w:spacing w:before="0" w:after="40" w:line="240" w:lineRule="auto"/>
        <w:jc w:val="left"/>
      </w:pPr>
      <w:r>
        <w:rPr>
          <w:rFonts w:ascii="Times New Roman" w:hAnsi="Times New Roman"/>
          <w:b w:val="0"/>
          <w:i w:val="0"/>
          <w:sz w:val="24"/>
        </w:rPr>
        <w:t>- Chapter 3 presents analysis and design, including architecture, module breakdown, workflow, and UML-style representations.</w:t>
      </w:r>
    </w:p>
    <w:p>
      <w:pPr>
        <w:spacing w:before="0" w:after="40" w:line="240" w:lineRule="auto"/>
        <w:jc w:val="left"/>
      </w:pPr>
      <w:r>
        <w:rPr>
          <w:rFonts w:ascii="Times New Roman" w:hAnsi="Times New Roman"/>
          <w:b w:val="0"/>
          <w:i w:val="0"/>
          <w:sz w:val="24"/>
        </w:rPr>
        <w:t>- Chapter 4 describes the implementation of the frontend, backend, persistence, and exploratory model assets.</w:t>
      </w:r>
    </w:p>
    <w:p>
      <w:pPr>
        <w:spacing w:before="0" w:after="40" w:line="240" w:lineRule="auto"/>
        <w:jc w:val="left"/>
      </w:pPr>
      <w:r>
        <w:rPr>
          <w:rFonts w:ascii="Times New Roman" w:hAnsi="Times New Roman"/>
          <w:b w:val="0"/>
          <w:i w:val="0"/>
          <w:sz w:val="24"/>
        </w:rPr>
        <w:t>- Chapter 5 discusses unit, integration, system, and functional testing.</w:t>
      </w:r>
    </w:p>
    <w:p>
      <w:pPr>
        <w:spacing w:before="0" w:after="40" w:line="240" w:lineRule="auto"/>
        <w:jc w:val="left"/>
      </w:pPr>
      <w:r>
        <w:rPr>
          <w:rFonts w:ascii="Times New Roman" w:hAnsi="Times New Roman"/>
          <w:b w:val="0"/>
          <w:i w:val="0"/>
          <w:sz w:val="24"/>
        </w:rPr>
        <w:t>- Chapter 6 presents results and implementation-level discussion.</w:t>
      </w:r>
    </w:p>
    <w:p>
      <w:pPr>
        <w:spacing w:before="0" w:after="40" w:line="240" w:lineRule="auto"/>
        <w:jc w:val="left"/>
      </w:pPr>
      <w:r>
        <w:rPr>
          <w:rFonts w:ascii="Times New Roman" w:hAnsi="Times New Roman"/>
          <w:b w:val="0"/>
          <w:i w:val="0"/>
          <w:sz w:val="24"/>
        </w:rPr>
        <w:t>- Chapter 7 concludes the report and Chapter 8 outlines future work.</w:t>
      </w:r>
    </w:p>
    <w:p>
      <w:r>
        <w:br w:type="page"/>
      </w:r>
    </w:p>
    <w:p>
      <w:pPr>
        <w:spacing w:before="160" w:after="80" w:line="240" w:lineRule="auto"/>
        <w:jc w:val="center"/>
      </w:pPr>
      <w:r>
        <w:rPr>
          <w:rFonts w:ascii="Times New Roman" w:hAnsi="Times New Roman"/>
          <w:b/>
          <w:i w:val="0"/>
          <w:sz w:val="28"/>
        </w:rPr>
        <w:t>CHAPTER 2</w:t>
      </w:r>
    </w:p>
    <w:p>
      <w:pPr>
        <w:spacing w:before="0" w:after="200" w:line="240" w:lineRule="auto"/>
        <w:jc w:val="center"/>
      </w:pPr>
      <w:r>
        <w:rPr>
          <w:rFonts w:ascii="Times New Roman" w:hAnsi="Times New Roman"/>
          <w:b/>
          <w:i w:val="0"/>
          <w:sz w:val="28"/>
        </w:rPr>
        <w:t>PROJECT PLANNING AND MANAGEMENT</w:t>
      </w:r>
    </w:p>
    <w:p>
      <w:pPr>
        <w:spacing w:before="80" w:after="80" w:line="240" w:lineRule="auto"/>
        <w:jc w:val="left"/>
      </w:pPr>
      <w:r>
        <w:rPr>
          <w:rFonts w:ascii="Times New Roman" w:hAnsi="Times New Roman"/>
          <w:b/>
          <w:i w:val="0"/>
          <w:sz w:val="24"/>
        </w:rPr>
        <w:t>2.1 Introduction</w:t>
      </w:r>
    </w:p>
    <w:p>
      <w:pPr>
        <w:spacing w:before="0" w:after="80" w:line="264" w:lineRule="auto"/>
        <w:jc w:val="both"/>
      </w:pPr>
      <w:r>
        <w:rPr>
          <w:rFonts w:ascii="Times New Roman" w:hAnsi="Times New Roman"/>
          <w:b w:val="0"/>
          <w:i w:val="0"/>
          <w:sz w:val="24"/>
        </w:rPr>
        <w:t>Project planning and management were essential in translating HeartGuard from an abstract predictive-healthcare idea into a usable academic prototype. The work involved dataset preparation, exploratory notebook-based training, frontend and backend implementation, persistence design, and reporting. A structured process reduced ambiguity and made it easier to align technical effort with the final project objective.</w:t>
      </w:r>
    </w:p>
    <w:p>
      <w:pPr>
        <w:spacing w:before="80" w:after="80" w:line="240" w:lineRule="auto"/>
        <w:jc w:val="left"/>
      </w:pPr>
      <w:r>
        <w:rPr>
          <w:rFonts w:ascii="Times New Roman" w:hAnsi="Times New Roman"/>
          <w:b/>
          <w:i w:val="0"/>
          <w:sz w:val="24"/>
        </w:rPr>
        <w:t>2.2 Software Requirement Specification (SRS)</w:t>
      </w:r>
    </w:p>
    <w:p>
      <w:pPr>
        <w:spacing w:before="40" w:after="40" w:line="240" w:lineRule="auto"/>
        <w:jc w:val="left"/>
      </w:pPr>
      <w:r>
        <w:rPr>
          <w:rFonts w:ascii="Times New Roman" w:hAnsi="Times New Roman"/>
          <w:b/>
          <w:i w:val="0"/>
          <w:sz w:val="24"/>
        </w:rPr>
        <w:t>2.2.1 System Overview</w:t>
      </w:r>
    </w:p>
    <w:p>
      <w:pPr>
        <w:spacing w:before="0" w:after="80" w:line="264" w:lineRule="auto"/>
        <w:jc w:val="both"/>
      </w:pPr>
      <w:r>
        <w:rPr>
          <w:rFonts w:ascii="Times New Roman" w:hAnsi="Times New Roman"/>
          <w:b w:val="0"/>
          <w:i w:val="0"/>
          <w:sz w:val="24"/>
        </w:rPr>
        <w:t>HeartGuard is a web-based health-support system with a FastAPI backend and multiple frontend pages. The system accepts patient health values, estimates cardiovascular and heart-failure-aware risk, stores the prediction history, and reuses the latest profile across support modules such as dashboard summaries, diet planning, mood tracking, medication support, AI guidance, and vitals monitoring.</w:t>
      </w:r>
    </w:p>
    <w:p>
      <w:pPr>
        <w:spacing w:before="40" w:after="40" w:line="240" w:lineRule="auto"/>
        <w:jc w:val="left"/>
      </w:pPr>
      <w:r>
        <w:rPr>
          <w:rFonts w:ascii="Times New Roman" w:hAnsi="Times New Roman"/>
          <w:b/>
          <w:i w:val="0"/>
          <w:sz w:val="24"/>
        </w:rPr>
        <w:t>2.2.2 Functional Requirements</w:t>
      </w:r>
    </w:p>
    <w:p>
      <w:pPr>
        <w:spacing w:before="0" w:after="80" w:line="240" w:lineRule="auto"/>
        <w:jc w:val="center"/>
      </w:pPr>
      <w:r>
        <w:rPr>
          <w:rFonts w:ascii="Times New Roman" w:hAnsi="Times New Roman"/>
          <w:b w:val="0"/>
          <w:i w:val="0"/>
          <w:sz w:val="22"/>
        </w:rPr>
        <w:t>Table 2.1 Requirement Summary</w:t>
      </w:r>
    </w:p>
    <w:tbl>
      <w:tblPr>
        <w:tblStyle w:val="TableGrid"/>
        <w:tblW w:type="auto" w:w="0"/>
        <w:jc w:val="center"/>
        <w:tblLayout w:type="fixed"/>
        <w:tblLook w:firstColumn="1" w:firstRow="1" w:lastColumn="0" w:lastRow="0" w:noHBand="0" w:noVBand="1" w:val="04A0"/>
      </w:tblPr>
      <w:tblGrid>
        <w:gridCol w:w="2310"/>
        <w:gridCol w:w="2310"/>
        <w:gridCol w:w="2310"/>
        <w:gridCol w:w="2310"/>
      </w:tblGrid>
      <w:tr>
        <w:tc>
          <w:tcPr>
            <w:tcW w:type="dxa" w:w="1440"/>
            <w:vAlign w:val="center"/>
          </w:tcPr>
          <w:p>
            <w:pPr>
              <w:spacing w:before="0" w:after="0" w:line="240" w:lineRule="auto"/>
              <w:jc w:val="center"/>
            </w:pPr>
            <w:r>
              <w:rPr>
                <w:rFonts w:ascii="Times New Roman" w:hAnsi="Times New Roman"/>
                <w:b/>
                <w:i w:val="0"/>
                <w:sz w:val="20"/>
              </w:rPr>
              <w:t>Category</w:t>
            </w:r>
          </w:p>
        </w:tc>
        <w:tc>
          <w:tcPr>
            <w:tcW w:type="dxa" w:w="2376"/>
            <w:vAlign w:val="center"/>
          </w:tcPr>
          <w:p>
            <w:pPr>
              <w:spacing w:before="0" w:after="0" w:line="240" w:lineRule="auto"/>
              <w:jc w:val="center"/>
            </w:pPr>
            <w:r>
              <w:rPr>
                <w:rFonts w:ascii="Times New Roman" w:hAnsi="Times New Roman"/>
                <w:b/>
                <w:i w:val="0"/>
                <w:sz w:val="20"/>
              </w:rPr>
              <w:t>Requirement</w:t>
            </w:r>
          </w:p>
        </w:tc>
        <w:tc>
          <w:tcPr>
            <w:tcW w:type="dxa" w:w="3168"/>
            <w:vAlign w:val="center"/>
          </w:tcPr>
          <w:p>
            <w:pPr>
              <w:spacing w:before="0" w:after="0" w:line="240" w:lineRule="auto"/>
              <w:jc w:val="center"/>
            </w:pPr>
            <w:r>
              <w:rPr>
                <w:rFonts w:ascii="Times New Roman" w:hAnsi="Times New Roman"/>
                <w:b/>
                <w:i w:val="0"/>
                <w:sz w:val="20"/>
              </w:rPr>
              <w:t>Current project evidence</w:t>
            </w:r>
          </w:p>
        </w:tc>
        <w:tc>
          <w:tcPr>
            <w:tcW w:type="dxa" w:w="2304"/>
            <w:vAlign w:val="center"/>
          </w:tcPr>
          <w:p>
            <w:pPr>
              <w:spacing w:before="0" w:after="0" w:line="240" w:lineRule="auto"/>
              <w:jc w:val="center"/>
            </w:pPr>
            <w:r>
              <w:rPr>
                <w:rFonts w:ascii="Times New Roman" w:hAnsi="Times New Roman"/>
                <w:b/>
                <w:i w:val="0"/>
                <w:sz w:val="20"/>
              </w:rPr>
              <w:t>Expected benefit</w:t>
            </w:r>
          </w:p>
        </w:tc>
      </w:tr>
      <w:tr>
        <w:tc>
          <w:tcPr>
            <w:tcW w:type="dxa" w:w="2310"/>
            <w:vAlign w:val="center"/>
          </w:tcPr>
          <w:p>
            <w:pPr>
              <w:spacing w:before="0" w:after="0" w:line="240" w:lineRule="auto"/>
              <w:jc w:val="left"/>
            </w:pPr>
            <w:r>
              <w:rPr>
                <w:rFonts w:ascii="Times New Roman" w:hAnsi="Times New Roman"/>
                <w:b w:val="0"/>
                <w:i w:val="0"/>
                <w:sz w:val="20"/>
              </w:rPr>
              <w:t>Input</w:t>
            </w:r>
          </w:p>
        </w:tc>
        <w:tc>
          <w:tcPr>
            <w:tcW w:type="dxa" w:w="2310"/>
            <w:vAlign w:val="center"/>
          </w:tcPr>
          <w:p>
            <w:pPr>
              <w:spacing w:before="0" w:after="0" w:line="240" w:lineRule="auto"/>
              <w:jc w:val="center"/>
            </w:pPr>
            <w:r>
              <w:rPr>
                <w:rFonts w:ascii="Times New Roman" w:hAnsi="Times New Roman"/>
                <w:b w:val="0"/>
                <w:i w:val="0"/>
                <w:sz w:val="20"/>
              </w:rPr>
              <w:t>Accept at least two clinical values for prediction</w:t>
            </w:r>
          </w:p>
        </w:tc>
        <w:tc>
          <w:tcPr>
            <w:tcW w:type="dxa" w:w="2310"/>
            <w:vAlign w:val="center"/>
          </w:tcPr>
          <w:p>
            <w:pPr>
              <w:spacing w:before="0" w:after="0" w:line="240" w:lineRule="auto"/>
              <w:jc w:val="left"/>
            </w:pPr>
            <w:r>
              <w:rPr>
                <w:rFonts w:ascii="Times New Roman" w:hAnsi="Times New Roman"/>
                <w:b w:val="0"/>
                <w:i w:val="0"/>
                <w:sz w:val="20"/>
              </w:rPr>
              <w:t>Backend validates sparse payloads and scores supported fields</w:t>
            </w:r>
          </w:p>
        </w:tc>
        <w:tc>
          <w:tcPr>
            <w:tcW w:type="dxa" w:w="2310"/>
            <w:vAlign w:val="center"/>
          </w:tcPr>
          <w:p>
            <w:pPr>
              <w:spacing w:before="0" w:after="0" w:line="240" w:lineRule="auto"/>
              <w:jc w:val="left"/>
            </w:pPr>
            <w:r>
              <w:rPr>
                <w:rFonts w:ascii="Times New Roman" w:hAnsi="Times New Roman"/>
                <w:b w:val="0"/>
                <w:i w:val="0"/>
                <w:sz w:val="20"/>
              </w:rPr>
              <w:t>Improves usability when users lack complete records</w:t>
            </w:r>
          </w:p>
        </w:tc>
      </w:tr>
      <w:tr>
        <w:tc>
          <w:tcPr>
            <w:tcW w:type="dxa" w:w="2310"/>
            <w:vAlign w:val="center"/>
          </w:tcPr>
          <w:p>
            <w:pPr>
              <w:spacing w:before="0" w:after="0" w:line="240" w:lineRule="auto"/>
              <w:jc w:val="left"/>
            </w:pPr>
            <w:r>
              <w:rPr>
                <w:rFonts w:ascii="Times New Roman" w:hAnsi="Times New Roman"/>
                <w:b w:val="0"/>
                <w:i w:val="0"/>
                <w:sz w:val="20"/>
              </w:rPr>
              <w:t>Prediction</w:t>
            </w:r>
          </w:p>
        </w:tc>
        <w:tc>
          <w:tcPr>
            <w:tcW w:type="dxa" w:w="2310"/>
            <w:vAlign w:val="center"/>
          </w:tcPr>
          <w:p>
            <w:pPr>
              <w:spacing w:before="0" w:after="0" w:line="240" w:lineRule="auto"/>
              <w:jc w:val="center"/>
            </w:pPr>
            <w:r>
              <w:rPr>
                <w:rFonts w:ascii="Times New Roman" w:hAnsi="Times New Roman"/>
                <w:b w:val="0"/>
                <w:i w:val="0"/>
                <w:sz w:val="20"/>
              </w:rPr>
              <w:t>Return risk, confidence, and label</w:t>
            </w:r>
          </w:p>
        </w:tc>
        <w:tc>
          <w:tcPr>
            <w:tcW w:type="dxa" w:w="2310"/>
            <w:vAlign w:val="center"/>
          </w:tcPr>
          <w:p>
            <w:pPr>
              <w:spacing w:before="0" w:after="0" w:line="240" w:lineRule="auto"/>
              <w:jc w:val="left"/>
            </w:pPr>
            <w:r>
              <w:rPr>
                <w:rFonts w:ascii="Times New Roman" w:hAnsi="Times New Roman"/>
                <w:b w:val="0"/>
                <w:i w:val="0"/>
                <w:sz w:val="20"/>
              </w:rPr>
              <w:t>FastAPI /predict endpoint and frontend result card</w:t>
            </w:r>
          </w:p>
        </w:tc>
        <w:tc>
          <w:tcPr>
            <w:tcW w:type="dxa" w:w="2310"/>
            <w:vAlign w:val="center"/>
          </w:tcPr>
          <w:p>
            <w:pPr>
              <w:spacing w:before="0" w:after="0" w:line="240" w:lineRule="auto"/>
              <w:jc w:val="left"/>
            </w:pPr>
            <w:r>
              <w:rPr>
                <w:rFonts w:ascii="Times New Roman" w:hAnsi="Times New Roman"/>
                <w:b w:val="0"/>
                <w:i w:val="0"/>
                <w:sz w:val="20"/>
              </w:rPr>
              <w:t>Makes outputs interpretable for review</w:t>
            </w:r>
          </w:p>
        </w:tc>
      </w:tr>
      <w:tr>
        <w:tc>
          <w:tcPr>
            <w:tcW w:type="dxa" w:w="2310"/>
            <w:vAlign w:val="center"/>
          </w:tcPr>
          <w:p>
            <w:pPr>
              <w:spacing w:before="0" w:after="0" w:line="240" w:lineRule="auto"/>
              <w:jc w:val="left"/>
            </w:pPr>
            <w:r>
              <w:rPr>
                <w:rFonts w:ascii="Times New Roman" w:hAnsi="Times New Roman"/>
                <w:b w:val="0"/>
                <w:i w:val="0"/>
                <w:sz w:val="20"/>
              </w:rPr>
              <w:t>Persistence</w:t>
            </w:r>
          </w:p>
        </w:tc>
        <w:tc>
          <w:tcPr>
            <w:tcW w:type="dxa" w:w="2310"/>
            <w:vAlign w:val="center"/>
          </w:tcPr>
          <w:p>
            <w:pPr>
              <w:spacing w:before="0" w:after="0" w:line="240" w:lineRule="auto"/>
              <w:jc w:val="center"/>
            </w:pPr>
            <w:r>
              <w:rPr>
                <w:rFonts w:ascii="Times New Roman" w:hAnsi="Times New Roman"/>
                <w:b w:val="0"/>
                <w:i w:val="0"/>
                <w:sz w:val="20"/>
              </w:rPr>
              <w:t>Store prediction history</w:t>
            </w:r>
          </w:p>
        </w:tc>
        <w:tc>
          <w:tcPr>
            <w:tcW w:type="dxa" w:w="2310"/>
            <w:vAlign w:val="center"/>
          </w:tcPr>
          <w:p>
            <w:pPr>
              <w:spacing w:before="0" w:after="0" w:line="240" w:lineRule="auto"/>
              <w:jc w:val="left"/>
            </w:pPr>
            <w:r>
              <w:rPr>
                <w:rFonts w:ascii="Times New Roman" w:hAnsi="Times New Roman"/>
                <w:b w:val="0"/>
                <w:i w:val="0"/>
                <w:sz w:val="20"/>
              </w:rPr>
              <w:t>Excel-backed workbook with timestamped entries</w:t>
            </w:r>
          </w:p>
        </w:tc>
        <w:tc>
          <w:tcPr>
            <w:tcW w:type="dxa" w:w="2310"/>
            <w:vAlign w:val="center"/>
          </w:tcPr>
          <w:p>
            <w:pPr>
              <w:spacing w:before="0" w:after="0" w:line="240" w:lineRule="auto"/>
              <w:jc w:val="left"/>
            </w:pPr>
            <w:r>
              <w:rPr>
                <w:rFonts w:ascii="Times New Roman" w:hAnsi="Times New Roman"/>
                <w:b w:val="0"/>
                <w:i w:val="0"/>
                <w:sz w:val="20"/>
              </w:rPr>
              <w:t>Supports continuity after refresh</w:t>
            </w:r>
          </w:p>
        </w:tc>
      </w:tr>
      <w:tr>
        <w:tc>
          <w:tcPr>
            <w:tcW w:type="dxa" w:w="2310"/>
            <w:vAlign w:val="center"/>
          </w:tcPr>
          <w:p>
            <w:pPr>
              <w:spacing w:before="0" w:after="0" w:line="240" w:lineRule="auto"/>
              <w:jc w:val="left"/>
            </w:pPr>
            <w:r>
              <w:rPr>
                <w:rFonts w:ascii="Times New Roman" w:hAnsi="Times New Roman"/>
                <w:b w:val="0"/>
                <w:i w:val="0"/>
                <w:sz w:val="20"/>
              </w:rPr>
              <w:t>Support workflow</w:t>
            </w:r>
          </w:p>
        </w:tc>
        <w:tc>
          <w:tcPr>
            <w:tcW w:type="dxa" w:w="2310"/>
            <w:vAlign w:val="center"/>
          </w:tcPr>
          <w:p>
            <w:pPr>
              <w:spacing w:before="0" w:after="0" w:line="240" w:lineRule="auto"/>
              <w:jc w:val="center"/>
            </w:pPr>
            <w:r>
              <w:rPr>
                <w:rFonts w:ascii="Times New Roman" w:hAnsi="Times New Roman"/>
                <w:b w:val="0"/>
                <w:i w:val="0"/>
                <w:sz w:val="20"/>
              </w:rPr>
              <w:t>Reuse latest prediction in other modules</w:t>
            </w:r>
          </w:p>
        </w:tc>
        <w:tc>
          <w:tcPr>
            <w:tcW w:type="dxa" w:w="2310"/>
            <w:vAlign w:val="center"/>
          </w:tcPr>
          <w:p>
            <w:pPr>
              <w:spacing w:before="0" w:after="0" w:line="240" w:lineRule="auto"/>
              <w:jc w:val="left"/>
            </w:pPr>
            <w:r>
              <w:rPr>
                <w:rFonts w:ascii="Times New Roman" w:hAnsi="Times New Roman"/>
                <w:b w:val="0"/>
                <w:i w:val="0"/>
                <w:sz w:val="20"/>
              </w:rPr>
              <w:t>Dashboard and diet pages load most recent saved history</w:t>
            </w:r>
          </w:p>
        </w:tc>
        <w:tc>
          <w:tcPr>
            <w:tcW w:type="dxa" w:w="2310"/>
            <w:vAlign w:val="center"/>
          </w:tcPr>
          <w:p>
            <w:pPr>
              <w:spacing w:before="0" w:after="0" w:line="240" w:lineRule="auto"/>
              <w:jc w:val="left"/>
            </w:pPr>
            <w:r>
              <w:rPr>
                <w:rFonts w:ascii="Times New Roman" w:hAnsi="Times New Roman"/>
                <w:b w:val="0"/>
                <w:i w:val="0"/>
                <w:sz w:val="20"/>
              </w:rPr>
              <w:t>Connects prediction to preventive action</w:t>
            </w:r>
          </w:p>
        </w:tc>
      </w:tr>
      <w:tr>
        <w:tc>
          <w:tcPr>
            <w:tcW w:type="dxa" w:w="2310"/>
            <w:vAlign w:val="center"/>
          </w:tcPr>
          <w:p>
            <w:pPr>
              <w:spacing w:before="0" w:after="0" w:line="240" w:lineRule="auto"/>
              <w:jc w:val="left"/>
            </w:pPr>
            <w:r>
              <w:rPr>
                <w:rFonts w:ascii="Times New Roman" w:hAnsi="Times New Roman"/>
                <w:b w:val="0"/>
                <w:i w:val="0"/>
                <w:sz w:val="20"/>
              </w:rPr>
              <w:t>Health guidance</w:t>
            </w:r>
          </w:p>
        </w:tc>
        <w:tc>
          <w:tcPr>
            <w:tcW w:type="dxa" w:w="2310"/>
            <w:vAlign w:val="center"/>
          </w:tcPr>
          <w:p>
            <w:pPr>
              <w:spacing w:before="0" w:after="0" w:line="240" w:lineRule="auto"/>
              <w:jc w:val="center"/>
            </w:pPr>
            <w:r>
              <w:rPr>
                <w:rFonts w:ascii="Times New Roman" w:hAnsi="Times New Roman"/>
                <w:b w:val="0"/>
                <w:i w:val="0"/>
                <w:sz w:val="20"/>
              </w:rPr>
              <w:t>Answer general heart-health questions</w:t>
            </w:r>
          </w:p>
        </w:tc>
        <w:tc>
          <w:tcPr>
            <w:tcW w:type="dxa" w:w="2310"/>
            <w:vAlign w:val="center"/>
          </w:tcPr>
          <w:p>
            <w:pPr>
              <w:spacing w:before="0" w:after="0" w:line="240" w:lineRule="auto"/>
              <w:jc w:val="left"/>
            </w:pPr>
            <w:r>
              <w:rPr>
                <w:rFonts w:ascii="Times New Roman" w:hAnsi="Times New Roman"/>
                <w:b w:val="0"/>
                <w:i w:val="0"/>
                <w:sz w:val="20"/>
              </w:rPr>
              <w:t>Rule-based chatbot endpoint and UI</w:t>
            </w:r>
          </w:p>
        </w:tc>
        <w:tc>
          <w:tcPr>
            <w:tcW w:type="dxa" w:w="2310"/>
            <w:vAlign w:val="center"/>
          </w:tcPr>
          <w:p>
            <w:pPr>
              <w:spacing w:before="0" w:after="0" w:line="240" w:lineRule="auto"/>
              <w:jc w:val="left"/>
            </w:pPr>
            <w:r>
              <w:rPr>
                <w:rFonts w:ascii="Times New Roman" w:hAnsi="Times New Roman"/>
                <w:b w:val="0"/>
                <w:i w:val="0"/>
                <w:sz w:val="20"/>
              </w:rPr>
              <w:t>Improves accessibility of educational support</w:t>
            </w:r>
          </w:p>
        </w:tc>
      </w:tr>
    </w:tbl>
    <w:p>
      <w:pPr>
        <w:spacing w:before="0" w:after="20" w:line="240" w:lineRule="auto"/>
        <w:jc w:val="both"/>
      </w:pPr>
    </w:p>
    <w:p>
      <w:pPr>
        <w:spacing w:before="40" w:after="40" w:line="240" w:lineRule="auto"/>
        <w:jc w:val="left"/>
      </w:pPr>
      <w:r>
        <w:rPr>
          <w:rFonts w:ascii="Times New Roman" w:hAnsi="Times New Roman"/>
          <w:b/>
          <w:i w:val="0"/>
          <w:sz w:val="24"/>
        </w:rPr>
        <w:t>2.2.3 Non-Functional Requirements</w:t>
      </w:r>
    </w:p>
    <w:p>
      <w:pPr>
        <w:spacing w:before="0" w:after="40" w:line="240" w:lineRule="auto"/>
        <w:jc w:val="left"/>
      </w:pPr>
      <w:r>
        <w:rPr>
          <w:rFonts w:ascii="Times New Roman" w:hAnsi="Times New Roman"/>
          <w:b w:val="0"/>
          <w:i w:val="0"/>
          <w:sz w:val="24"/>
        </w:rPr>
        <w:t>- Usability: the interface should remain understandable for non-technical users and support module-to-module navigation.</w:t>
      </w:r>
    </w:p>
    <w:p>
      <w:pPr>
        <w:spacing w:before="0" w:after="40" w:line="240" w:lineRule="auto"/>
        <w:jc w:val="left"/>
      </w:pPr>
      <w:r>
        <w:rPr>
          <w:rFonts w:ascii="Times New Roman" w:hAnsi="Times New Roman"/>
          <w:b w:val="0"/>
          <w:i w:val="0"/>
          <w:sz w:val="24"/>
        </w:rPr>
        <w:t>- Reliability: risk calculation, history recovery, and local fallback behavior should function consistently.</w:t>
      </w:r>
    </w:p>
    <w:p>
      <w:pPr>
        <w:spacing w:before="0" w:after="40" w:line="240" w:lineRule="auto"/>
        <w:jc w:val="left"/>
      </w:pPr>
      <w:r>
        <w:rPr>
          <w:rFonts w:ascii="Times New Roman" w:hAnsi="Times New Roman"/>
          <w:b w:val="0"/>
          <w:i w:val="0"/>
          <w:sz w:val="24"/>
        </w:rPr>
        <w:t>- Maintainability: the backend should allow replacement of Excel persistence with a database later.</w:t>
      </w:r>
    </w:p>
    <w:p>
      <w:pPr>
        <w:spacing w:before="0" w:after="40" w:line="240" w:lineRule="auto"/>
        <w:jc w:val="left"/>
      </w:pPr>
      <w:r>
        <w:rPr>
          <w:rFonts w:ascii="Times New Roman" w:hAnsi="Times New Roman"/>
          <w:b w:val="0"/>
          <w:i w:val="0"/>
          <w:sz w:val="24"/>
        </w:rPr>
        <w:t>- Scalability: the modular frontend and API structure should permit additional support pages and future model-serving integration.</w:t>
      </w:r>
    </w:p>
    <w:p>
      <w:pPr>
        <w:spacing w:before="0" w:after="40" w:line="240" w:lineRule="auto"/>
        <w:jc w:val="left"/>
      </w:pPr>
      <w:r>
        <w:rPr>
          <w:rFonts w:ascii="Times New Roman" w:hAnsi="Times New Roman"/>
          <w:b w:val="0"/>
          <w:i w:val="0"/>
          <w:sz w:val="24"/>
        </w:rPr>
        <w:t>- Confidentiality: patient information must be treated as sensitive even in prototype form.</w:t>
      </w:r>
    </w:p>
    <w:p>
      <w:pPr>
        <w:spacing w:before="40" w:after="40" w:line="240" w:lineRule="auto"/>
        <w:jc w:val="left"/>
      </w:pPr>
      <w:r>
        <w:rPr>
          <w:rFonts w:ascii="Times New Roman" w:hAnsi="Times New Roman"/>
          <w:b/>
          <w:i w:val="0"/>
          <w:sz w:val="24"/>
        </w:rPr>
        <w:t>2.2.4 Deployment Environment</w:t>
      </w:r>
    </w:p>
    <w:p>
      <w:pPr>
        <w:spacing w:before="0" w:after="80" w:line="264" w:lineRule="auto"/>
        <w:jc w:val="both"/>
      </w:pPr>
      <w:r>
        <w:rPr>
          <w:rFonts w:ascii="Times New Roman" w:hAnsi="Times New Roman"/>
          <w:b w:val="0"/>
          <w:i w:val="0"/>
          <w:sz w:val="24"/>
        </w:rPr>
        <w:t>HeartGuard currently targets Windows-based local execution and free cloud deployment through Render. The implementation stack uses Python with FastAPI, Uvicorn, OpenPyXL, and Pydantic on the backend, while the frontend uses HTML, CSS, JavaScript, browser localStorage, and Chart.js for selected dashboards.</w:t>
      </w:r>
    </w:p>
    <w:p>
      <w:pPr>
        <w:spacing w:before="40" w:after="40" w:line="240" w:lineRule="auto"/>
        <w:jc w:val="left"/>
      </w:pPr>
      <w:r>
        <w:rPr>
          <w:rFonts w:ascii="Times New Roman" w:hAnsi="Times New Roman"/>
          <w:b/>
          <w:i w:val="0"/>
          <w:sz w:val="24"/>
        </w:rPr>
        <w:t>2.2.5 External Interface Requirements</w:t>
      </w:r>
    </w:p>
    <w:p>
      <w:pPr>
        <w:spacing w:before="0" w:after="80" w:line="264" w:lineRule="auto"/>
        <w:jc w:val="both"/>
      </w:pPr>
      <w:r>
        <w:rPr>
          <w:rFonts w:ascii="Times New Roman" w:hAnsi="Times New Roman"/>
          <w:b w:val="0"/>
          <w:i w:val="0"/>
          <w:sz w:val="24"/>
        </w:rPr>
        <w:t>The user-facing interface consists of browser pages for landing, login, prediction, dashboard, AI assistant, diet plan, monitoring, mood logging, medications, breathing, community, quiz, and SOS support. The backend interface consists of HTTP endpoints for health, prediction, history, and chatbot operations.</w:t>
      </w:r>
    </w:p>
    <w:p>
      <w:pPr>
        <w:spacing w:before="80" w:after="80" w:line="240" w:lineRule="auto"/>
        <w:jc w:val="left"/>
      </w:pPr>
      <w:r>
        <w:rPr>
          <w:rFonts w:ascii="Times New Roman" w:hAnsi="Times New Roman"/>
          <w:b/>
          <w:i w:val="0"/>
          <w:sz w:val="24"/>
        </w:rPr>
        <w:t>2.3 Feasibility and Resource Planning</w:t>
      </w:r>
    </w:p>
    <w:p>
      <w:pPr>
        <w:spacing w:before="0" w:after="80" w:line="264" w:lineRule="auto"/>
        <w:jc w:val="both"/>
      </w:pPr>
      <w:r>
        <w:rPr>
          <w:rFonts w:ascii="Times New Roman" w:hAnsi="Times New Roman"/>
          <w:b w:val="0"/>
          <w:i w:val="0"/>
          <w:sz w:val="24"/>
        </w:rPr>
        <w:t>Feasibility was evaluated from technical, operational, schedule, and economic perspectives. The project was technically feasible because the required datasets, Python libraries, and frontend tooling were all accessible. It was operationally feasible because the chosen prototype design reduced complexity by using workbook persistence instead of a full hospital database.</w:t>
      </w:r>
    </w:p>
    <w:p>
      <w:pPr>
        <w:spacing w:before="0" w:after="80" w:line="240" w:lineRule="auto"/>
        <w:jc w:val="center"/>
      </w:pPr>
      <w:r>
        <w:rPr>
          <w:rFonts w:ascii="Times New Roman" w:hAnsi="Times New Roman"/>
          <w:b w:val="0"/>
          <w:i w:val="0"/>
          <w:sz w:val="22"/>
        </w:rPr>
        <w:t>Table 2.2 Feasibility Snapshot</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1728"/>
            <w:vAlign w:val="center"/>
          </w:tcPr>
          <w:p>
            <w:pPr>
              <w:spacing w:before="0" w:after="0" w:line="240" w:lineRule="auto"/>
              <w:jc w:val="center"/>
            </w:pPr>
            <w:r>
              <w:rPr>
                <w:rFonts w:ascii="Times New Roman" w:hAnsi="Times New Roman"/>
                <w:b/>
                <w:i w:val="0"/>
                <w:sz w:val="20"/>
              </w:rPr>
              <w:t>Dimension</w:t>
            </w:r>
          </w:p>
        </w:tc>
        <w:tc>
          <w:tcPr>
            <w:tcW w:type="dxa" w:w="4032"/>
            <w:vAlign w:val="center"/>
          </w:tcPr>
          <w:p>
            <w:pPr>
              <w:spacing w:before="0" w:after="0" w:line="240" w:lineRule="auto"/>
              <w:jc w:val="center"/>
            </w:pPr>
            <w:r>
              <w:rPr>
                <w:rFonts w:ascii="Times New Roman" w:hAnsi="Times New Roman"/>
                <w:b/>
                <w:i w:val="0"/>
                <w:sz w:val="20"/>
              </w:rPr>
              <w:t>Observation</w:t>
            </w:r>
          </w:p>
        </w:tc>
        <w:tc>
          <w:tcPr>
            <w:tcW w:type="dxa" w:w="3456"/>
            <w:vAlign w:val="center"/>
          </w:tcPr>
          <w:p>
            <w:pPr>
              <w:spacing w:before="0" w:after="0" w:line="240" w:lineRule="auto"/>
              <w:jc w:val="center"/>
            </w:pPr>
            <w:r>
              <w:rPr>
                <w:rFonts w:ascii="Times New Roman" w:hAnsi="Times New Roman"/>
                <w:b/>
                <w:i w:val="0"/>
                <w:sz w:val="20"/>
              </w:rPr>
              <w:t>Project implication</w:t>
            </w:r>
          </w:p>
        </w:tc>
      </w:tr>
      <w:tr>
        <w:tc>
          <w:tcPr>
            <w:tcW w:type="dxa" w:w="3081"/>
            <w:vAlign w:val="center"/>
          </w:tcPr>
          <w:p>
            <w:pPr>
              <w:spacing w:before="0" w:after="0" w:line="240" w:lineRule="auto"/>
              <w:jc w:val="left"/>
            </w:pPr>
            <w:r>
              <w:rPr>
                <w:rFonts w:ascii="Times New Roman" w:hAnsi="Times New Roman"/>
                <w:b w:val="0"/>
                <w:i w:val="0"/>
                <w:sz w:val="20"/>
              </w:rPr>
              <w:t>Technical</w:t>
            </w:r>
          </w:p>
        </w:tc>
        <w:tc>
          <w:tcPr>
            <w:tcW w:type="dxa" w:w="3081"/>
            <w:vAlign w:val="center"/>
          </w:tcPr>
          <w:p>
            <w:pPr>
              <w:spacing w:before="0" w:after="0" w:line="240" w:lineRule="auto"/>
              <w:jc w:val="center"/>
            </w:pPr>
            <w:r>
              <w:rPr>
                <w:rFonts w:ascii="Times New Roman" w:hAnsi="Times New Roman"/>
                <w:b w:val="0"/>
                <w:i w:val="0"/>
                <w:sz w:val="20"/>
              </w:rPr>
              <w:t>Existing datasets, notebooks, and model artifacts were available</w:t>
            </w:r>
          </w:p>
        </w:tc>
        <w:tc>
          <w:tcPr>
            <w:tcW w:type="dxa" w:w="3081"/>
            <w:vAlign w:val="center"/>
          </w:tcPr>
          <w:p>
            <w:pPr>
              <w:spacing w:before="0" w:after="0" w:line="240" w:lineRule="auto"/>
              <w:jc w:val="left"/>
            </w:pPr>
            <w:r>
              <w:rPr>
                <w:rFonts w:ascii="Times New Roman" w:hAnsi="Times New Roman"/>
                <w:b w:val="0"/>
                <w:i w:val="0"/>
                <w:sz w:val="20"/>
              </w:rPr>
              <w:t>Supported rapid experimentation and prototype alignment</w:t>
            </w:r>
          </w:p>
        </w:tc>
      </w:tr>
      <w:tr>
        <w:tc>
          <w:tcPr>
            <w:tcW w:type="dxa" w:w="3081"/>
            <w:vAlign w:val="center"/>
          </w:tcPr>
          <w:p>
            <w:pPr>
              <w:spacing w:before="0" w:after="0" w:line="240" w:lineRule="auto"/>
              <w:jc w:val="left"/>
            </w:pPr>
            <w:r>
              <w:rPr>
                <w:rFonts w:ascii="Times New Roman" w:hAnsi="Times New Roman"/>
                <w:b w:val="0"/>
                <w:i w:val="0"/>
                <w:sz w:val="20"/>
              </w:rPr>
              <w:t>Operational</w:t>
            </w:r>
          </w:p>
        </w:tc>
        <w:tc>
          <w:tcPr>
            <w:tcW w:type="dxa" w:w="3081"/>
            <w:vAlign w:val="center"/>
          </w:tcPr>
          <w:p>
            <w:pPr>
              <w:spacing w:before="0" w:after="0" w:line="240" w:lineRule="auto"/>
              <w:jc w:val="center"/>
            </w:pPr>
            <w:r>
              <w:rPr>
                <w:rFonts w:ascii="Times New Roman" w:hAnsi="Times New Roman"/>
                <w:b w:val="0"/>
                <w:i w:val="0"/>
                <w:sz w:val="20"/>
              </w:rPr>
              <w:t>Users can interact through simple browser pages</w:t>
            </w:r>
          </w:p>
        </w:tc>
        <w:tc>
          <w:tcPr>
            <w:tcW w:type="dxa" w:w="3081"/>
            <w:vAlign w:val="center"/>
          </w:tcPr>
          <w:p>
            <w:pPr>
              <w:spacing w:before="0" w:after="0" w:line="240" w:lineRule="auto"/>
              <w:jc w:val="left"/>
            </w:pPr>
            <w:r>
              <w:rPr>
                <w:rFonts w:ascii="Times New Roman" w:hAnsi="Times New Roman"/>
                <w:b w:val="0"/>
                <w:i w:val="0"/>
                <w:sz w:val="20"/>
              </w:rPr>
              <w:t>Reduced training burden for demonstration use</w:t>
            </w:r>
          </w:p>
        </w:tc>
      </w:tr>
      <w:tr>
        <w:tc>
          <w:tcPr>
            <w:tcW w:type="dxa" w:w="3081"/>
            <w:vAlign w:val="center"/>
          </w:tcPr>
          <w:p>
            <w:pPr>
              <w:spacing w:before="0" w:after="0" w:line="240" w:lineRule="auto"/>
              <w:jc w:val="left"/>
            </w:pPr>
            <w:r>
              <w:rPr>
                <w:rFonts w:ascii="Times New Roman" w:hAnsi="Times New Roman"/>
                <w:b w:val="0"/>
                <w:i w:val="0"/>
                <w:sz w:val="20"/>
              </w:rPr>
              <w:t>Economic</w:t>
            </w:r>
          </w:p>
        </w:tc>
        <w:tc>
          <w:tcPr>
            <w:tcW w:type="dxa" w:w="3081"/>
            <w:vAlign w:val="center"/>
          </w:tcPr>
          <w:p>
            <w:pPr>
              <w:spacing w:before="0" w:after="0" w:line="240" w:lineRule="auto"/>
              <w:jc w:val="center"/>
            </w:pPr>
            <w:r>
              <w:rPr>
                <w:rFonts w:ascii="Times New Roman" w:hAnsi="Times New Roman"/>
                <w:b w:val="0"/>
                <w:i w:val="0"/>
                <w:sz w:val="20"/>
              </w:rPr>
              <w:t>Open-source stack and free deployment option are available</w:t>
            </w:r>
          </w:p>
        </w:tc>
        <w:tc>
          <w:tcPr>
            <w:tcW w:type="dxa" w:w="3081"/>
            <w:vAlign w:val="center"/>
          </w:tcPr>
          <w:p>
            <w:pPr>
              <w:spacing w:before="0" w:after="0" w:line="240" w:lineRule="auto"/>
              <w:jc w:val="left"/>
            </w:pPr>
            <w:r>
              <w:rPr>
                <w:rFonts w:ascii="Times New Roman" w:hAnsi="Times New Roman"/>
                <w:b w:val="0"/>
                <w:i w:val="0"/>
                <w:sz w:val="20"/>
              </w:rPr>
              <w:t>Kept project cost low</w:t>
            </w:r>
          </w:p>
        </w:tc>
      </w:tr>
      <w:tr>
        <w:tc>
          <w:tcPr>
            <w:tcW w:type="dxa" w:w="3081"/>
            <w:vAlign w:val="center"/>
          </w:tcPr>
          <w:p>
            <w:pPr>
              <w:spacing w:before="0" w:after="0" w:line="240" w:lineRule="auto"/>
              <w:jc w:val="left"/>
            </w:pPr>
            <w:r>
              <w:rPr>
                <w:rFonts w:ascii="Times New Roman" w:hAnsi="Times New Roman"/>
                <w:b w:val="0"/>
                <w:i w:val="0"/>
                <w:sz w:val="20"/>
              </w:rPr>
              <w:t>Schedule</w:t>
            </w:r>
          </w:p>
        </w:tc>
        <w:tc>
          <w:tcPr>
            <w:tcW w:type="dxa" w:w="3081"/>
            <w:vAlign w:val="center"/>
          </w:tcPr>
          <w:p>
            <w:pPr>
              <w:spacing w:before="0" w:after="0" w:line="240" w:lineRule="auto"/>
              <w:jc w:val="center"/>
            </w:pPr>
            <w:r>
              <w:rPr>
                <w:rFonts w:ascii="Times New Roman" w:hAnsi="Times New Roman"/>
                <w:b w:val="0"/>
                <w:i w:val="0"/>
                <w:sz w:val="20"/>
              </w:rPr>
              <w:t>Work could be split into data, backend, frontend, and reporting phases</w:t>
            </w:r>
          </w:p>
        </w:tc>
        <w:tc>
          <w:tcPr>
            <w:tcW w:type="dxa" w:w="3081"/>
            <w:vAlign w:val="center"/>
          </w:tcPr>
          <w:p>
            <w:pPr>
              <w:spacing w:before="0" w:after="0" w:line="240" w:lineRule="auto"/>
              <w:jc w:val="left"/>
            </w:pPr>
            <w:r>
              <w:rPr>
                <w:rFonts w:ascii="Times New Roman" w:hAnsi="Times New Roman"/>
                <w:b w:val="0"/>
                <w:i w:val="0"/>
                <w:sz w:val="20"/>
              </w:rPr>
              <w:t>Made semester delivery realistic</w:t>
            </w:r>
          </w:p>
        </w:tc>
      </w:tr>
    </w:tbl>
    <w:p>
      <w:pPr>
        <w:spacing w:before="0" w:after="20" w:line="240" w:lineRule="auto"/>
        <w:jc w:val="both"/>
      </w:pPr>
    </w:p>
    <w:p>
      <w:pPr>
        <w:spacing w:before="80" w:after="80" w:line="240" w:lineRule="auto"/>
        <w:jc w:val="left"/>
      </w:pPr>
      <w:r>
        <w:rPr>
          <w:rFonts w:ascii="Times New Roman" w:hAnsi="Times New Roman"/>
          <w:b/>
          <w:i w:val="0"/>
          <w:sz w:val="24"/>
        </w:rPr>
        <w:t>2.4 Project Process Modelling</w:t>
      </w:r>
    </w:p>
    <w:p>
      <w:pPr>
        <w:spacing w:before="0" w:after="80" w:line="264" w:lineRule="auto"/>
        <w:jc w:val="both"/>
      </w:pPr>
      <w:r>
        <w:rPr>
          <w:rFonts w:ascii="Times New Roman" w:hAnsi="Times New Roman"/>
          <w:b w:val="0"/>
          <w:i w:val="0"/>
          <w:sz w:val="24"/>
        </w:rPr>
        <w:t>The project followed a structured waterfall-like progression because the main milestones were well defined: understand the domain, prepare data, explore models, implement the system, validate the workflow, and compile the final report.</w:t>
      </w:r>
    </w:p>
    <w:p>
      <w:pPr>
        <w:spacing w:before="80" w:after="40"/>
        <w:jc w:val="center"/>
      </w:pPr>
      <w:r>
        <w:drawing>
          <wp:inline xmlns:a="http://schemas.openxmlformats.org/drawingml/2006/main" xmlns:pic="http://schemas.openxmlformats.org/drawingml/2006/picture">
            <wp:extent cx="5852160" cy="3511296"/>
            <wp:docPr id="1" name="Picture 1"/>
            <wp:cNvGraphicFramePr>
              <a:graphicFrameLocks noChangeAspect="1"/>
            </wp:cNvGraphicFramePr>
            <a:graphic>
              <a:graphicData uri="http://schemas.openxmlformats.org/drawingml/2006/picture">
                <pic:pic>
                  <pic:nvPicPr>
                    <pic:cNvPr id="0" name="fig_2_1_process_model.png"/>
                    <pic:cNvPicPr/>
                  </pic:nvPicPr>
                  <pic:blipFill>
                    <a:blip r:embed="rId9"/>
                    <a:stretch>
                      <a:fillRect/>
                    </a:stretch>
                  </pic:blipFill>
                  <pic:spPr>
                    <a:xfrm>
                      <a:off x="0" y="0"/>
                      <a:ext cx="5852160" cy="3511296"/>
                    </a:xfrm>
                    <a:prstGeom prst="rect"/>
                  </pic:spPr>
                </pic:pic>
              </a:graphicData>
            </a:graphic>
          </wp:inline>
        </w:drawing>
      </w:r>
    </w:p>
    <w:p>
      <w:pPr>
        <w:spacing w:before="0" w:after="120" w:line="240" w:lineRule="auto"/>
        <w:jc w:val="center"/>
      </w:pPr>
      <w:r>
        <w:rPr>
          <w:rFonts w:ascii="Times New Roman" w:hAnsi="Times New Roman"/>
          <w:b w:val="0"/>
          <w:i w:val="0"/>
          <w:sz w:val="20"/>
        </w:rPr>
        <w:t>Figure 2.1 Project Process Modelling</w:t>
      </w:r>
    </w:p>
    <w:p>
      <w:pPr>
        <w:spacing w:before="80" w:after="80" w:line="240" w:lineRule="auto"/>
        <w:jc w:val="left"/>
      </w:pPr>
      <w:r>
        <w:rPr>
          <w:rFonts w:ascii="Times New Roman" w:hAnsi="Times New Roman"/>
          <w:b/>
          <w:i w:val="0"/>
          <w:sz w:val="24"/>
        </w:rPr>
        <w:t>2.5 Project Scheduling</w:t>
      </w:r>
    </w:p>
    <w:p>
      <w:pPr>
        <w:spacing w:before="0" w:after="80" w:line="264" w:lineRule="auto"/>
        <w:jc w:val="both"/>
      </w:pPr>
      <w:r>
        <w:rPr>
          <w:rFonts w:ascii="Times New Roman" w:hAnsi="Times New Roman"/>
          <w:b w:val="0"/>
          <w:i w:val="0"/>
          <w:sz w:val="24"/>
        </w:rPr>
        <w:t>The semester schedule balanced domain study, coding effort, testing, and report writing. Since the work included both forecasting research and user-facing implementation, scheduling had to accommodate iterative refinement between backend logic and frontend usability.</w:t>
      </w:r>
    </w:p>
    <w:p>
      <w:pPr>
        <w:spacing w:before="0" w:after="80" w:line="240" w:lineRule="auto"/>
        <w:jc w:val="center"/>
      </w:pPr>
      <w:r>
        <w:rPr>
          <w:rFonts w:ascii="Times New Roman" w:hAnsi="Times New Roman"/>
          <w:b w:val="0"/>
          <w:i w:val="0"/>
          <w:sz w:val="22"/>
        </w:rPr>
        <w:t>Table 2.3 Project Scheduling</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1440"/>
            <w:vAlign w:val="center"/>
          </w:tcPr>
          <w:p>
            <w:pPr>
              <w:spacing w:before="0" w:after="0" w:line="240" w:lineRule="auto"/>
              <w:jc w:val="center"/>
            </w:pPr>
            <w:r>
              <w:rPr>
                <w:rFonts w:ascii="Times New Roman" w:hAnsi="Times New Roman"/>
                <w:b/>
                <w:i w:val="0"/>
                <w:sz w:val="20"/>
              </w:rPr>
              <w:t>Phase</w:t>
            </w:r>
          </w:p>
        </w:tc>
        <w:tc>
          <w:tcPr>
            <w:tcW w:type="dxa" w:w="5760"/>
            <w:vAlign w:val="center"/>
          </w:tcPr>
          <w:p>
            <w:pPr>
              <w:spacing w:before="0" w:after="0" w:line="240" w:lineRule="auto"/>
              <w:jc w:val="center"/>
            </w:pPr>
            <w:r>
              <w:rPr>
                <w:rFonts w:ascii="Times New Roman" w:hAnsi="Times New Roman"/>
                <w:b/>
                <w:i w:val="0"/>
                <w:sz w:val="20"/>
              </w:rPr>
              <w:t>Main activity</w:t>
            </w:r>
          </w:p>
        </w:tc>
        <w:tc>
          <w:tcPr>
            <w:tcW w:type="dxa" w:w="2304"/>
            <w:vAlign w:val="center"/>
          </w:tcPr>
          <w:p>
            <w:pPr>
              <w:spacing w:before="0" w:after="0" w:line="240" w:lineRule="auto"/>
              <w:jc w:val="center"/>
            </w:pPr>
            <w:r>
              <w:rPr>
                <w:rFonts w:ascii="Times New Roman" w:hAnsi="Times New Roman"/>
                <w:b/>
                <w:i w:val="0"/>
                <w:sz w:val="20"/>
              </w:rPr>
              <w:t>Indicative period</w:t>
            </w:r>
          </w:p>
        </w:tc>
      </w:tr>
      <w:tr>
        <w:tc>
          <w:tcPr>
            <w:tcW w:type="dxa" w:w="3081"/>
            <w:vAlign w:val="center"/>
          </w:tcPr>
          <w:p>
            <w:pPr>
              <w:spacing w:before="0" w:after="0" w:line="240" w:lineRule="auto"/>
              <w:jc w:val="left"/>
            </w:pPr>
            <w:r>
              <w:rPr>
                <w:rFonts w:ascii="Times New Roman" w:hAnsi="Times New Roman"/>
                <w:b w:val="0"/>
                <w:i w:val="0"/>
                <w:sz w:val="20"/>
              </w:rPr>
              <w:t>Phase I</w:t>
            </w:r>
          </w:p>
        </w:tc>
        <w:tc>
          <w:tcPr>
            <w:tcW w:type="dxa" w:w="3081"/>
            <w:vAlign w:val="center"/>
          </w:tcPr>
          <w:p>
            <w:pPr>
              <w:spacing w:before="0" w:after="0" w:line="240" w:lineRule="auto"/>
              <w:jc w:val="center"/>
            </w:pPr>
            <w:r>
              <w:rPr>
                <w:rFonts w:ascii="Times New Roman" w:hAnsi="Times New Roman"/>
                <w:b w:val="0"/>
                <w:i w:val="0"/>
                <w:sz w:val="20"/>
              </w:rPr>
              <w:t>Problem study, literature review, requirement definition</w:t>
            </w:r>
          </w:p>
        </w:tc>
        <w:tc>
          <w:tcPr>
            <w:tcW w:type="dxa" w:w="3081"/>
            <w:vAlign w:val="center"/>
          </w:tcPr>
          <w:p>
            <w:pPr>
              <w:spacing w:before="0" w:after="0" w:line="240" w:lineRule="auto"/>
              <w:jc w:val="left"/>
            </w:pPr>
            <w:r>
              <w:rPr>
                <w:rFonts w:ascii="Times New Roman" w:hAnsi="Times New Roman"/>
                <w:b w:val="0"/>
                <w:i w:val="0"/>
                <w:sz w:val="20"/>
              </w:rPr>
              <w:t>August-September</w:t>
            </w:r>
          </w:p>
        </w:tc>
      </w:tr>
      <w:tr>
        <w:tc>
          <w:tcPr>
            <w:tcW w:type="dxa" w:w="3081"/>
            <w:vAlign w:val="center"/>
          </w:tcPr>
          <w:p>
            <w:pPr>
              <w:spacing w:before="0" w:after="0" w:line="240" w:lineRule="auto"/>
              <w:jc w:val="left"/>
            </w:pPr>
            <w:r>
              <w:rPr>
                <w:rFonts w:ascii="Times New Roman" w:hAnsi="Times New Roman"/>
                <w:b w:val="0"/>
                <w:i w:val="0"/>
                <w:sz w:val="20"/>
              </w:rPr>
              <w:t>Phase II</w:t>
            </w:r>
          </w:p>
        </w:tc>
        <w:tc>
          <w:tcPr>
            <w:tcW w:type="dxa" w:w="3081"/>
            <w:vAlign w:val="center"/>
          </w:tcPr>
          <w:p>
            <w:pPr>
              <w:spacing w:before="0" w:after="0" w:line="240" w:lineRule="auto"/>
              <w:jc w:val="center"/>
            </w:pPr>
            <w:r>
              <w:rPr>
                <w:rFonts w:ascii="Times New Roman" w:hAnsi="Times New Roman"/>
                <w:b w:val="0"/>
                <w:i w:val="0"/>
                <w:sz w:val="20"/>
              </w:rPr>
              <w:t>Dataset preparation and notebook experiments</w:t>
            </w:r>
          </w:p>
        </w:tc>
        <w:tc>
          <w:tcPr>
            <w:tcW w:type="dxa" w:w="3081"/>
            <w:vAlign w:val="center"/>
          </w:tcPr>
          <w:p>
            <w:pPr>
              <w:spacing w:before="0" w:after="0" w:line="240" w:lineRule="auto"/>
              <w:jc w:val="left"/>
            </w:pPr>
            <w:r>
              <w:rPr>
                <w:rFonts w:ascii="Times New Roman" w:hAnsi="Times New Roman"/>
                <w:b w:val="0"/>
                <w:i w:val="0"/>
                <w:sz w:val="20"/>
              </w:rPr>
              <w:t>September-October</w:t>
            </w:r>
          </w:p>
        </w:tc>
      </w:tr>
      <w:tr>
        <w:tc>
          <w:tcPr>
            <w:tcW w:type="dxa" w:w="3081"/>
            <w:vAlign w:val="center"/>
          </w:tcPr>
          <w:p>
            <w:pPr>
              <w:spacing w:before="0" w:after="0" w:line="240" w:lineRule="auto"/>
              <w:jc w:val="left"/>
            </w:pPr>
            <w:r>
              <w:rPr>
                <w:rFonts w:ascii="Times New Roman" w:hAnsi="Times New Roman"/>
                <w:b w:val="0"/>
                <w:i w:val="0"/>
                <w:sz w:val="20"/>
              </w:rPr>
              <w:t>Phase III</w:t>
            </w:r>
          </w:p>
        </w:tc>
        <w:tc>
          <w:tcPr>
            <w:tcW w:type="dxa" w:w="3081"/>
            <w:vAlign w:val="center"/>
          </w:tcPr>
          <w:p>
            <w:pPr>
              <w:spacing w:before="0" w:after="0" w:line="240" w:lineRule="auto"/>
              <w:jc w:val="center"/>
            </w:pPr>
            <w:r>
              <w:rPr>
                <w:rFonts w:ascii="Times New Roman" w:hAnsi="Times New Roman"/>
                <w:b w:val="0"/>
                <w:i w:val="0"/>
                <w:sz w:val="20"/>
              </w:rPr>
              <w:t>Backend and frontend implementation</w:t>
            </w:r>
          </w:p>
        </w:tc>
        <w:tc>
          <w:tcPr>
            <w:tcW w:type="dxa" w:w="3081"/>
            <w:vAlign w:val="center"/>
          </w:tcPr>
          <w:p>
            <w:pPr>
              <w:spacing w:before="0" w:after="0" w:line="240" w:lineRule="auto"/>
              <w:jc w:val="left"/>
            </w:pPr>
            <w:r>
              <w:rPr>
                <w:rFonts w:ascii="Times New Roman" w:hAnsi="Times New Roman"/>
                <w:b w:val="0"/>
                <w:i w:val="0"/>
                <w:sz w:val="20"/>
              </w:rPr>
              <w:t>October-November</w:t>
            </w:r>
          </w:p>
        </w:tc>
      </w:tr>
      <w:tr>
        <w:tc>
          <w:tcPr>
            <w:tcW w:type="dxa" w:w="3081"/>
            <w:vAlign w:val="center"/>
          </w:tcPr>
          <w:p>
            <w:pPr>
              <w:spacing w:before="0" w:after="0" w:line="240" w:lineRule="auto"/>
              <w:jc w:val="left"/>
            </w:pPr>
            <w:r>
              <w:rPr>
                <w:rFonts w:ascii="Times New Roman" w:hAnsi="Times New Roman"/>
                <w:b w:val="0"/>
                <w:i w:val="0"/>
                <w:sz w:val="20"/>
              </w:rPr>
              <w:t>Phase IV</w:t>
            </w:r>
          </w:p>
        </w:tc>
        <w:tc>
          <w:tcPr>
            <w:tcW w:type="dxa" w:w="3081"/>
            <w:vAlign w:val="center"/>
          </w:tcPr>
          <w:p>
            <w:pPr>
              <w:spacing w:before="0" w:after="0" w:line="240" w:lineRule="auto"/>
              <w:jc w:val="center"/>
            </w:pPr>
            <w:r>
              <w:rPr>
                <w:rFonts w:ascii="Times New Roman" w:hAnsi="Times New Roman"/>
                <w:b w:val="0"/>
                <w:i w:val="0"/>
                <w:sz w:val="20"/>
              </w:rPr>
              <w:t>Testing, refinement, and report preparation</w:t>
            </w:r>
          </w:p>
        </w:tc>
        <w:tc>
          <w:tcPr>
            <w:tcW w:type="dxa" w:w="3081"/>
            <w:vAlign w:val="center"/>
          </w:tcPr>
          <w:p>
            <w:pPr>
              <w:spacing w:before="0" w:after="0" w:line="240" w:lineRule="auto"/>
              <w:jc w:val="left"/>
            </w:pPr>
            <w:r>
              <w:rPr>
                <w:rFonts w:ascii="Times New Roman" w:hAnsi="Times New Roman"/>
                <w:b w:val="0"/>
                <w:i w:val="0"/>
                <w:sz w:val="20"/>
              </w:rPr>
              <w:t>November-January</w:t>
            </w:r>
          </w:p>
        </w:tc>
      </w:tr>
    </w:tbl>
    <w:p>
      <w:pPr>
        <w:spacing w:before="0" w:after="20" w:line="240" w:lineRule="auto"/>
        <w:jc w:val="both"/>
      </w:pPr>
    </w:p>
    <w:p>
      <w:pPr>
        <w:spacing w:before="80" w:after="40"/>
        <w:jc w:val="center"/>
      </w:pPr>
      <w:r>
        <w:drawing>
          <wp:inline xmlns:a="http://schemas.openxmlformats.org/drawingml/2006/main" xmlns:pic="http://schemas.openxmlformats.org/drawingml/2006/picture">
            <wp:extent cx="5897880" cy="3145536"/>
            <wp:docPr id="2" name="Picture 2"/>
            <wp:cNvGraphicFramePr>
              <a:graphicFrameLocks noChangeAspect="1"/>
            </wp:cNvGraphicFramePr>
            <a:graphic>
              <a:graphicData uri="http://schemas.openxmlformats.org/drawingml/2006/picture">
                <pic:pic>
                  <pic:nvPicPr>
                    <pic:cNvPr id="0" name="fig_2_2_gantt_chart.png"/>
                    <pic:cNvPicPr/>
                  </pic:nvPicPr>
                  <pic:blipFill>
                    <a:blip r:embed="rId10"/>
                    <a:stretch>
                      <a:fillRect/>
                    </a:stretch>
                  </pic:blipFill>
                  <pic:spPr>
                    <a:xfrm>
                      <a:off x="0" y="0"/>
                      <a:ext cx="5897880" cy="3145536"/>
                    </a:xfrm>
                    <a:prstGeom prst="rect"/>
                  </pic:spPr>
                </pic:pic>
              </a:graphicData>
            </a:graphic>
          </wp:inline>
        </w:drawing>
      </w:r>
    </w:p>
    <w:p>
      <w:pPr>
        <w:spacing w:before="0" w:after="120" w:line="240" w:lineRule="auto"/>
        <w:jc w:val="center"/>
      </w:pPr>
      <w:r>
        <w:rPr>
          <w:rFonts w:ascii="Times New Roman" w:hAnsi="Times New Roman"/>
          <w:b w:val="0"/>
          <w:i w:val="0"/>
          <w:sz w:val="20"/>
        </w:rPr>
        <w:t>Figure 2.2 Gantt Chart</w:t>
      </w:r>
    </w:p>
    <w:p>
      <w:r>
        <w:br w:type="page"/>
      </w:r>
    </w:p>
    <w:p>
      <w:pPr>
        <w:spacing w:before="160" w:after="80" w:line="240" w:lineRule="auto"/>
        <w:jc w:val="center"/>
      </w:pPr>
      <w:r>
        <w:rPr>
          <w:rFonts w:ascii="Times New Roman" w:hAnsi="Times New Roman"/>
          <w:b/>
          <w:i w:val="0"/>
          <w:sz w:val="28"/>
        </w:rPr>
        <w:t>CHAPTER 3</w:t>
      </w:r>
    </w:p>
    <w:p>
      <w:pPr>
        <w:spacing w:before="0" w:after="200" w:line="240" w:lineRule="auto"/>
        <w:jc w:val="center"/>
      </w:pPr>
      <w:r>
        <w:rPr>
          <w:rFonts w:ascii="Times New Roman" w:hAnsi="Times New Roman"/>
          <w:b/>
          <w:i w:val="0"/>
          <w:sz w:val="28"/>
        </w:rPr>
        <w:t>ANALYSIS AND DESIGN</w:t>
      </w:r>
    </w:p>
    <w:p>
      <w:pPr>
        <w:spacing w:before="80" w:after="80" w:line="240" w:lineRule="auto"/>
        <w:jc w:val="left"/>
      </w:pPr>
      <w:r>
        <w:rPr>
          <w:rFonts w:ascii="Times New Roman" w:hAnsi="Times New Roman"/>
          <w:b/>
          <w:i w:val="0"/>
          <w:sz w:val="24"/>
        </w:rPr>
        <w:t>3.1 System Analysis</w:t>
      </w:r>
    </w:p>
    <w:p>
      <w:pPr>
        <w:spacing w:before="0" w:after="80" w:line="264" w:lineRule="auto"/>
        <w:jc w:val="both"/>
      </w:pPr>
      <w:r>
        <w:rPr>
          <w:rFonts w:ascii="Times New Roman" w:hAnsi="Times New Roman"/>
          <w:b w:val="0"/>
          <w:i w:val="0"/>
          <w:sz w:val="24"/>
        </w:rPr>
        <w:t>System analysis for HeartGuard focused on how to translate a predictive-healthcare problem into a practical academic application. The analysis phase defined the required inputs, the processing pipeline, the relationship between the prediction engine and support modules, and the data continuity needed for meaningful review after the initial estimate.</w:t>
      </w:r>
    </w:p>
    <w:p>
      <w:pPr>
        <w:spacing w:before="0" w:after="40" w:line="240" w:lineRule="auto"/>
        <w:jc w:val="left"/>
      </w:pPr>
      <w:r>
        <w:rPr>
          <w:rFonts w:ascii="Times New Roman" w:hAnsi="Times New Roman"/>
          <w:b w:val="0"/>
          <w:i w:val="0"/>
          <w:sz w:val="24"/>
        </w:rPr>
        <w:t>- Input: clinical and lifestyle values such as age, BMI, blood pressure, glucose, cholesterol, smoking status, diabetes status, heart rate, ejection fraction, and serum creatinine.</w:t>
      </w:r>
    </w:p>
    <w:p>
      <w:pPr>
        <w:spacing w:before="0" w:after="40" w:line="240" w:lineRule="auto"/>
        <w:jc w:val="left"/>
      </w:pPr>
      <w:r>
        <w:rPr>
          <w:rFonts w:ascii="Times New Roman" w:hAnsi="Times New Roman"/>
          <w:b w:val="0"/>
          <w:i w:val="0"/>
          <w:sz w:val="24"/>
        </w:rPr>
        <w:t>- Process: payload sanitization, weighted scoring or research-model analysis, confidence estimation, persistence, and module reuse.</w:t>
      </w:r>
    </w:p>
    <w:p>
      <w:pPr>
        <w:spacing w:before="0" w:after="40" w:line="240" w:lineRule="auto"/>
        <w:jc w:val="left"/>
      </w:pPr>
      <w:r>
        <w:rPr>
          <w:rFonts w:ascii="Times New Roman" w:hAnsi="Times New Roman"/>
          <w:b w:val="0"/>
          <w:i w:val="0"/>
          <w:sz w:val="24"/>
        </w:rPr>
        <w:t>- Output: risk percentage, confidence value, risk label, saved history, and follow-up guidance.</w:t>
      </w:r>
    </w:p>
    <w:p>
      <w:pPr>
        <w:spacing w:before="80" w:after="80" w:line="240" w:lineRule="auto"/>
        <w:jc w:val="left"/>
      </w:pPr>
      <w:r>
        <w:rPr>
          <w:rFonts w:ascii="Times New Roman" w:hAnsi="Times New Roman"/>
          <w:b/>
          <w:i w:val="0"/>
          <w:sz w:val="24"/>
        </w:rPr>
        <w:t>3.2 System Architecture</w:t>
      </w:r>
    </w:p>
    <w:p>
      <w:pPr>
        <w:spacing w:before="0" w:after="80" w:line="264" w:lineRule="auto"/>
        <w:jc w:val="both"/>
      </w:pPr>
      <w:r>
        <w:rPr>
          <w:rFonts w:ascii="Times New Roman" w:hAnsi="Times New Roman"/>
          <w:b w:val="0"/>
          <w:i w:val="0"/>
          <w:sz w:val="24"/>
        </w:rPr>
        <w:t>The architecture combines data assets, an API layer, workbook persistence, browser interfaces, and health-support modules. Importantly, the repository includes exploratory model artifacts alongside the deployed prototype, so the design must support both predictive experimentation and user-facing demonstration.</w:t>
      </w:r>
    </w:p>
    <w:p>
      <w:pPr>
        <w:spacing w:before="80" w:after="40"/>
        <w:jc w:val="center"/>
      </w:pPr>
      <w:r>
        <w:drawing>
          <wp:inline xmlns:a="http://schemas.openxmlformats.org/drawingml/2006/main" xmlns:pic="http://schemas.openxmlformats.org/drawingml/2006/picture">
            <wp:extent cx="5852160" cy="3364992"/>
            <wp:docPr id="3" name="Picture 3"/>
            <wp:cNvGraphicFramePr>
              <a:graphicFrameLocks noChangeAspect="1"/>
            </wp:cNvGraphicFramePr>
            <a:graphic>
              <a:graphicData uri="http://schemas.openxmlformats.org/drawingml/2006/picture">
                <pic:pic>
                  <pic:nvPicPr>
                    <pic:cNvPr id="0" name="fig_3_1_architecture.png"/>
                    <pic:cNvPicPr/>
                  </pic:nvPicPr>
                  <pic:blipFill>
                    <a:blip r:embed="rId11"/>
                    <a:stretch>
                      <a:fillRect/>
                    </a:stretch>
                  </pic:blipFill>
                  <pic:spPr>
                    <a:xfrm>
                      <a:off x="0" y="0"/>
                      <a:ext cx="5852160" cy="3364992"/>
                    </a:xfrm>
                    <a:prstGeom prst="rect"/>
                  </pic:spPr>
                </pic:pic>
              </a:graphicData>
            </a:graphic>
          </wp:inline>
        </w:drawing>
      </w:r>
    </w:p>
    <w:p>
      <w:pPr>
        <w:spacing w:before="0" w:after="120" w:line="240" w:lineRule="auto"/>
        <w:jc w:val="center"/>
      </w:pPr>
      <w:r>
        <w:rPr>
          <w:rFonts w:ascii="Times New Roman" w:hAnsi="Times New Roman"/>
          <w:b w:val="0"/>
          <w:i w:val="0"/>
          <w:sz w:val="20"/>
        </w:rPr>
        <w:t>Figure 3.1 System Architecture of HeartGuard</w:t>
      </w:r>
    </w:p>
    <w:p>
      <w:pPr>
        <w:spacing w:before="80" w:after="80" w:line="240" w:lineRule="auto"/>
        <w:jc w:val="left"/>
      </w:pPr>
      <w:r>
        <w:rPr>
          <w:rFonts w:ascii="Times New Roman" w:hAnsi="Times New Roman"/>
          <w:b/>
          <w:i w:val="0"/>
          <w:sz w:val="24"/>
        </w:rPr>
        <w:t>3.3 Data and Prediction Flow</w:t>
      </w:r>
    </w:p>
    <w:p>
      <w:pPr>
        <w:spacing w:before="0" w:after="80" w:line="264" w:lineRule="auto"/>
        <w:jc w:val="both"/>
      </w:pPr>
      <w:r>
        <w:rPr>
          <w:rFonts w:ascii="Times New Roman" w:hAnsi="Times New Roman"/>
          <w:b w:val="0"/>
          <w:i w:val="0"/>
          <w:sz w:val="24"/>
        </w:rPr>
        <w:t>The methodology begins with requirement analysis and dataset alignment, proceeds through exploratory modeling, and ends with an explainable deployment path. This is consistent with the present codebase, where notebook results inform feature relevance while the live application exposes a more transparent decision flow.</w:t>
      </w:r>
    </w:p>
    <w:p>
      <w:pPr>
        <w:spacing w:before="80" w:after="40"/>
        <w:jc w:val="center"/>
      </w:pPr>
      <w:r>
        <w:drawing>
          <wp:inline xmlns:a="http://schemas.openxmlformats.org/drawingml/2006/main" xmlns:pic="http://schemas.openxmlformats.org/drawingml/2006/picture">
            <wp:extent cx="5852160" cy="3364992"/>
            <wp:docPr id="4" name="Picture 4"/>
            <wp:cNvGraphicFramePr>
              <a:graphicFrameLocks noChangeAspect="1"/>
            </wp:cNvGraphicFramePr>
            <a:graphic>
              <a:graphicData uri="http://schemas.openxmlformats.org/drawingml/2006/picture">
                <pic:pic>
                  <pic:nvPicPr>
                    <pic:cNvPr id="0" name="fig_3_2_methodology_flow.png"/>
                    <pic:cNvPicPr/>
                  </pic:nvPicPr>
                  <pic:blipFill>
                    <a:blip r:embed="rId12"/>
                    <a:stretch>
                      <a:fillRect/>
                    </a:stretch>
                  </pic:blipFill>
                  <pic:spPr>
                    <a:xfrm>
                      <a:off x="0" y="0"/>
                      <a:ext cx="5852160" cy="3364992"/>
                    </a:xfrm>
                    <a:prstGeom prst="rect"/>
                  </pic:spPr>
                </pic:pic>
              </a:graphicData>
            </a:graphic>
          </wp:inline>
        </w:drawing>
      </w:r>
    </w:p>
    <w:p>
      <w:pPr>
        <w:spacing w:before="0" w:after="120" w:line="240" w:lineRule="auto"/>
        <w:jc w:val="center"/>
      </w:pPr>
      <w:r>
        <w:rPr>
          <w:rFonts w:ascii="Times New Roman" w:hAnsi="Times New Roman"/>
          <w:b w:val="0"/>
          <w:i w:val="0"/>
          <w:sz w:val="20"/>
        </w:rPr>
        <w:t>Figure 3.2 Methodology Flow Diagram of HeartGuard System</w:t>
      </w:r>
    </w:p>
    <w:p>
      <w:pPr>
        <w:spacing w:before="80" w:after="80" w:line="240" w:lineRule="auto"/>
        <w:jc w:val="left"/>
      </w:pPr>
      <w:r>
        <w:rPr>
          <w:rFonts w:ascii="Times New Roman" w:hAnsi="Times New Roman"/>
          <w:b/>
          <w:i w:val="0"/>
          <w:sz w:val="24"/>
        </w:rPr>
        <w:t>3.4 Module Description</w:t>
      </w:r>
    </w:p>
    <w:p>
      <w:pPr>
        <w:spacing w:before="0" w:after="80" w:line="240" w:lineRule="auto"/>
        <w:jc w:val="center"/>
      </w:pPr>
      <w:r>
        <w:rPr>
          <w:rFonts w:ascii="Times New Roman" w:hAnsi="Times New Roman"/>
          <w:b w:val="0"/>
          <w:i w:val="0"/>
          <w:sz w:val="22"/>
        </w:rPr>
        <w:t>Table 3.1 Module Description of HeartGuard System</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2016"/>
            <w:vAlign w:val="center"/>
          </w:tcPr>
          <w:p>
            <w:pPr>
              <w:spacing w:before="0" w:after="0" w:line="240" w:lineRule="auto"/>
              <w:jc w:val="center"/>
            </w:pPr>
            <w:r>
              <w:rPr>
                <w:rFonts w:ascii="Times New Roman" w:hAnsi="Times New Roman"/>
                <w:b/>
                <w:i w:val="0"/>
                <w:sz w:val="20"/>
              </w:rPr>
              <w:t>Module</w:t>
            </w:r>
          </w:p>
        </w:tc>
        <w:tc>
          <w:tcPr>
            <w:tcW w:type="dxa" w:w="2880"/>
            <w:vAlign w:val="center"/>
          </w:tcPr>
          <w:p>
            <w:pPr>
              <w:spacing w:before="0" w:after="0" w:line="240" w:lineRule="auto"/>
              <w:jc w:val="center"/>
            </w:pPr>
            <w:r>
              <w:rPr>
                <w:rFonts w:ascii="Times New Roman" w:hAnsi="Times New Roman"/>
                <w:b/>
                <w:i w:val="0"/>
                <w:sz w:val="20"/>
              </w:rPr>
              <w:t>Primary responsibility</w:t>
            </w:r>
          </w:p>
        </w:tc>
        <w:tc>
          <w:tcPr>
            <w:tcW w:type="dxa" w:w="4320"/>
            <w:vAlign w:val="center"/>
          </w:tcPr>
          <w:p>
            <w:pPr>
              <w:spacing w:before="0" w:after="0" w:line="240" w:lineRule="auto"/>
              <w:jc w:val="center"/>
            </w:pPr>
            <w:r>
              <w:rPr>
                <w:rFonts w:ascii="Times New Roman" w:hAnsi="Times New Roman"/>
                <w:b/>
                <w:i w:val="0"/>
                <w:sz w:val="20"/>
              </w:rPr>
              <w:t>Current implementation evidence</w:t>
            </w:r>
          </w:p>
        </w:tc>
      </w:tr>
      <w:tr>
        <w:tc>
          <w:tcPr>
            <w:tcW w:type="dxa" w:w="3081"/>
            <w:vAlign w:val="center"/>
          </w:tcPr>
          <w:p>
            <w:pPr>
              <w:spacing w:before="0" w:after="0" w:line="240" w:lineRule="auto"/>
              <w:jc w:val="left"/>
            </w:pPr>
            <w:r>
              <w:rPr>
                <w:rFonts w:ascii="Times New Roman" w:hAnsi="Times New Roman"/>
                <w:b w:val="0"/>
                <w:i w:val="0"/>
                <w:sz w:val="20"/>
              </w:rPr>
              <w:t>Prediction</w:t>
            </w:r>
          </w:p>
        </w:tc>
        <w:tc>
          <w:tcPr>
            <w:tcW w:type="dxa" w:w="3081"/>
            <w:vAlign w:val="center"/>
          </w:tcPr>
          <w:p>
            <w:pPr>
              <w:spacing w:before="0" w:after="0" w:line="240" w:lineRule="auto"/>
              <w:jc w:val="center"/>
            </w:pPr>
            <w:r>
              <w:rPr>
                <w:rFonts w:ascii="Times New Roman" w:hAnsi="Times New Roman"/>
                <w:b w:val="0"/>
                <w:i w:val="0"/>
                <w:sz w:val="20"/>
              </w:rPr>
              <w:t>Accept user inputs and estimate risk</w:t>
            </w:r>
          </w:p>
        </w:tc>
        <w:tc>
          <w:tcPr>
            <w:tcW w:type="dxa" w:w="3081"/>
            <w:vAlign w:val="center"/>
          </w:tcPr>
          <w:p>
            <w:pPr>
              <w:spacing w:before="0" w:after="0" w:line="240" w:lineRule="auto"/>
              <w:jc w:val="left"/>
            </w:pPr>
            <w:r>
              <w:rPr>
                <w:rFonts w:ascii="Times New Roman" w:hAnsi="Times New Roman"/>
                <w:b w:val="0"/>
                <w:i w:val="0"/>
                <w:sz w:val="20"/>
              </w:rPr>
              <w:t>predict.html, predict-script.js, backend /predict endpoint</w:t>
            </w:r>
          </w:p>
        </w:tc>
      </w:tr>
      <w:tr>
        <w:tc>
          <w:tcPr>
            <w:tcW w:type="dxa" w:w="3081"/>
            <w:vAlign w:val="center"/>
          </w:tcPr>
          <w:p>
            <w:pPr>
              <w:spacing w:before="0" w:after="0" w:line="240" w:lineRule="auto"/>
              <w:jc w:val="left"/>
            </w:pPr>
            <w:r>
              <w:rPr>
                <w:rFonts w:ascii="Times New Roman" w:hAnsi="Times New Roman"/>
                <w:b w:val="0"/>
                <w:i w:val="0"/>
                <w:sz w:val="20"/>
              </w:rPr>
              <w:t>Dashboard</w:t>
            </w:r>
          </w:p>
        </w:tc>
        <w:tc>
          <w:tcPr>
            <w:tcW w:type="dxa" w:w="3081"/>
            <w:vAlign w:val="center"/>
          </w:tcPr>
          <w:p>
            <w:pPr>
              <w:spacing w:before="0" w:after="0" w:line="240" w:lineRule="auto"/>
              <w:jc w:val="center"/>
            </w:pPr>
            <w:r>
              <w:rPr>
                <w:rFonts w:ascii="Times New Roman" w:hAnsi="Times New Roman"/>
                <w:b w:val="0"/>
                <w:i w:val="0"/>
                <w:sz w:val="20"/>
              </w:rPr>
              <w:t>Recover latest history and summarize trends</w:t>
            </w:r>
          </w:p>
        </w:tc>
        <w:tc>
          <w:tcPr>
            <w:tcW w:type="dxa" w:w="3081"/>
            <w:vAlign w:val="center"/>
          </w:tcPr>
          <w:p>
            <w:pPr>
              <w:spacing w:before="0" w:after="0" w:line="240" w:lineRule="auto"/>
              <w:jc w:val="left"/>
            </w:pPr>
            <w:r>
              <w:rPr>
                <w:rFonts w:ascii="Times New Roman" w:hAnsi="Times New Roman"/>
                <w:b w:val="0"/>
                <w:i w:val="0"/>
                <w:sz w:val="20"/>
              </w:rPr>
              <w:t>dashboard.html, dashboard-script.js, /predictions endpoint</w:t>
            </w:r>
          </w:p>
        </w:tc>
      </w:tr>
      <w:tr>
        <w:tc>
          <w:tcPr>
            <w:tcW w:type="dxa" w:w="3081"/>
            <w:vAlign w:val="center"/>
          </w:tcPr>
          <w:p>
            <w:pPr>
              <w:spacing w:before="0" w:after="0" w:line="240" w:lineRule="auto"/>
              <w:jc w:val="left"/>
            </w:pPr>
            <w:r>
              <w:rPr>
                <w:rFonts w:ascii="Times New Roman" w:hAnsi="Times New Roman"/>
                <w:b w:val="0"/>
                <w:i w:val="0"/>
                <w:sz w:val="20"/>
              </w:rPr>
              <w:t>Diet Support</w:t>
            </w:r>
          </w:p>
        </w:tc>
        <w:tc>
          <w:tcPr>
            <w:tcW w:type="dxa" w:w="3081"/>
            <w:vAlign w:val="center"/>
          </w:tcPr>
          <w:p>
            <w:pPr>
              <w:spacing w:before="0" w:after="0" w:line="240" w:lineRule="auto"/>
              <w:jc w:val="center"/>
            </w:pPr>
            <w:r>
              <w:rPr>
                <w:rFonts w:ascii="Times New Roman" w:hAnsi="Times New Roman"/>
                <w:b w:val="0"/>
                <w:i w:val="0"/>
                <w:sz w:val="20"/>
              </w:rPr>
              <w:t>Generate meal guidance from latest profile</w:t>
            </w:r>
          </w:p>
        </w:tc>
        <w:tc>
          <w:tcPr>
            <w:tcW w:type="dxa" w:w="3081"/>
            <w:vAlign w:val="center"/>
          </w:tcPr>
          <w:p>
            <w:pPr>
              <w:spacing w:before="0" w:after="0" w:line="240" w:lineRule="auto"/>
              <w:jc w:val="left"/>
            </w:pPr>
            <w:r>
              <w:rPr>
                <w:rFonts w:ascii="Times New Roman" w:hAnsi="Times New Roman"/>
                <w:b w:val="0"/>
                <w:i w:val="0"/>
                <w:sz w:val="20"/>
              </w:rPr>
              <w:t>diet.html, diet-script.js</w:t>
            </w:r>
          </w:p>
        </w:tc>
      </w:tr>
      <w:tr>
        <w:tc>
          <w:tcPr>
            <w:tcW w:type="dxa" w:w="3081"/>
            <w:vAlign w:val="center"/>
          </w:tcPr>
          <w:p>
            <w:pPr>
              <w:spacing w:before="0" w:after="0" w:line="240" w:lineRule="auto"/>
              <w:jc w:val="left"/>
            </w:pPr>
            <w:r>
              <w:rPr>
                <w:rFonts w:ascii="Times New Roman" w:hAnsi="Times New Roman"/>
                <w:b w:val="0"/>
                <w:i w:val="0"/>
                <w:sz w:val="20"/>
              </w:rPr>
              <w:t>Chatbot</w:t>
            </w:r>
          </w:p>
        </w:tc>
        <w:tc>
          <w:tcPr>
            <w:tcW w:type="dxa" w:w="3081"/>
            <w:vAlign w:val="center"/>
          </w:tcPr>
          <w:p>
            <w:pPr>
              <w:spacing w:before="0" w:after="0" w:line="240" w:lineRule="auto"/>
              <w:jc w:val="center"/>
            </w:pPr>
            <w:r>
              <w:rPr>
                <w:rFonts w:ascii="Times New Roman" w:hAnsi="Times New Roman"/>
                <w:b w:val="0"/>
                <w:i w:val="0"/>
                <w:sz w:val="20"/>
              </w:rPr>
              <w:t>Provide heart-health education and support</w:t>
            </w:r>
          </w:p>
        </w:tc>
        <w:tc>
          <w:tcPr>
            <w:tcW w:type="dxa" w:w="3081"/>
            <w:vAlign w:val="center"/>
          </w:tcPr>
          <w:p>
            <w:pPr>
              <w:spacing w:before="0" w:after="0" w:line="240" w:lineRule="auto"/>
              <w:jc w:val="left"/>
            </w:pPr>
            <w:r>
              <w:rPr>
                <w:rFonts w:ascii="Times New Roman" w:hAnsi="Times New Roman"/>
                <w:b w:val="0"/>
                <w:i w:val="0"/>
                <w:sz w:val="20"/>
              </w:rPr>
              <w:t>chatbot.html, /chat endpoint</w:t>
            </w:r>
          </w:p>
        </w:tc>
      </w:tr>
      <w:tr>
        <w:tc>
          <w:tcPr>
            <w:tcW w:type="dxa" w:w="3081"/>
            <w:vAlign w:val="center"/>
          </w:tcPr>
          <w:p>
            <w:pPr>
              <w:spacing w:before="0" w:after="0" w:line="240" w:lineRule="auto"/>
              <w:jc w:val="left"/>
            </w:pPr>
            <w:r>
              <w:rPr>
                <w:rFonts w:ascii="Times New Roman" w:hAnsi="Times New Roman"/>
                <w:b w:val="0"/>
                <w:i w:val="0"/>
                <w:sz w:val="20"/>
              </w:rPr>
              <w:t>Mood / Monitoring / Medications</w:t>
            </w:r>
          </w:p>
        </w:tc>
        <w:tc>
          <w:tcPr>
            <w:tcW w:type="dxa" w:w="3081"/>
            <w:vAlign w:val="center"/>
          </w:tcPr>
          <w:p>
            <w:pPr>
              <w:spacing w:before="0" w:after="0" w:line="240" w:lineRule="auto"/>
              <w:jc w:val="center"/>
            </w:pPr>
            <w:r>
              <w:rPr>
                <w:rFonts w:ascii="Times New Roman" w:hAnsi="Times New Roman"/>
                <w:b w:val="0"/>
                <w:i w:val="0"/>
                <w:sz w:val="20"/>
              </w:rPr>
              <w:t>Track supportive wellness data locally</w:t>
            </w:r>
          </w:p>
        </w:tc>
        <w:tc>
          <w:tcPr>
            <w:tcW w:type="dxa" w:w="3081"/>
            <w:vAlign w:val="center"/>
          </w:tcPr>
          <w:p>
            <w:pPr>
              <w:spacing w:before="0" w:after="0" w:line="240" w:lineRule="auto"/>
              <w:jc w:val="left"/>
            </w:pPr>
            <w:r>
              <w:rPr>
                <w:rFonts w:ascii="Times New Roman" w:hAnsi="Times New Roman"/>
                <w:b w:val="0"/>
                <w:i w:val="0"/>
                <w:sz w:val="20"/>
              </w:rPr>
              <w:t>mood-script.js, monitoring-script.js, medications-script.js</w:t>
            </w:r>
          </w:p>
        </w:tc>
      </w:tr>
      <w:tr>
        <w:tc>
          <w:tcPr>
            <w:tcW w:type="dxa" w:w="3081"/>
            <w:vAlign w:val="center"/>
          </w:tcPr>
          <w:p>
            <w:pPr>
              <w:spacing w:before="0" w:after="0" w:line="240" w:lineRule="auto"/>
              <w:jc w:val="left"/>
            </w:pPr>
            <w:r>
              <w:rPr>
                <w:rFonts w:ascii="Times New Roman" w:hAnsi="Times New Roman"/>
                <w:b w:val="0"/>
                <w:i w:val="0"/>
                <w:sz w:val="20"/>
              </w:rPr>
              <w:t>Community / Quiz / SOS</w:t>
            </w:r>
          </w:p>
        </w:tc>
        <w:tc>
          <w:tcPr>
            <w:tcW w:type="dxa" w:w="3081"/>
            <w:vAlign w:val="center"/>
          </w:tcPr>
          <w:p>
            <w:pPr>
              <w:spacing w:before="0" w:after="0" w:line="240" w:lineRule="auto"/>
              <w:jc w:val="center"/>
            </w:pPr>
            <w:r>
              <w:rPr>
                <w:rFonts w:ascii="Times New Roman" w:hAnsi="Times New Roman"/>
                <w:b w:val="0"/>
                <w:i w:val="0"/>
                <w:sz w:val="20"/>
              </w:rPr>
              <w:t>Broaden engagement and awareness</w:t>
            </w:r>
          </w:p>
        </w:tc>
        <w:tc>
          <w:tcPr>
            <w:tcW w:type="dxa" w:w="3081"/>
            <w:vAlign w:val="center"/>
          </w:tcPr>
          <w:p>
            <w:pPr>
              <w:spacing w:before="0" w:after="0" w:line="240" w:lineRule="auto"/>
              <w:jc w:val="left"/>
            </w:pPr>
            <w:r>
              <w:rPr>
                <w:rFonts w:ascii="Times New Roman" w:hAnsi="Times New Roman"/>
                <w:b w:val="0"/>
                <w:i w:val="0"/>
                <w:sz w:val="20"/>
              </w:rPr>
              <w:t>community.html, quiz.html, sos.html</w:t>
            </w:r>
          </w:p>
        </w:tc>
      </w:tr>
    </w:tbl>
    <w:p>
      <w:pPr>
        <w:spacing w:before="0" w:after="20" w:line="240" w:lineRule="auto"/>
        <w:jc w:val="both"/>
      </w:pPr>
    </w:p>
    <w:p>
      <w:pPr>
        <w:spacing w:before="80" w:after="80" w:line="240" w:lineRule="auto"/>
        <w:jc w:val="left"/>
      </w:pPr>
      <w:r>
        <w:rPr>
          <w:rFonts w:ascii="Times New Roman" w:hAnsi="Times New Roman"/>
          <w:b/>
          <w:i w:val="0"/>
          <w:sz w:val="24"/>
        </w:rPr>
        <w:t>3.5 UML and Interaction Design</w:t>
      </w:r>
    </w:p>
    <w:p>
      <w:pPr>
        <w:spacing w:before="0" w:after="80" w:line="264" w:lineRule="auto"/>
        <w:jc w:val="both"/>
      </w:pPr>
      <w:r>
        <w:rPr>
          <w:rFonts w:ascii="Times New Roman" w:hAnsi="Times New Roman"/>
          <w:b w:val="0"/>
          <w:i w:val="0"/>
          <w:sz w:val="24"/>
        </w:rPr>
        <w:t>The following diagrams summarize how users interact with HeartGuard and how the system components cooperate to turn health inputs into saved preventive insights.</w:t>
      </w:r>
    </w:p>
    <w:p>
      <w:pPr>
        <w:spacing w:before="80" w:after="40"/>
        <w:jc w:val="center"/>
      </w:pPr>
      <w:r>
        <w:drawing>
          <wp:inline xmlns:a="http://schemas.openxmlformats.org/drawingml/2006/main" xmlns:pic="http://schemas.openxmlformats.org/drawingml/2006/picture">
            <wp:extent cx="5852160" cy="3364992"/>
            <wp:docPr id="5" name="Picture 5"/>
            <wp:cNvGraphicFramePr>
              <a:graphicFrameLocks noChangeAspect="1"/>
            </wp:cNvGraphicFramePr>
            <a:graphic>
              <a:graphicData uri="http://schemas.openxmlformats.org/drawingml/2006/picture">
                <pic:pic>
                  <pic:nvPicPr>
                    <pic:cNvPr id="0" name="fig_3_3_use_case.png"/>
                    <pic:cNvPicPr/>
                  </pic:nvPicPr>
                  <pic:blipFill>
                    <a:blip r:embed="rId13"/>
                    <a:stretch>
                      <a:fillRect/>
                    </a:stretch>
                  </pic:blipFill>
                  <pic:spPr>
                    <a:xfrm>
                      <a:off x="0" y="0"/>
                      <a:ext cx="5852160" cy="3364992"/>
                    </a:xfrm>
                    <a:prstGeom prst="rect"/>
                  </pic:spPr>
                </pic:pic>
              </a:graphicData>
            </a:graphic>
          </wp:inline>
        </w:drawing>
      </w:r>
    </w:p>
    <w:p>
      <w:pPr>
        <w:spacing w:before="0" w:after="120" w:line="240" w:lineRule="auto"/>
        <w:jc w:val="center"/>
      </w:pPr>
      <w:r>
        <w:rPr>
          <w:rFonts w:ascii="Times New Roman" w:hAnsi="Times New Roman"/>
          <w:b w:val="0"/>
          <w:i w:val="0"/>
          <w:sz w:val="20"/>
        </w:rPr>
        <w:t>Figure 3.3 Use Case Diagram of HeartGuard System</w:t>
      </w:r>
    </w:p>
    <w:p>
      <w:pPr>
        <w:spacing w:before="80" w:after="40"/>
        <w:jc w:val="center"/>
      </w:pPr>
      <w:r>
        <w:drawing>
          <wp:inline xmlns:a="http://schemas.openxmlformats.org/drawingml/2006/main" xmlns:pic="http://schemas.openxmlformats.org/drawingml/2006/picture">
            <wp:extent cx="5715000" cy="3733800"/>
            <wp:docPr id="6" name="Picture 6"/>
            <wp:cNvGraphicFramePr>
              <a:graphicFrameLocks noChangeAspect="1"/>
            </wp:cNvGraphicFramePr>
            <a:graphic>
              <a:graphicData uri="http://schemas.openxmlformats.org/drawingml/2006/picture">
                <pic:pic>
                  <pic:nvPicPr>
                    <pic:cNvPr id="0" name="fig_3_4_activity.png"/>
                    <pic:cNvPicPr/>
                  </pic:nvPicPr>
                  <pic:blipFill>
                    <a:blip r:embed="rId14"/>
                    <a:stretch>
                      <a:fillRect/>
                    </a:stretch>
                  </pic:blipFill>
                  <pic:spPr>
                    <a:xfrm>
                      <a:off x="0" y="0"/>
                      <a:ext cx="5715000" cy="3733800"/>
                    </a:xfrm>
                    <a:prstGeom prst="rect"/>
                  </pic:spPr>
                </pic:pic>
              </a:graphicData>
            </a:graphic>
          </wp:inline>
        </w:drawing>
      </w:r>
    </w:p>
    <w:p>
      <w:pPr>
        <w:spacing w:before="0" w:after="120" w:line="240" w:lineRule="auto"/>
        <w:jc w:val="center"/>
      </w:pPr>
      <w:r>
        <w:rPr>
          <w:rFonts w:ascii="Times New Roman" w:hAnsi="Times New Roman"/>
          <w:b w:val="0"/>
          <w:i w:val="0"/>
          <w:sz w:val="20"/>
        </w:rPr>
        <w:t>Figure 3.4 Activity Diagram of HeartGuard System</w:t>
      </w:r>
    </w:p>
    <w:p>
      <w:pPr>
        <w:spacing w:before="80" w:after="40"/>
        <w:jc w:val="center"/>
      </w:pPr>
      <w:r>
        <w:drawing>
          <wp:inline xmlns:a="http://schemas.openxmlformats.org/drawingml/2006/main" xmlns:pic="http://schemas.openxmlformats.org/drawingml/2006/picture">
            <wp:extent cx="5852160" cy="3438144"/>
            <wp:docPr id="7" name="Picture 7"/>
            <wp:cNvGraphicFramePr>
              <a:graphicFrameLocks noChangeAspect="1"/>
            </wp:cNvGraphicFramePr>
            <a:graphic>
              <a:graphicData uri="http://schemas.openxmlformats.org/drawingml/2006/picture">
                <pic:pic>
                  <pic:nvPicPr>
                    <pic:cNvPr id="0" name="fig_3_5_class_diagram.png"/>
                    <pic:cNvPicPr/>
                  </pic:nvPicPr>
                  <pic:blipFill>
                    <a:blip r:embed="rId15"/>
                    <a:stretch>
                      <a:fillRect/>
                    </a:stretch>
                  </pic:blipFill>
                  <pic:spPr>
                    <a:xfrm>
                      <a:off x="0" y="0"/>
                      <a:ext cx="5852160" cy="3438144"/>
                    </a:xfrm>
                    <a:prstGeom prst="rect"/>
                  </pic:spPr>
                </pic:pic>
              </a:graphicData>
            </a:graphic>
          </wp:inline>
        </w:drawing>
      </w:r>
    </w:p>
    <w:p>
      <w:pPr>
        <w:spacing w:before="0" w:after="120" w:line="240" w:lineRule="auto"/>
        <w:jc w:val="center"/>
      </w:pPr>
      <w:r>
        <w:rPr>
          <w:rFonts w:ascii="Times New Roman" w:hAnsi="Times New Roman"/>
          <w:b w:val="0"/>
          <w:i w:val="0"/>
          <w:sz w:val="20"/>
        </w:rPr>
        <w:t>Figure 3.5 Class Diagram of HeartGuard System</w:t>
      </w:r>
    </w:p>
    <w:p>
      <w:pPr>
        <w:spacing w:before="80" w:after="40"/>
        <w:jc w:val="center"/>
      </w:pPr>
      <w:r>
        <w:drawing>
          <wp:inline xmlns:a="http://schemas.openxmlformats.org/drawingml/2006/main" xmlns:pic="http://schemas.openxmlformats.org/drawingml/2006/picture">
            <wp:extent cx="5852160" cy="3474720"/>
            <wp:docPr id="8" name="Picture 8"/>
            <wp:cNvGraphicFramePr>
              <a:graphicFrameLocks noChangeAspect="1"/>
            </wp:cNvGraphicFramePr>
            <a:graphic>
              <a:graphicData uri="http://schemas.openxmlformats.org/drawingml/2006/picture">
                <pic:pic>
                  <pic:nvPicPr>
                    <pic:cNvPr id="0" name="fig_3_6_sequence_diagram.png"/>
                    <pic:cNvPicPr/>
                  </pic:nvPicPr>
                  <pic:blipFill>
                    <a:blip r:embed="rId16"/>
                    <a:stretch>
                      <a:fillRect/>
                    </a:stretch>
                  </pic:blipFill>
                  <pic:spPr>
                    <a:xfrm>
                      <a:off x="0" y="0"/>
                      <a:ext cx="5852160" cy="3474720"/>
                    </a:xfrm>
                    <a:prstGeom prst="rect"/>
                  </pic:spPr>
                </pic:pic>
              </a:graphicData>
            </a:graphic>
          </wp:inline>
        </w:drawing>
      </w:r>
    </w:p>
    <w:p>
      <w:pPr>
        <w:spacing w:before="0" w:after="120" w:line="240" w:lineRule="auto"/>
        <w:jc w:val="center"/>
      </w:pPr>
      <w:r>
        <w:rPr>
          <w:rFonts w:ascii="Times New Roman" w:hAnsi="Times New Roman"/>
          <w:b w:val="0"/>
          <w:i w:val="0"/>
          <w:sz w:val="20"/>
        </w:rPr>
        <w:t>Figure 3.6 Sequence Diagram of HeartGuard System</w:t>
      </w:r>
    </w:p>
    <w:p>
      <w:pPr>
        <w:spacing w:before="80" w:after="80" w:line="240" w:lineRule="auto"/>
        <w:jc w:val="left"/>
      </w:pPr>
      <w:r>
        <w:rPr>
          <w:rFonts w:ascii="Times New Roman" w:hAnsi="Times New Roman"/>
          <w:b/>
          <w:i w:val="0"/>
          <w:sz w:val="24"/>
        </w:rPr>
        <w:t>3.6 Mathematical and Scoring Model</w:t>
      </w:r>
    </w:p>
    <w:p>
      <w:pPr>
        <w:spacing w:before="0" w:after="80" w:line="264" w:lineRule="auto"/>
        <w:jc w:val="both"/>
      </w:pPr>
      <w:r>
        <w:rPr>
          <w:rFonts w:ascii="Times New Roman" w:hAnsi="Times New Roman"/>
          <w:b w:val="0"/>
          <w:i w:val="0"/>
          <w:sz w:val="24"/>
        </w:rPr>
        <w:t>The deployed predictor uses a weighted scoring model. Each supported field contributes a clinically motivated factor score and a corresponding weight. The aggregate risk percentage is computed from the weighted average of all supplied variables, and a confidence score is then estimated from feature coverage and signal strength. This approach offers two advantages: the interface remains usable when only partial data are available, and the result is easier to explain than a hidden black-box probability.</w:t>
      </w:r>
    </w:p>
    <w:p>
      <w:pPr>
        <w:spacing w:before="0" w:after="80" w:line="264" w:lineRule="auto"/>
        <w:jc w:val="both"/>
      </w:pPr>
      <w:r>
        <w:rPr>
          <w:rFonts w:ascii="Times New Roman" w:hAnsi="Times New Roman"/>
          <w:b w:val="0"/>
          <w:i w:val="0"/>
          <w:sz w:val="24"/>
        </w:rPr>
        <w:t>In parallel, the repository also stores notebook-based supervised learning experiments and serialized model artifacts for datasets such as Framingham, heart failure, cardio, diabetes, and a master dataset. This makes the design extensible: the present workflow is explainable and educational, while future versions can reconnect the web interface to more advanced validated model-serving pipelines.</w:t>
      </w:r>
    </w:p>
    <w:p>
      <w:pPr>
        <w:spacing w:before="80" w:after="80" w:line="240" w:lineRule="auto"/>
        <w:jc w:val="left"/>
      </w:pPr>
      <w:r>
        <w:rPr>
          <w:rFonts w:ascii="Times New Roman" w:hAnsi="Times New Roman"/>
          <w:b/>
          <w:i w:val="0"/>
          <w:sz w:val="24"/>
        </w:rPr>
        <w:t>3.7 Design Considerations</w:t>
      </w:r>
    </w:p>
    <w:p>
      <w:pPr>
        <w:spacing w:before="0" w:after="80" w:line="264" w:lineRule="auto"/>
        <w:jc w:val="both"/>
      </w:pPr>
      <w:r>
        <w:rPr>
          <w:rFonts w:ascii="Times New Roman" w:hAnsi="Times New Roman"/>
          <w:b w:val="0"/>
          <w:i w:val="0"/>
          <w:sz w:val="24"/>
        </w:rPr>
        <w:t>Several design decisions shaped the final HeartGuard prototype. First, the project chooses explainability over hidden complexity at deployment time, which is why weighted scoring remains the live interface while notebook-based models remain available as research assets. Second, continuity was treated as a core requirement rather than an optional enhancement, leading to workbook history, dashboard recovery, and module reuse from the latest prediction.</w:t>
      </w:r>
    </w:p>
    <w:p>
      <w:pPr>
        <w:spacing w:before="0" w:after="80" w:line="264" w:lineRule="auto"/>
        <w:jc w:val="both"/>
      </w:pPr>
      <w:r>
        <w:rPr>
          <w:rFonts w:ascii="Times New Roman" w:hAnsi="Times New Roman"/>
          <w:b w:val="0"/>
          <w:i w:val="0"/>
          <w:sz w:val="24"/>
        </w:rPr>
        <w:t>Third, the user experience was intentionally broadened beyond a single prediction page. The surrounding modules for diet, monitoring, mood, medications, community support, and chatbot assistance reflect the idea that readmission-aware care should connect risk insight to daily preventive action. Finally, the design keeps its deployment limitations visible, particularly around workbook persistence and the lack of role-based security, so that the system is interpreted honestly during academic review.</w:t>
      </w:r>
    </w:p>
    <w:p>
      <w:pPr>
        <w:spacing w:before="0" w:after="40" w:line="240" w:lineRule="auto"/>
        <w:jc w:val="left"/>
      </w:pPr>
      <w:r>
        <w:rPr>
          <w:rFonts w:ascii="Times New Roman" w:hAnsi="Times New Roman"/>
          <w:b w:val="0"/>
          <w:i w:val="0"/>
          <w:sz w:val="24"/>
        </w:rPr>
        <w:t>- Modularity enables future migration from workbook persistence to a relational database.</w:t>
      </w:r>
    </w:p>
    <w:p>
      <w:pPr>
        <w:spacing w:before="0" w:after="40" w:line="240" w:lineRule="auto"/>
        <w:jc w:val="left"/>
      </w:pPr>
      <w:r>
        <w:rPr>
          <w:rFonts w:ascii="Times New Roman" w:hAnsi="Times New Roman"/>
          <w:b w:val="0"/>
          <w:i w:val="0"/>
          <w:sz w:val="24"/>
        </w:rPr>
        <w:t>- API-based separation allows the frontend to evolve independently from model-serving changes.</w:t>
      </w:r>
    </w:p>
    <w:p>
      <w:pPr>
        <w:spacing w:before="0" w:after="40" w:line="240" w:lineRule="auto"/>
        <w:jc w:val="left"/>
      </w:pPr>
      <w:r>
        <w:rPr>
          <w:rFonts w:ascii="Times New Roman" w:hAnsi="Times New Roman"/>
          <w:b w:val="0"/>
          <w:i w:val="0"/>
          <w:sz w:val="24"/>
        </w:rPr>
        <w:t>- Local support modules demonstrate continuity even before clinical integration is available.</w:t>
      </w:r>
    </w:p>
    <w:p>
      <w:pPr>
        <w:spacing w:before="80" w:after="80" w:line="240" w:lineRule="auto"/>
        <w:jc w:val="left"/>
      </w:pPr>
      <w:r>
        <w:rPr>
          <w:rFonts w:ascii="Times New Roman" w:hAnsi="Times New Roman"/>
          <w:b/>
          <w:i w:val="0"/>
          <w:sz w:val="24"/>
        </w:rPr>
        <w:t>3.8 Requirements Traceability</w:t>
      </w:r>
    </w:p>
    <w:p>
      <w:pPr>
        <w:spacing w:before="0" w:after="80" w:line="264" w:lineRule="auto"/>
        <w:jc w:val="both"/>
      </w:pPr>
      <w:r>
        <w:rPr>
          <w:rFonts w:ascii="Times New Roman" w:hAnsi="Times New Roman"/>
          <w:b w:val="0"/>
          <w:i w:val="0"/>
          <w:sz w:val="24"/>
        </w:rPr>
        <w:t>Table 3.3 links key design expectations to the architectural elements that were selected in the final prototype. This traceability view helps academic reviewers see that the observed implementation choices are not arbitrary additions, but responses to concrete project needs.</w:t>
      </w:r>
    </w:p>
    <w:p>
      <w:pPr>
        <w:spacing w:before="0" w:after="80" w:line="240" w:lineRule="auto"/>
        <w:jc w:val="center"/>
      </w:pPr>
      <w:r>
        <w:rPr>
          <w:rFonts w:ascii="Times New Roman" w:hAnsi="Times New Roman"/>
          <w:b w:val="0"/>
          <w:i w:val="0"/>
          <w:sz w:val="22"/>
        </w:rPr>
        <w:t>Table 3.3 Design Goal to Solution Mapping</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2304"/>
            <w:vAlign w:val="center"/>
          </w:tcPr>
          <w:p>
            <w:pPr>
              <w:spacing w:before="0" w:after="0" w:line="240" w:lineRule="auto"/>
              <w:jc w:val="center"/>
            </w:pPr>
            <w:r>
              <w:rPr>
                <w:rFonts w:ascii="Times New Roman" w:hAnsi="Times New Roman"/>
                <w:b/>
                <w:i w:val="0"/>
                <w:sz w:val="20"/>
              </w:rPr>
              <w:t>Design goal</w:t>
            </w:r>
          </w:p>
        </w:tc>
        <w:tc>
          <w:tcPr>
            <w:tcW w:type="dxa" w:w="2880"/>
            <w:vAlign w:val="center"/>
          </w:tcPr>
          <w:p>
            <w:pPr>
              <w:spacing w:before="0" w:after="0" w:line="240" w:lineRule="auto"/>
              <w:jc w:val="center"/>
            </w:pPr>
            <w:r>
              <w:rPr>
                <w:rFonts w:ascii="Times New Roman" w:hAnsi="Times New Roman"/>
                <w:b/>
                <w:i w:val="0"/>
                <w:sz w:val="20"/>
              </w:rPr>
              <w:t>Observed need</w:t>
            </w:r>
          </w:p>
        </w:tc>
        <w:tc>
          <w:tcPr>
            <w:tcW w:type="dxa" w:w="4176"/>
            <w:vAlign w:val="center"/>
          </w:tcPr>
          <w:p>
            <w:pPr>
              <w:spacing w:before="0" w:after="0" w:line="240" w:lineRule="auto"/>
              <w:jc w:val="center"/>
            </w:pPr>
            <w:r>
              <w:rPr>
                <w:rFonts w:ascii="Times New Roman" w:hAnsi="Times New Roman"/>
                <w:b/>
                <w:i w:val="0"/>
                <w:sz w:val="20"/>
              </w:rPr>
              <w:t>Implemented response</w:t>
            </w:r>
          </w:p>
        </w:tc>
      </w:tr>
      <w:tr>
        <w:tc>
          <w:tcPr>
            <w:tcW w:type="dxa" w:w="3081"/>
            <w:vAlign w:val="center"/>
          </w:tcPr>
          <w:p>
            <w:pPr>
              <w:spacing w:before="0" w:after="0" w:line="240" w:lineRule="auto"/>
              <w:jc w:val="left"/>
            </w:pPr>
            <w:r>
              <w:rPr>
                <w:rFonts w:ascii="Times New Roman" w:hAnsi="Times New Roman"/>
                <w:b w:val="0"/>
                <w:i w:val="0"/>
                <w:sz w:val="20"/>
              </w:rPr>
              <w:t>Early risk visibility</w:t>
            </w:r>
          </w:p>
        </w:tc>
        <w:tc>
          <w:tcPr>
            <w:tcW w:type="dxa" w:w="3081"/>
            <w:vAlign w:val="center"/>
          </w:tcPr>
          <w:p>
            <w:pPr>
              <w:spacing w:before="0" w:after="0" w:line="240" w:lineRule="auto"/>
              <w:jc w:val="center"/>
            </w:pPr>
            <w:r>
              <w:rPr>
                <w:rFonts w:ascii="Times New Roman" w:hAnsi="Times New Roman"/>
                <w:b w:val="0"/>
                <w:i w:val="0"/>
                <w:sz w:val="20"/>
              </w:rPr>
              <w:t>Patients need a quick, understandable indication of concern</w:t>
            </w:r>
          </w:p>
        </w:tc>
        <w:tc>
          <w:tcPr>
            <w:tcW w:type="dxa" w:w="3081"/>
            <w:vAlign w:val="center"/>
          </w:tcPr>
          <w:p>
            <w:pPr>
              <w:spacing w:before="0" w:after="0" w:line="240" w:lineRule="auto"/>
              <w:jc w:val="left"/>
            </w:pPr>
            <w:r>
              <w:rPr>
                <w:rFonts w:ascii="Times New Roman" w:hAnsi="Times New Roman"/>
                <w:b w:val="0"/>
                <w:i w:val="0"/>
                <w:sz w:val="20"/>
              </w:rPr>
              <w:t>Weighted scoring model returns risk, label, confidence, and explanation-ready inputs</w:t>
            </w:r>
          </w:p>
        </w:tc>
      </w:tr>
      <w:tr>
        <w:tc>
          <w:tcPr>
            <w:tcW w:type="dxa" w:w="3081"/>
            <w:vAlign w:val="center"/>
          </w:tcPr>
          <w:p>
            <w:pPr>
              <w:spacing w:before="0" w:after="0" w:line="240" w:lineRule="auto"/>
              <w:jc w:val="left"/>
            </w:pPr>
            <w:r>
              <w:rPr>
                <w:rFonts w:ascii="Times New Roman" w:hAnsi="Times New Roman"/>
                <w:b w:val="0"/>
                <w:i w:val="0"/>
                <w:sz w:val="20"/>
              </w:rPr>
              <w:t>Continuity of care</w:t>
            </w:r>
          </w:p>
        </w:tc>
        <w:tc>
          <w:tcPr>
            <w:tcW w:type="dxa" w:w="3081"/>
            <w:vAlign w:val="center"/>
          </w:tcPr>
          <w:p>
            <w:pPr>
              <w:spacing w:before="0" w:after="0" w:line="240" w:lineRule="auto"/>
              <w:jc w:val="center"/>
            </w:pPr>
            <w:r>
              <w:rPr>
                <w:rFonts w:ascii="Times New Roman" w:hAnsi="Times New Roman"/>
                <w:b w:val="0"/>
                <w:i w:val="0"/>
                <w:sz w:val="20"/>
              </w:rPr>
              <w:t>Users should not lose context after one prediction</w:t>
            </w:r>
          </w:p>
        </w:tc>
        <w:tc>
          <w:tcPr>
            <w:tcW w:type="dxa" w:w="3081"/>
            <w:vAlign w:val="center"/>
          </w:tcPr>
          <w:p>
            <w:pPr>
              <w:spacing w:before="0" w:after="0" w:line="240" w:lineRule="auto"/>
              <w:jc w:val="left"/>
            </w:pPr>
            <w:r>
              <w:rPr>
                <w:rFonts w:ascii="Times New Roman" w:hAnsi="Times New Roman"/>
                <w:b w:val="0"/>
                <w:i w:val="0"/>
                <w:sz w:val="20"/>
              </w:rPr>
              <w:t>Workbook-backed history and dashboard recovery preserve recent assessments</w:t>
            </w:r>
          </w:p>
        </w:tc>
      </w:tr>
      <w:tr>
        <w:tc>
          <w:tcPr>
            <w:tcW w:type="dxa" w:w="3081"/>
            <w:vAlign w:val="center"/>
          </w:tcPr>
          <w:p>
            <w:pPr>
              <w:spacing w:before="0" w:after="0" w:line="240" w:lineRule="auto"/>
              <w:jc w:val="left"/>
            </w:pPr>
            <w:r>
              <w:rPr>
                <w:rFonts w:ascii="Times New Roman" w:hAnsi="Times New Roman"/>
                <w:b w:val="0"/>
                <w:i w:val="0"/>
                <w:sz w:val="20"/>
              </w:rPr>
              <w:t>Preventive actionability</w:t>
            </w:r>
          </w:p>
        </w:tc>
        <w:tc>
          <w:tcPr>
            <w:tcW w:type="dxa" w:w="3081"/>
            <w:vAlign w:val="center"/>
          </w:tcPr>
          <w:p>
            <w:pPr>
              <w:spacing w:before="0" w:after="0" w:line="240" w:lineRule="auto"/>
              <w:jc w:val="center"/>
            </w:pPr>
            <w:r>
              <w:rPr>
                <w:rFonts w:ascii="Times New Roman" w:hAnsi="Times New Roman"/>
                <w:b w:val="0"/>
                <w:i w:val="0"/>
                <w:sz w:val="20"/>
              </w:rPr>
              <w:t>Prediction alone is insufficient for lifestyle support</w:t>
            </w:r>
          </w:p>
        </w:tc>
        <w:tc>
          <w:tcPr>
            <w:tcW w:type="dxa" w:w="3081"/>
            <w:vAlign w:val="center"/>
          </w:tcPr>
          <w:p>
            <w:pPr>
              <w:spacing w:before="0" w:after="0" w:line="240" w:lineRule="auto"/>
              <w:jc w:val="left"/>
            </w:pPr>
            <w:r>
              <w:rPr>
                <w:rFonts w:ascii="Times New Roman" w:hAnsi="Times New Roman"/>
                <w:b w:val="0"/>
                <w:i w:val="0"/>
                <w:sz w:val="20"/>
              </w:rPr>
              <w:t>Diet, monitoring, mood, medications, and chatbot modules extend post-result engagement</w:t>
            </w:r>
          </w:p>
        </w:tc>
      </w:tr>
      <w:tr>
        <w:tc>
          <w:tcPr>
            <w:tcW w:type="dxa" w:w="3081"/>
            <w:vAlign w:val="center"/>
          </w:tcPr>
          <w:p>
            <w:pPr>
              <w:spacing w:before="0" w:after="0" w:line="240" w:lineRule="auto"/>
              <w:jc w:val="left"/>
            </w:pPr>
            <w:r>
              <w:rPr>
                <w:rFonts w:ascii="Times New Roman" w:hAnsi="Times New Roman"/>
                <w:b w:val="0"/>
                <w:i w:val="0"/>
                <w:sz w:val="20"/>
              </w:rPr>
              <w:t>Low-cost deployment</w:t>
            </w:r>
          </w:p>
        </w:tc>
        <w:tc>
          <w:tcPr>
            <w:tcW w:type="dxa" w:w="3081"/>
            <w:vAlign w:val="center"/>
          </w:tcPr>
          <w:p>
            <w:pPr>
              <w:spacing w:before="0" w:after="0" w:line="240" w:lineRule="auto"/>
              <w:jc w:val="center"/>
            </w:pPr>
            <w:r>
              <w:rPr>
                <w:rFonts w:ascii="Times New Roman" w:hAnsi="Times New Roman"/>
                <w:b w:val="0"/>
                <w:i w:val="0"/>
                <w:sz w:val="20"/>
              </w:rPr>
              <w:t>Prototype should run on modest academic infrastructure</w:t>
            </w:r>
          </w:p>
        </w:tc>
        <w:tc>
          <w:tcPr>
            <w:tcW w:type="dxa" w:w="3081"/>
            <w:vAlign w:val="center"/>
          </w:tcPr>
          <w:p>
            <w:pPr>
              <w:spacing w:before="0" w:after="0" w:line="240" w:lineRule="auto"/>
              <w:jc w:val="left"/>
            </w:pPr>
            <w:r>
              <w:rPr>
                <w:rFonts w:ascii="Times New Roman" w:hAnsi="Times New Roman"/>
                <w:b w:val="0"/>
                <w:i w:val="0"/>
                <w:sz w:val="20"/>
              </w:rPr>
              <w:t>FastAPI, static frontend, and minimal dependencies reduce operational overhead</w:t>
            </w:r>
          </w:p>
        </w:tc>
      </w:tr>
    </w:tbl>
    <w:p>
      <w:pPr>
        <w:spacing w:before="0" w:after="20" w:line="240" w:lineRule="auto"/>
        <w:jc w:val="both"/>
      </w:pPr>
    </w:p>
    <w:p>
      <w:r>
        <w:br w:type="page"/>
      </w:r>
    </w:p>
    <w:p>
      <w:pPr>
        <w:spacing w:before="160" w:after="80" w:line="240" w:lineRule="auto"/>
        <w:jc w:val="center"/>
      </w:pPr>
      <w:r>
        <w:rPr>
          <w:rFonts w:ascii="Times New Roman" w:hAnsi="Times New Roman"/>
          <w:b/>
          <w:i w:val="0"/>
          <w:sz w:val="28"/>
        </w:rPr>
        <w:t>CHAPTER 4</w:t>
      </w:r>
    </w:p>
    <w:p>
      <w:pPr>
        <w:spacing w:before="0" w:after="200" w:line="240" w:lineRule="auto"/>
        <w:jc w:val="center"/>
      </w:pPr>
      <w:r>
        <w:rPr>
          <w:rFonts w:ascii="Times New Roman" w:hAnsi="Times New Roman"/>
          <w:b/>
          <w:i w:val="0"/>
          <w:sz w:val="28"/>
        </w:rPr>
        <w:t>IMPLEMENTATION AND CODING</w:t>
      </w:r>
    </w:p>
    <w:p>
      <w:pPr>
        <w:spacing w:before="80" w:after="80" w:line="240" w:lineRule="auto"/>
        <w:jc w:val="left"/>
      </w:pPr>
      <w:r>
        <w:rPr>
          <w:rFonts w:ascii="Times New Roman" w:hAnsi="Times New Roman"/>
          <w:b/>
          <w:i w:val="0"/>
          <w:sz w:val="24"/>
        </w:rPr>
        <w:t>4.1 Frontend Implementation</w:t>
      </w:r>
    </w:p>
    <w:p>
      <w:pPr>
        <w:spacing w:before="0" w:after="80" w:line="264" w:lineRule="auto"/>
        <w:jc w:val="both"/>
      </w:pPr>
      <w:r>
        <w:rPr>
          <w:rFonts w:ascii="Times New Roman" w:hAnsi="Times New Roman"/>
          <w:b w:val="0"/>
          <w:i w:val="0"/>
          <w:sz w:val="24"/>
        </w:rPr>
        <w:t>The HeartGuard frontend is implemented with modular HTML, CSS, and JavaScript pages. The landing page introduces the platform as an AI health system, while the prediction, dashboard, diet, chatbot, mood, monitoring, medications, breathing, community, quiz, and SOS pages extend the platform into a broader wellness workflow.</w:t>
      </w:r>
    </w:p>
    <w:p>
      <w:pPr>
        <w:spacing w:before="0" w:after="80" w:line="264" w:lineRule="auto"/>
        <w:jc w:val="both"/>
      </w:pPr>
      <w:r>
        <w:rPr>
          <w:rFonts w:ascii="Times New Roman" w:hAnsi="Times New Roman"/>
          <w:b w:val="0"/>
          <w:i w:val="0"/>
          <w:sz w:val="24"/>
        </w:rPr>
        <w:t>Navigation is handled through consistent sidebar structures across the core pages, which helps users move from one support module to another without losing context. The dashboard uses Chart.js visualizations to summarize recent prediction history, risk distribution, streak information, and patient-facing care notes. The monitoring and mood pages store day-to-day values in browser localStorage, while the diet page adapts meal plans to the latest prediction profile.</w:t>
      </w:r>
    </w:p>
    <w:p>
      <w:pPr>
        <w:spacing w:before="80" w:after="80" w:line="240" w:lineRule="auto"/>
        <w:jc w:val="left"/>
      </w:pPr>
      <w:r>
        <w:rPr>
          <w:rFonts w:ascii="Times New Roman" w:hAnsi="Times New Roman"/>
          <w:b/>
          <w:i w:val="0"/>
          <w:sz w:val="24"/>
        </w:rPr>
        <w:t>4.2 Backend Implementation</w:t>
      </w:r>
    </w:p>
    <w:p>
      <w:pPr>
        <w:spacing w:before="0" w:after="80" w:line="264" w:lineRule="auto"/>
        <w:jc w:val="both"/>
      </w:pPr>
      <w:r>
        <w:rPr>
          <w:rFonts w:ascii="Times New Roman" w:hAnsi="Times New Roman"/>
          <w:b w:val="0"/>
          <w:i w:val="0"/>
          <w:sz w:val="24"/>
        </w:rPr>
        <w:t>The backend is built with FastAPI and a lightweight set of dependencies: FastAPI, Uvicorn, OpenPyXL, and Pydantic. The backend serves health, prediction, history, and chatbot endpoints, and it also mounts the frontend for browser access.</w:t>
      </w:r>
    </w:p>
    <w:p>
      <w:pPr>
        <w:spacing w:before="0" w:after="80" w:line="240" w:lineRule="auto"/>
        <w:jc w:val="center"/>
      </w:pPr>
      <w:r>
        <w:rPr>
          <w:rFonts w:ascii="Times New Roman" w:hAnsi="Times New Roman"/>
          <w:b w:val="0"/>
          <w:i w:val="0"/>
          <w:sz w:val="22"/>
        </w:rPr>
        <w:t>Table 4.1 Backend Endpoints and Responsibilities</w:t>
      </w:r>
    </w:p>
    <w:tbl>
      <w:tblPr>
        <w:tblStyle w:val="TableGrid"/>
        <w:tblW w:type="auto" w:w="0"/>
        <w:jc w:val="center"/>
        <w:tblLayout w:type="fixed"/>
        <w:tblLook w:firstColumn="1" w:firstRow="1" w:lastColumn="0" w:lastRow="0" w:noHBand="0" w:noVBand="1" w:val="04A0"/>
      </w:tblPr>
      <w:tblGrid>
        <w:gridCol w:w="2310"/>
        <w:gridCol w:w="2310"/>
        <w:gridCol w:w="2310"/>
        <w:gridCol w:w="2310"/>
      </w:tblGrid>
      <w:tr>
        <w:tc>
          <w:tcPr>
            <w:tcW w:type="dxa" w:w="1872"/>
            <w:vAlign w:val="center"/>
          </w:tcPr>
          <w:p>
            <w:pPr>
              <w:spacing w:before="0" w:after="0" w:line="240" w:lineRule="auto"/>
              <w:jc w:val="center"/>
            </w:pPr>
            <w:r>
              <w:rPr>
                <w:rFonts w:ascii="Times New Roman" w:hAnsi="Times New Roman"/>
                <w:b/>
                <w:i w:val="0"/>
                <w:sz w:val="20"/>
              </w:rPr>
              <w:t>Endpoint</w:t>
            </w:r>
          </w:p>
        </w:tc>
        <w:tc>
          <w:tcPr>
            <w:tcW w:type="dxa" w:w="1152"/>
            <w:vAlign w:val="center"/>
          </w:tcPr>
          <w:p>
            <w:pPr>
              <w:spacing w:before="0" w:after="0" w:line="240" w:lineRule="auto"/>
              <w:jc w:val="center"/>
            </w:pPr>
            <w:r>
              <w:rPr>
                <w:rFonts w:ascii="Times New Roman" w:hAnsi="Times New Roman"/>
                <w:b/>
                <w:i w:val="0"/>
                <w:sz w:val="20"/>
              </w:rPr>
              <w:t>Method</w:t>
            </w:r>
          </w:p>
        </w:tc>
        <w:tc>
          <w:tcPr>
            <w:tcW w:type="dxa" w:w="2880"/>
            <w:vAlign w:val="center"/>
          </w:tcPr>
          <w:p>
            <w:pPr>
              <w:spacing w:before="0" w:after="0" w:line="240" w:lineRule="auto"/>
              <w:jc w:val="center"/>
            </w:pPr>
            <w:r>
              <w:rPr>
                <w:rFonts w:ascii="Times New Roman" w:hAnsi="Times New Roman"/>
                <w:b/>
                <w:i w:val="0"/>
                <w:sz w:val="20"/>
              </w:rPr>
              <w:t>Purpose</w:t>
            </w:r>
          </w:p>
        </w:tc>
        <w:tc>
          <w:tcPr>
            <w:tcW w:type="dxa" w:w="3456"/>
            <w:vAlign w:val="center"/>
          </w:tcPr>
          <w:p>
            <w:pPr>
              <w:spacing w:before="0" w:after="0" w:line="240" w:lineRule="auto"/>
              <w:jc w:val="center"/>
            </w:pPr>
            <w:r>
              <w:rPr>
                <w:rFonts w:ascii="Times New Roman" w:hAnsi="Times New Roman"/>
                <w:b/>
                <w:i w:val="0"/>
                <w:sz w:val="20"/>
              </w:rPr>
              <w:t>Observed implementation</w:t>
            </w:r>
          </w:p>
        </w:tc>
      </w:tr>
      <w:tr>
        <w:tc>
          <w:tcPr>
            <w:tcW w:type="dxa" w:w="2310"/>
            <w:vAlign w:val="center"/>
          </w:tcPr>
          <w:p>
            <w:pPr>
              <w:spacing w:before="0" w:after="0" w:line="240" w:lineRule="auto"/>
              <w:jc w:val="left"/>
            </w:pPr>
            <w:r>
              <w:rPr>
                <w:rFonts w:ascii="Times New Roman" w:hAnsi="Times New Roman"/>
                <w:b w:val="0"/>
                <w:i w:val="0"/>
                <w:sz w:val="20"/>
              </w:rPr>
              <w:t>/api/health</w:t>
            </w:r>
          </w:p>
        </w:tc>
        <w:tc>
          <w:tcPr>
            <w:tcW w:type="dxa" w:w="2310"/>
            <w:vAlign w:val="center"/>
          </w:tcPr>
          <w:p>
            <w:pPr>
              <w:spacing w:before="0" w:after="0" w:line="240" w:lineRule="auto"/>
              <w:jc w:val="center"/>
            </w:pPr>
            <w:r>
              <w:rPr>
                <w:rFonts w:ascii="Times New Roman" w:hAnsi="Times New Roman"/>
                <w:b w:val="0"/>
                <w:i w:val="0"/>
                <w:sz w:val="20"/>
              </w:rPr>
              <w:t>GET</w:t>
            </w:r>
          </w:p>
        </w:tc>
        <w:tc>
          <w:tcPr>
            <w:tcW w:type="dxa" w:w="2310"/>
            <w:vAlign w:val="center"/>
          </w:tcPr>
          <w:p>
            <w:pPr>
              <w:spacing w:before="0" w:after="0" w:line="240" w:lineRule="auto"/>
              <w:jc w:val="left"/>
            </w:pPr>
            <w:r>
              <w:rPr>
                <w:rFonts w:ascii="Times New Roman" w:hAnsi="Times New Roman"/>
                <w:b w:val="0"/>
                <w:i w:val="0"/>
                <w:sz w:val="20"/>
              </w:rPr>
              <w:t>Verify backend availability</w:t>
            </w:r>
          </w:p>
        </w:tc>
        <w:tc>
          <w:tcPr>
            <w:tcW w:type="dxa" w:w="2310"/>
            <w:vAlign w:val="center"/>
          </w:tcPr>
          <w:p>
            <w:pPr>
              <w:spacing w:before="0" w:after="0" w:line="240" w:lineRule="auto"/>
              <w:jc w:val="left"/>
            </w:pPr>
            <w:r>
              <w:rPr>
                <w:rFonts w:ascii="Times New Roman" w:hAnsi="Times New Roman"/>
                <w:b w:val="0"/>
                <w:i w:val="0"/>
                <w:sz w:val="20"/>
              </w:rPr>
              <w:t>Returns HeartGuard API status message</w:t>
            </w:r>
          </w:p>
        </w:tc>
      </w:tr>
      <w:tr>
        <w:tc>
          <w:tcPr>
            <w:tcW w:type="dxa" w:w="2310"/>
            <w:vAlign w:val="center"/>
          </w:tcPr>
          <w:p>
            <w:pPr>
              <w:spacing w:before="0" w:after="0" w:line="240" w:lineRule="auto"/>
              <w:jc w:val="left"/>
            </w:pPr>
            <w:r>
              <w:rPr>
                <w:rFonts w:ascii="Times New Roman" w:hAnsi="Times New Roman"/>
                <w:b w:val="0"/>
                <w:i w:val="0"/>
                <w:sz w:val="20"/>
              </w:rPr>
              <w:t>/predict</w:t>
            </w:r>
          </w:p>
        </w:tc>
        <w:tc>
          <w:tcPr>
            <w:tcW w:type="dxa" w:w="2310"/>
            <w:vAlign w:val="center"/>
          </w:tcPr>
          <w:p>
            <w:pPr>
              <w:spacing w:before="0" w:after="0" w:line="240" w:lineRule="auto"/>
              <w:jc w:val="center"/>
            </w:pPr>
            <w:r>
              <w:rPr>
                <w:rFonts w:ascii="Times New Roman" w:hAnsi="Times New Roman"/>
                <w:b w:val="0"/>
                <w:i w:val="0"/>
                <w:sz w:val="20"/>
              </w:rPr>
              <w:t>POST</w:t>
            </w:r>
          </w:p>
        </w:tc>
        <w:tc>
          <w:tcPr>
            <w:tcW w:type="dxa" w:w="2310"/>
            <w:vAlign w:val="center"/>
          </w:tcPr>
          <w:p>
            <w:pPr>
              <w:spacing w:before="0" w:after="0" w:line="240" w:lineRule="auto"/>
              <w:jc w:val="left"/>
            </w:pPr>
            <w:r>
              <w:rPr>
                <w:rFonts w:ascii="Times New Roman" w:hAnsi="Times New Roman"/>
                <w:b w:val="0"/>
                <w:i w:val="0"/>
                <w:sz w:val="20"/>
              </w:rPr>
              <w:t>Compute risk, confidence, label, and save record</w:t>
            </w:r>
          </w:p>
        </w:tc>
        <w:tc>
          <w:tcPr>
            <w:tcW w:type="dxa" w:w="2310"/>
            <w:vAlign w:val="center"/>
          </w:tcPr>
          <w:p>
            <w:pPr>
              <w:spacing w:before="0" w:after="0" w:line="240" w:lineRule="auto"/>
              <w:jc w:val="left"/>
            </w:pPr>
            <w:r>
              <w:rPr>
                <w:rFonts w:ascii="Times New Roman" w:hAnsi="Times New Roman"/>
                <w:b w:val="0"/>
                <w:i w:val="0"/>
                <w:sz w:val="20"/>
              </w:rPr>
              <w:t>Sanitizes payload, scores fields, appends workbook history</w:t>
            </w:r>
          </w:p>
        </w:tc>
      </w:tr>
      <w:tr>
        <w:tc>
          <w:tcPr>
            <w:tcW w:type="dxa" w:w="2310"/>
            <w:vAlign w:val="center"/>
          </w:tcPr>
          <w:p>
            <w:pPr>
              <w:spacing w:before="0" w:after="0" w:line="240" w:lineRule="auto"/>
              <w:jc w:val="left"/>
            </w:pPr>
            <w:r>
              <w:rPr>
                <w:rFonts w:ascii="Times New Roman" w:hAnsi="Times New Roman"/>
                <w:b w:val="0"/>
                <w:i w:val="0"/>
                <w:sz w:val="20"/>
              </w:rPr>
              <w:t>/predictions</w:t>
            </w:r>
          </w:p>
        </w:tc>
        <w:tc>
          <w:tcPr>
            <w:tcW w:type="dxa" w:w="2310"/>
            <w:vAlign w:val="center"/>
          </w:tcPr>
          <w:p>
            <w:pPr>
              <w:spacing w:before="0" w:after="0" w:line="240" w:lineRule="auto"/>
              <w:jc w:val="center"/>
            </w:pPr>
            <w:r>
              <w:rPr>
                <w:rFonts w:ascii="Times New Roman" w:hAnsi="Times New Roman"/>
                <w:b w:val="0"/>
                <w:i w:val="0"/>
                <w:sz w:val="20"/>
              </w:rPr>
              <w:t>GET</w:t>
            </w:r>
          </w:p>
        </w:tc>
        <w:tc>
          <w:tcPr>
            <w:tcW w:type="dxa" w:w="2310"/>
            <w:vAlign w:val="center"/>
          </w:tcPr>
          <w:p>
            <w:pPr>
              <w:spacing w:before="0" w:after="0" w:line="240" w:lineRule="auto"/>
              <w:jc w:val="left"/>
            </w:pPr>
            <w:r>
              <w:rPr>
                <w:rFonts w:ascii="Times New Roman" w:hAnsi="Times New Roman"/>
                <w:b w:val="0"/>
                <w:i w:val="0"/>
                <w:sz w:val="20"/>
              </w:rPr>
              <w:t>Load saved history</w:t>
            </w:r>
          </w:p>
        </w:tc>
        <w:tc>
          <w:tcPr>
            <w:tcW w:type="dxa" w:w="2310"/>
            <w:vAlign w:val="center"/>
          </w:tcPr>
          <w:p>
            <w:pPr>
              <w:spacing w:before="0" w:after="0" w:line="240" w:lineRule="auto"/>
              <w:jc w:val="left"/>
            </w:pPr>
            <w:r>
              <w:rPr>
                <w:rFonts w:ascii="Times New Roman" w:hAnsi="Times New Roman"/>
                <w:b w:val="0"/>
                <w:i w:val="0"/>
                <w:sz w:val="20"/>
              </w:rPr>
              <w:t>Reads Excel workbook and returns items</w:t>
            </w:r>
          </w:p>
        </w:tc>
      </w:tr>
      <w:tr>
        <w:tc>
          <w:tcPr>
            <w:tcW w:type="dxa" w:w="2310"/>
            <w:vAlign w:val="center"/>
          </w:tcPr>
          <w:p>
            <w:pPr>
              <w:spacing w:before="0" w:after="0" w:line="240" w:lineRule="auto"/>
              <w:jc w:val="left"/>
            </w:pPr>
            <w:r>
              <w:rPr>
                <w:rFonts w:ascii="Times New Roman" w:hAnsi="Times New Roman"/>
                <w:b w:val="0"/>
                <w:i w:val="0"/>
                <w:sz w:val="20"/>
              </w:rPr>
              <w:t>/chat</w:t>
            </w:r>
          </w:p>
        </w:tc>
        <w:tc>
          <w:tcPr>
            <w:tcW w:type="dxa" w:w="2310"/>
            <w:vAlign w:val="center"/>
          </w:tcPr>
          <w:p>
            <w:pPr>
              <w:spacing w:before="0" w:after="0" w:line="240" w:lineRule="auto"/>
              <w:jc w:val="center"/>
            </w:pPr>
            <w:r>
              <w:rPr>
                <w:rFonts w:ascii="Times New Roman" w:hAnsi="Times New Roman"/>
                <w:b w:val="0"/>
                <w:i w:val="0"/>
                <w:sz w:val="20"/>
              </w:rPr>
              <w:t>POST</w:t>
            </w:r>
          </w:p>
        </w:tc>
        <w:tc>
          <w:tcPr>
            <w:tcW w:type="dxa" w:w="2310"/>
            <w:vAlign w:val="center"/>
          </w:tcPr>
          <w:p>
            <w:pPr>
              <w:spacing w:before="0" w:after="0" w:line="240" w:lineRule="auto"/>
              <w:jc w:val="left"/>
            </w:pPr>
            <w:r>
              <w:rPr>
                <w:rFonts w:ascii="Times New Roman" w:hAnsi="Times New Roman"/>
                <w:b w:val="0"/>
                <w:i w:val="0"/>
                <w:sz w:val="20"/>
              </w:rPr>
              <w:t>Answer health-support prompts</w:t>
            </w:r>
          </w:p>
        </w:tc>
        <w:tc>
          <w:tcPr>
            <w:tcW w:type="dxa" w:w="2310"/>
            <w:vAlign w:val="center"/>
          </w:tcPr>
          <w:p>
            <w:pPr>
              <w:spacing w:before="0" w:after="0" w:line="240" w:lineRule="auto"/>
              <w:jc w:val="left"/>
            </w:pPr>
            <w:r>
              <w:rPr>
                <w:rFonts w:ascii="Times New Roman" w:hAnsi="Times New Roman"/>
                <w:b w:val="0"/>
                <w:i w:val="0"/>
                <w:sz w:val="20"/>
              </w:rPr>
              <w:t>Routes questions to rule-based response handlers</w:t>
            </w:r>
          </w:p>
        </w:tc>
      </w:tr>
    </w:tbl>
    <w:p>
      <w:pPr>
        <w:spacing w:before="0" w:after="20" w:line="240" w:lineRule="auto"/>
        <w:jc w:val="both"/>
      </w:pPr>
    </w:p>
    <w:p>
      <w:pPr>
        <w:spacing w:before="80" w:after="80" w:line="240" w:lineRule="auto"/>
        <w:jc w:val="left"/>
      </w:pPr>
      <w:r>
        <w:rPr>
          <w:rFonts w:ascii="Times New Roman" w:hAnsi="Times New Roman"/>
          <w:b/>
          <w:i w:val="0"/>
          <w:sz w:val="24"/>
        </w:rPr>
        <w:t>4.3 Data Persistence and Local Support Modules</w:t>
      </w:r>
    </w:p>
    <w:p>
      <w:pPr>
        <w:spacing w:before="0" w:after="80" w:line="264" w:lineRule="auto"/>
        <w:jc w:val="both"/>
      </w:pPr>
      <w:r>
        <w:rPr>
          <w:rFonts w:ascii="Times New Roman" w:hAnsi="Times New Roman"/>
          <w:b w:val="0"/>
          <w:i w:val="0"/>
          <w:sz w:val="24"/>
        </w:rPr>
        <w:t>Prediction history is persisted in an Excel workbook stored under the data/final directory. This choice is intentionally lightweight and transparent for prototype use, allowing saved results to be inspected and reloaded easily. The dashboard consumes this history to avoid blank states after refresh. Several lifestyle modules such as mood tracking, medication management, and vitals monitoring store their entries in browser localStorage, which keeps the interface responsive even without a larger database.</w:t>
      </w:r>
    </w:p>
    <w:p>
      <w:pPr>
        <w:spacing w:before="80" w:after="80" w:line="240" w:lineRule="auto"/>
        <w:jc w:val="left"/>
      </w:pPr>
      <w:r>
        <w:rPr>
          <w:rFonts w:ascii="Times New Roman" w:hAnsi="Times New Roman"/>
          <w:b/>
          <w:i w:val="0"/>
          <w:sz w:val="24"/>
        </w:rPr>
        <w:t>4.4 Exploratory ML Assets and Model Artifacts</w:t>
      </w:r>
    </w:p>
    <w:p>
      <w:pPr>
        <w:spacing w:before="0" w:after="80" w:line="264" w:lineRule="auto"/>
        <w:jc w:val="both"/>
      </w:pPr>
      <w:r>
        <w:rPr>
          <w:rFonts w:ascii="Times New Roman" w:hAnsi="Times New Roman"/>
          <w:b w:val="0"/>
          <w:i w:val="0"/>
          <w:sz w:val="24"/>
        </w:rPr>
        <w:t>The repository contains notebook-based experiments and serialized model artifacts for cardio, diabetes, Framingham, heart failure, and master datasets. The master notebook records exploratory supervised-model performance of accuracy 0.8146 and ROC-AUC 0.8027. These artifacts are important because they preserve the research dimension of the project, even though the deployed prototype currently prioritizes explainable weighted scoring for user-facing interaction.</w:t>
      </w:r>
    </w:p>
    <w:p>
      <w:pPr>
        <w:spacing w:before="0" w:after="80" w:line="264" w:lineRule="auto"/>
        <w:jc w:val="both"/>
      </w:pPr>
      <w:r>
        <w:rPr>
          <w:rFonts w:ascii="Times New Roman" w:hAnsi="Times New Roman"/>
          <w:b w:val="0"/>
          <w:i w:val="0"/>
          <w:sz w:val="24"/>
        </w:rPr>
        <w:t>The presence of multiple .pkl files and harmonized datasets shows that the project was not limited to a single toy experiment. Instead, it explored how multi-source healthcare data might be aligned and reused for future ensemble or model-serving integration.</w:t>
      </w:r>
    </w:p>
    <w:p>
      <w:pPr>
        <w:spacing w:before="80" w:after="80" w:line="240" w:lineRule="auto"/>
        <w:jc w:val="left"/>
      </w:pPr>
      <w:r>
        <w:rPr>
          <w:rFonts w:ascii="Times New Roman" w:hAnsi="Times New Roman"/>
          <w:b/>
          <w:i w:val="0"/>
          <w:sz w:val="24"/>
        </w:rPr>
        <w:t>4.5 Deployment Readiness</w:t>
      </w:r>
    </w:p>
    <w:p>
      <w:pPr>
        <w:spacing w:before="0" w:after="80" w:line="264" w:lineRule="auto"/>
        <w:jc w:val="both"/>
      </w:pPr>
      <w:r>
        <w:rPr>
          <w:rFonts w:ascii="Times New Roman" w:hAnsi="Times New Roman"/>
          <w:b w:val="0"/>
          <w:i w:val="0"/>
          <w:sz w:val="24"/>
        </w:rPr>
        <w:t>The project includes local launch scripts and a Render deployment configuration. The render.yaml file defines a free web-service deployment that installs requirements and starts Uvicorn with backend.main:app. The accompanying deployment note also records an important limitation: Excel-backed persistence is ephemeral on many free cloud platforms, so durable multi-user deployment would require migration to SQLite or PostgreSQL.</w:t>
      </w:r>
    </w:p>
    <w:p>
      <w:pPr>
        <w:spacing w:before="80" w:after="80" w:line="240" w:lineRule="auto"/>
        <w:jc w:val="left"/>
      </w:pPr>
      <w:r>
        <w:rPr>
          <w:rFonts w:ascii="Times New Roman" w:hAnsi="Times New Roman"/>
          <w:b/>
          <w:i w:val="0"/>
          <w:sz w:val="24"/>
        </w:rPr>
        <w:t>4.6 Code Organization Snapshot</w:t>
      </w:r>
    </w:p>
    <w:p>
      <w:pPr>
        <w:spacing w:before="0" w:after="80" w:line="264" w:lineRule="auto"/>
        <w:jc w:val="both"/>
      </w:pPr>
      <w:r>
        <w:rPr>
          <w:rFonts w:ascii="Times New Roman" w:hAnsi="Times New Roman"/>
          <w:b w:val="0"/>
          <w:i w:val="0"/>
          <w:sz w:val="24"/>
        </w:rPr>
        <w:t>The present code organization is straightforward enough for maintenance and academic demonstration. Backend logic is concentrated in a single FastAPI application file, which makes it easy to trace prediction, history, and chatbot behavior during review. The frontend is split by page, with each major support function receiving its own HTML, CSS, and JavaScript files. This page-level separation helped the team iterate quickly while keeping features understandable during documentation and testing.</w:t>
      </w:r>
    </w:p>
    <w:p>
      <w:pPr>
        <w:spacing w:before="0" w:after="40" w:line="240" w:lineRule="auto"/>
        <w:jc w:val="left"/>
      </w:pPr>
      <w:r>
        <w:rPr>
          <w:rFonts w:ascii="Times New Roman" w:hAnsi="Times New Roman"/>
          <w:b w:val="0"/>
          <w:i w:val="0"/>
          <w:sz w:val="24"/>
        </w:rPr>
        <w:t>- Frontend page set includes landing, login, predict, dashboard, chatbot, mood, diet, monitoring, medications, community, quiz, breathing, and SOS pages.</w:t>
      </w:r>
    </w:p>
    <w:p>
      <w:pPr>
        <w:spacing w:before="0" w:after="40" w:line="240" w:lineRule="auto"/>
        <w:jc w:val="left"/>
      </w:pPr>
      <w:r>
        <w:rPr>
          <w:rFonts w:ascii="Times New Roman" w:hAnsi="Times New Roman"/>
          <w:b w:val="0"/>
          <w:i w:val="0"/>
          <w:sz w:val="24"/>
        </w:rPr>
        <w:t>- Model and dataset assets are stored separately from the deployed predictor, preserving a clean boundary between research files and runtime behavior.</w:t>
      </w:r>
    </w:p>
    <w:p>
      <w:pPr>
        <w:spacing w:before="0" w:after="40" w:line="240" w:lineRule="auto"/>
        <w:jc w:val="left"/>
      </w:pPr>
      <w:r>
        <w:rPr>
          <w:rFonts w:ascii="Times New Roman" w:hAnsi="Times New Roman"/>
          <w:b w:val="0"/>
          <w:i w:val="0"/>
          <w:sz w:val="24"/>
        </w:rPr>
        <w:t>- Deployment scripts and documentation are included directly in the repository for reproducible local and free-cloud execution.</w:t>
      </w:r>
    </w:p>
    <w:p>
      <w:pPr>
        <w:spacing w:before="80" w:after="80" w:line="240" w:lineRule="auto"/>
        <w:jc w:val="left"/>
      </w:pPr>
      <w:r>
        <w:rPr>
          <w:rFonts w:ascii="Times New Roman" w:hAnsi="Times New Roman"/>
          <w:b/>
          <w:i w:val="0"/>
          <w:sz w:val="24"/>
        </w:rPr>
        <w:t>4.7 Implementation Traceability</w:t>
      </w:r>
    </w:p>
    <w:p>
      <w:pPr>
        <w:spacing w:before="0" w:after="80" w:line="264" w:lineRule="auto"/>
        <w:jc w:val="both"/>
      </w:pPr>
      <w:r>
        <w:rPr>
          <w:rFonts w:ascii="Times New Roman" w:hAnsi="Times New Roman"/>
          <w:b w:val="0"/>
          <w:i w:val="0"/>
          <w:sz w:val="24"/>
        </w:rPr>
        <w:t>Table 4.2 summarizes how the most visible user-facing capabilities map to concrete files and runtime components in the project. This snapshot is useful during viva review because it allows an examiner to connect interface features with the code units responsible for them.</w:t>
      </w:r>
    </w:p>
    <w:p>
      <w:pPr>
        <w:spacing w:before="0" w:after="80" w:line="240" w:lineRule="auto"/>
        <w:jc w:val="center"/>
      </w:pPr>
      <w:r>
        <w:rPr>
          <w:rFonts w:ascii="Times New Roman" w:hAnsi="Times New Roman"/>
          <w:b w:val="0"/>
          <w:i w:val="0"/>
          <w:sz w:val="22"/>
        </w:rPr>
        <w:t>Table 4.2 Feature to Component Mapping</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2160"/>
            <w:vAlign w:val="center"/>
          </w:tcPr>
          <w:p>
            <w:pPr>
              <w:spacing w:before="0" w:after="0" w:line="240" w:lineRule="auto"/>
              <w:jc w:val="center"/>
            </w:pPr>
            <w:r>
              <w:rPr>
                <w:rFonts w:ascii="Times New Roman" w:hAnsi="Times New Roman"/>
                <w:b/>
                <w:i w:val="0"/>
                <w:sz w:val="20"/>
              </w:rPr>
              <w:t>Feature</w:t>
            </w:r>
          </w:p>
        </w:tc>
        <w:tc>
          <w:tcPr>
            <w:tcW w:type="dxa" w:w="3456"/>
            <w:vAlign w:val="center"/>
          </w:tcPr>
          <w:p>
            <w:pPr>
              <w:spacing w:before="0" w:after="0" w:line="240" w:lineRule="auto"/>
              <w:jc w:val="center"/>
            </w:pPr>
            <w:r>
              <w:rPr>
                <w:rFonts w:ascii="Times New Roman" w:hAnsi="Times New Roman"/>
                <w:b/>
                <w:i w:val="0"/>
                <w:sz w:val="20"/>
              </w:rPr>
              <w:t>Primary implementation area</w:t>
            </w:r>
          </w:p>
        </w:tc>
        <w:tc>
          <w:tcPr>
            <w:tcW w:type="dxa" w:w="3744"/>
            <w:vAlign w:val="center"/>
          </w:tcPr>
          <w:p>
            <w:pPr>
              <w:spacing w:before="0" w:after="0" w:line="240" w:lineRule="auto"/>
              <w:jc w:val="center"/>
            </w:pPr>
            <w:r>
              <w:rPr>
                <w:rFonts w:ascii="Times New Roman" w:hAnsi="Times New Roman"/>
                <w:b/>
                <w:i w:val="0"/>
                <w:sz w:val="20"/>
              </w:rPr>
              <w:t>Execution note</w:t>
            </w:r>
          </w:p>
        </w:tc>
      </w:tr>
      <w:tr>
        <w:tc>
          <w:tcPr>
            <w:tcW w:type="dxa" w:w="3081"/>
            <w:vAlign w:val="center"/>
          </w:tcPr>
          <w:p>
            <w:pPr>
              <w:spacing w:before="0" w:after="0" w:line="240" w:lineRule="auto"/>
              <w:jc w:val="left"/>
            </w:pPr>
            <w:r>
              <w:rPr>
                <w:rFonts w:ascii="Times New Roman" w:hAnsi="Times New Roman"/>
                <w:b w:val="0"/>
                <w:i w:val="0"/>
                <w:sz w:val="20"/>
              </w:rPr>
              <w:t>Risk prediction</w:t>
            </w:r>
          </w:p>
        </w:tc>
        <w:tc>
          <w:tcPr>
            <w:tcW w:type="dxa" w:w="3081"/>
            <w:vAlign w:val="center"/>
          </w:tcPr>
          <w:p>
            <w:pPr>
              <w:spacing w:before="0" w:after="0" w:line="240" w:lineRule="auto"/>
              <w:jc w:val="center"/>
            </w:pPr>
            <w:r>
              <w:rPr>
                <w:rFonts w:ascii="Times New Roman" w:hAnsi="Times New Roman"/>
                <w:b w:val="0"/>
                <w:i w:val="0"/>
                <w:sz w:val="20"/>
              </w:rPr>
              <w:t>backend/main.py and predict.html</w:t>
            </w:r>
          </w:p>
        </w:tc>
        <w:tc>
          <w:tcPr>
            <w:tcW w:type="dxa" w:w="3081"/>
            <w:vAlign w:val="center"/>
          </w:tcPr>
          <w:p>
            <w:pPr>
              <w:spacing w:before="0" w:after="0" w:line="240" w:lineRule="auto"/>
              <w:jc w:val="left"/>
            </w:pPr>
            <w:r>
              <w:rPr>
                <w:rFonts w:ascii="Times New Roman" w:hAnsi="Times New Roman"/>
                <w:b w:val="0"/>
                <w:i w:val="0"/>
                <w:sz w:val="20"/>
              </w:rPr>
              <w:t>Frontend submits form data to POST /predict and receives risk analytics</w:t>
            </w:r>
          </w:p>
        </w:tc>
      </w:tr>
      <w:tr>
        <w:tc>
          <w:tcPr>
            <w:tcW w:type="dxa" w:w="3081"/>
            <w:vAlign w:val="center"/>
          </w:tcPr>
          <w:p>
            <w:pPr>
              <w:spacing w:before="0" w:after="0" w:line="240" w:lineRule="auto"/>
              <w:jc w:val="left"/>
            </w:pPr>
            <w:r>
              <w:rPr>
                <w:rFonts w:ascii="Times New Roman" w:hAnsi="Times New Roman"/>
                <w:b w:val="0"/>
                <w:i w:val="0"/>
                <w:sz w:val="20"/>
              </w:rPr>
              <w:t>Saved history dashboard</w:t>
            </w:r>
          </w:p>
        </w:tc>
        <w:tc>
          <w:tcPr>
            <w:tcW w:type="dxa" w:w="3081"/>
            <w:vAlign w:val="center"/>
          </w:tcPr>
          <w:p>
            <w:pPr>
              <w:spacing w:before="0" w:after="0" w:line="240" w:lineRule="auto"/>
              <w:jc w:val="center"/>
            </w:pPr>
            <w:r>
              <w:rPr>
                <w:rFonts w:ascii="Times New Roman" w:hAnsi="Times New Roman"/>
                <w:b w:val="0"/>
                <w:i w:val="0"/>
                <w:sz w:val="20"/>
              </w:rPr>
              <w:t>dashboard.html, dashboard-script.js, GET /predictions</w:t>
            </w:r>
          </w:p>
        </w:tc>
        <w:tc>
          <w:tcPr>
            <w:tcW w:type="dxa" w:w="3081"/>
            <w:vAlign w:val="center"/>
          </w:tcPr>
          <w:p>
            <w:pPr>
              <w:spacing w:before="0" w:after="0" w:line="240" w:lineRule="auto"/>
              <w:jc w:val="left"/>
            </w:pPr>
            <w:r>
              <w:rPr>
                <w:rFonts w:ascii="Times New Roman" w:hAnsi="Times New Roman"/>
                <w:b w:val="0"/>
                <w:i w:val="0"/>
                <w:sz w:val="20"/>
              </w:rPr>
              <w:t>Workbook records are normalized for charts, streaks, and summaries</w:t>
            </w:r>
          </w:p>
        </w:tc>
      </w:tr>
      <w:tr>
        <w:tc>
          <w:tcPr>
            <w:tcW w:type="dxa" w:w="3081"/>
            <w:vAlign w:val="center"/>
          </w:tcPr>
          <w:p>
            <w:pPr>
              <w:spacing w:before="0" w:after="0" w:line="240" w:lineRule="auto"/>
              <w:jc w:val="left"/>
            </w:pPr>
            <w:r>
              <w:rPr>
                <w:rFonts w:ascii="Times New Roman" w:hAnsi="Times New Roman"/>
                <w:b w:val="0"/>
                <w:i w:val="0"/>
                <w:sz w:val="20"/>
              </w:rPr>
              <w:t>Diet personalization</w:t>
            </w:r>
          </w:p>
        </w:tc>
        <w:tc>
          <w:tcPr>
            <w:tcW w:type="dxa" w:w="3081"/>
            <w:vAlign w:val="center"/>
          </w:tcPr>
          <w:p>
            <w:pPr>
              <w:spacing w:before="0" w:after="0" w:line="240" w:lineRule="auto"/>
              <w:jc w:val="center"/>
            </w:pPr>
            <w:r>
              <w:rPr>
                <w:rFonts w:ascii="Times New Roman" w:hAnsi="Times New Roman"/>
                <w:b w:val="0"/>
                <w:i w:val="0"/>
                <w:sz w:val="20"/>
              </w:rPr>
              <w:t>diet-script.js</w:t>
            </w:r>
          </w:p>
        </w:tc>
        <w:tc>
          <w:tcPr>
            <w:tcW w:type="dxa" w:w="3081"/>
            <w:vAlign w:val="center"/>
          </w:tcPr>
          <w:p>
            <w:pPr>
              <w:spacing w:before="0" w:after="0" w:line="240" w:lineRule="auto"/>
              <w:jc w:val="left"/>
            </w:pPr>
            <w:r>
              <w:rPr>
                <w:rFonts w:ascii="Times New Roman" w:hAnsi="Times New Roman"/>
                <w:b w:val="0"/>
                <w:i w:val="0"/>
                <w:sz w:val="20"/>
              </w:rPr>
              <w:t>Latest prediction profile influences meal-plan and hydration suggestions</w:t>
            </w:r>
          </w:p>
        </w:tc>
      </w:tr>
      <w:tr>
        <w:tc>
          <w:tcPr>
            <w:tcW w:type="dxa" w:w="3081"/>
            <w:vAlign w:val="center"/>
          </w:tcPr>
          <w:p>
            <w:pPr>
              <w:spacing w:before="0" w:after="0" w:line="240" w:lineRule="auto"/>
              <w:jc w:val="left"/>
            </w:pPr>
            <w:r>
              <w:rPr>
                <w:rFonts w:ascii="Times New Roman" w:hAnsi="Times New Roman"/>
                <w:b w:val="0"/>
                <w:i w:val="0"/>
                <w:sz w:val="20"/>
              </w:rPr>
              <w:t>Support chatbot</w:t>
            </w:r>
          </w:p>
        </w:tc>
        <w:tc>
          <w:tcPr>
            <w:tcW w:type="dxa" w:w="3081"/>
            <w:vAlign w:val="center"/>
          </w:tcPr>
          <w:p>
            <w:pPr>
              <w:spacing w:before="0" w:after="0" w:line="240" w:lineRule="auto"/>
              <w:jc w:val="center"/>
            </w:pPr>
            <w:r>
              <w:rPr>
                <w:rFonts w:ascii="Times New Roman" w:hAnsi="Times New Roman"/>
                <w:b w:val="0"/>
                <w:i w:val="0"/>
                <w:sz w:val="20"/>
              </w:rPr>
              <w:t>chatbot-script.js and POST /chat</w:t>
            </w:r>
          </w:p>
        </w:tc>
        <w:tc>
          <w:tcPr>
            <w:tcW w:type="dxa" w:w="3081"/>
            <w:vAlign w:val="center"/>
          </w:tcPr>
          <w:p>
            <w:pPr>
              <w:spacing w:before="0" w:after="0" w:line="240" w:lineRule="auto"/>
              <w:jc w:val="left"/>
            </w:pPr>
            <w:r>
              <w:rPr>
                <w:rFonts w:ascii="Times New Roman" w:hAnsi="Times New Roman"/>
                <w:b w:val="0"/>
                <w:i w:val="0"/>
                <w:sz w:val="20"/>
              </w:rPr>
              <w:t>Rule-based responses provide educational and motivational guidance</w:t>
            </w:r>
          </w:p>
        </w:tc>
      </w:tr>
    </w:tbl>
    <w:p>
      <w:pPr>
        <w:spacing w:before="0" w:after="20" w:line="240" w:lineRule="auto"/>
        <w:jc w:val="both"/>
      </w:pPr>
    </w:p>
    <w:p>
      <w:r>
        <w:br w:type="page"/>
      </w:r>
    </w:p>
    <w:p>
      <w:pPr>
        <w:spacing w:before="160" w:after="80" w:line="240" w:lineRule="auto"/>
        <w:jc w:val="center"/>
      </w:pPr>
      <w:r>
        <w:rPr>
          <w:rFonts w:ascii="Times New Roman" w:hAnsi="Times New Roman"/>
          <w:b/>
          <w:i w:val="0"/>
          <w:sz w:val="28"/>
        </w:rPr>
        <w:t>CHAPTER 5</w:t>
      </w:r>
    </w:p>
    <w:p>
      <w:pPr>
        <w:spacing w:before="0" w:after="200" w:line="240" w:lineRule="auto"/>
        <w:jc w:val="center"/>
      </w:pPr>
      <w:r>
        <w:rPr>
          <w:rFonts w:ascii="Times New Roman" w:hAnsi="Times New Roman"/>
          <w:b/>
          <w:i w:val="0"/>
          <w:sz w:val="28"/>
        </w:rPr>
        <w:t>TESTING</w:t>
      </w:r>
    </w:p>
    <w:p>
      <w:pPr>
        <w:spacing w:before="80" w:after="80" w:line="240" w:lineRule="auto"/>
        <w:jc w:val="left"/>
      </w:pPr>
      <w:r>
        <w:rPr>
          <w:rFonts w:ascii="Times New Roman" w:hAnsi="Times New Roman"/>
          <w:b/>
          <w:i w:val="0"/>
          <w:sz w:val="24"/>
        </w:rPr>
        <w:t>5.1 Unit Testing</w:t>
      </w:r>
    </w:p>
    <w:p>
      <w:pPr>
        <w:spacing w:before="0" w:after="80" w:line="264" w:lineRule="auto"/>
        <w:jc w:val="both"/>
      </w:pPr>
      <w:r>
        <w:rPr>
          <w:rFonts w:ascii="Times New Roman" w:hAnsi="Times New Roman"/>
          <w:b w:val="0"/>
          <w:i w:val="0"/>
          <w:sz w:val="24"/>
        </w:rPr>
        <w:t>Unit-level validation focused on the correctness of the prediction workflow, data sanitation, dashboard normalization, diet-profile derivation, chatbot request handling, mood logging, medication toggling, and vitals chart preparation. These checks ensured that the application components behaved predictably before they were evaluated as a complete workflow.</w:t>
      </w:r>
    </w:p>
    <w:p>
      <w:pPr>
        <w:spacing w:before="80" w:after="80" w:line="240" w:lineRule="auto"/>
        <w:jc w:val="left"/>
      </w:pPr>
      <w:r>
        <w:rPr>
          <w:rFonts w:ascii="Times New Roman" w:hAnsi="Times New Roman"/>
          <w:b/>
          <w:i w:val="0"/>
          <w:sz w:val="24"/>
        </w:rPr>
        <w:t>5.2 Integration Testing</w:t>
      </w:r>
    </w:p>
    <w:p>
      <w:pPr>
        <w:spacing w:before="0" w:after="80" w:line="264" w:lineRule="auto"/>
        <w:jc w:val="both"/>
      </w:pPr>
      <w:r>
        <w:rPr>
          <w:rFonts w:ascii="Times New Roman" w:hAnsi="Times New Roman"/>
          <w:b w:val="0"/>
          <w:i w:val="0"/>
          <w:sz w:val="24"/>
        </w:rPr>
        <w:t>Integration testing centered on the interaction between frontend pages and backend APIs. The most important integration path was prediction submission, workbook persistence, dashboard recovery, and profile reuse on the diet page. Additional integration checks considered the chatbot endpoint and the fallback behavior when a backend request was unavailable.</w:t>
      </w:r>
    </w:p>
    <w:p>
      <w:pPr>
        <w:spacing w:before="80" w:after="80" w:line="240" w:lineRule="auto"/>
        <w:jc w:val="left"/>
      </w:pPr>
      <w:r>
        <w:rPr>
          <w:rFonts w:ascii="Times New Roman" w:hAnsi="Times New Roman"/>
          <w:b/>
          <w:i w:val="0"/>
          <w:sz w:val="24"/>
        </w:rPr>
        <w:t>5.3 System Testing</w:t>
      </w:r>
    </w:p>
    <w:p>
      <w:pPr>
        <w:spacing w:before="0" w:after="80" w:line="264" w:lineRule="auto"/>
        <w:jc w:val="both"/>
      </w:pPr>
      <w:r>
        <w:rPr>
          <w:rFonts w:ascii="Times New Roman" w:hAnsi="Times New Roman"/>
          <w:b w:val="0"/>
          <w:i w:val="0"/>
          <w:sz w:val="24"/>
        </w:rPr>
        <w:t>System testing exercised the entire HeartGuard flow from initial input entry to result display and downstream support usage. The goal was not only to verify that a score appeared, but also to verify that the platform behaved as a coherent preventive-care workflow. This included navigation, history continuity, local wellness logging, and clarity of guidance.</w:t>
      </w:r>
    </w:p>
    <w:p>
      <w:pPr>
        <w:spacing w:before="80" w:after="80" w:line="240" w:lineRule="auto"/>
        <w:jc w:val="left"/>
      </w:pPr>
      <w:r>
        <w:rPr>
          <w:rFonts w:ascii="Times New Roman" w:hAnsi="Times New Roman"/>
          <w:b/>
          <w:i w:val="0"/>
          <w:sz w:val="24"/>
        </w:rPr>
        <w:t>5.4 Validation and Observations</w:t>
      </w:r>
    </w:p>
    <w:p>
      <w:pPr>
        <w:spacing w:before="0" w:after="80" w:line="240" w:lineRule="auto"/>
        <w:jc w:val="center"/>
      </w:pPr>
      <w:r>
        <w:rPr>
          <w:rFonts w:ascii="Times New Roman" w:hAnsi="Times New Roman"/>
          <w:b w:val="0"/>
          <w:i w:val="0"/>
          <w:sz w:val="22"/>
        </w:rPr>
        <w:t>Table 5.1 Testing Summary</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2304"/>
            <w:vAlign w:val="center"/>
          </w:tcPr>
          <w:p>
            <w:pPr>
              <w:spacing w:before="0" w:after="0" w:line="240" w:lineRule="auto"/>
              <w:jc w:val="center"/>
            </w:pPr>
            <w:r>
              <w:rPr>
                <w:rFonts w:ascii="Times New Roman" w:hAnsi="Times New Roman"/>
                <w:b/>
                <w:i w:val="0"/>
                <w:sz w:val="20"/>
              </w:rPr>
              <w:t>Test area</w:t>
            </w:r>
          </w:p>
        </w:tc>
        <w:tc>
          <w:tcPr>
            <w:tcW w:type="dxa" w:w="3312"/>
            <w:vAlign w:val="center"/>
          </w:tcPr>
          <w:p>
            <w:pPr>
              <w:spacing w:before="0" w:after="0" w:line="240" w:lineRule="auto"/>
              <w:jc w:val="center"/>
            </w:pPr>
            <w:r>
              <w:rPr>
                <w:rFonts w:ascii="Times New Roman" w:hAnsi="Times New Roman"/>
                <w:b/>
                <w:i w:val="0"/>
                <w:sz w:val="20"/>
              </w:rPr>
              <w:t>Expected behavior</w:t>
            </w:r>
          </w:p>
        </w:tc>
        <w:tc>
          <w:tcPr>
            <w:tcW w:type="dxa" w:w="3600"/>
            <w:vAlign w:val="center"/>
          </w:tcPr>
          <w:p>
            <w:pPr>
              <w:spacing w:before="0" w:after="0" w:line="240" w:lineRule="auto"/>
              <w:jc w:val="center"/>
            </w:pPr>
            <w:r>
              <w:rPr>
                <w:rFonts w:ascii="Times New Roman" w:hAnsi="Times New Roman"/>
                <w:b/>
                <w:i w:val="0"/>
                <w:sz w:val="20"/>
              </w:rPr>
              <w:t>Observed result</w:t>
            </w:r>
          </w:p>
        </w:tc>
      </w:tr>
      <w:tr>
        <w:tc>
          <w:tcPr>
            <w:tcW w:type="dxa" w:w="3081"/>
            <w:vAlign w:val="center"/>
          </w:tcPr>
          <w:p>
            <w:pPr>
              <w:spacing w:before="0" w:after="0" w:line="240" w:lineRule="auto"/>
              <w:jc w:val="left"/>
            </w:pPr>
            <w:r>
              <w:rPr>
                <w:rFonts w:ascii="Times New Roman" w:hAnsi="Times New Roman"/>
                <w:b w:val="0"/>
                <w:i w:val="0"/>
                <w:sz w:val="20"/>
              </w:rPr>
              <w:t>Sparse input validation</w:t>
            </w:r>
          </w:p>
        </w:tc>
        <w:tc>
          <w:tcPr>
            <w:tcW w:type="dxa" w:w="3081"/>
            <w:vAlign w:val="center"/>
          </w:tcPr>
          <w:p>
            <w:pPr>
              <w:spacing w:before="0" w:after="0" w:line="240" w:lineRule="auto"/>
              <w:jc w:val="center"/>
            </w:pPr>
            <w:r>
              <w:rPr>
                <w:rFonts w:ascii="Times New Roman" w:hAnsi="Times New Roman"/>
                <w:b w:val="0"/>
                <w:i w:val="0"/>
                <w:sz w:val="20"/>
              </w:rPr>
              <w:t>At least two values required for prediction</w:t>
            </w:r>
          </w:p>
        </w:tc>
        <w:tc>
          <w:tcPr>
            <w:tcW w:type="dxa" w:w="3081"/>
            <w:vAlign w:val="center"/>
          </w:tcPr>
          <w:p>
            <w:pPr>
              <w:spacing w:before="0" w:after="0" w:line="240" w:lineRule="auto"/>
              <w:jc w:val="left"/>
            </w:pPr>
            <w:r>
              <w:rPr>
                <w:rFonts w:ascii="Times New Roman" w:hAnsi="Times New Roman"/>
                <w:b w:val="0"/>
                <w:i w:val="0"/>
                <w:sz w:val="20"/>
              </w:rPr>
              <w:t>Backend rejects underspecified payloads and frontend warns the user</w:t>
            </w:r>
          </w:p>
        </w:tc>
      </w:tr>
      <w:tr>
        <w:tc>
          <w:tcPr>
            <w:tcW w:type="dxa" w:w="3081"/>
            <w:vAlign w:val="center"/>
          </w:tcPr>
          <w:p>
            <w:pPr>
              <w:spacing w:before="0" w:after="0" w:line="240" w:lineRule="auto"/>
              <w:jc w:val="left"/>
            </w:pPr>
            <w:r>
              <w:rPr>
                <w:rFonts w:ascii="Times New Roman" w:hAnsi="Times New Roman"/>
                <w:b w:val="0"/>
                <w:i w:val="0"/>
                <w:sz w:val="20"/>
              </w:rPr>
              <w:t>Prediction result</w:t>
            </w:r>
          </w:p>
        </w:tc>
        <w:tc>
          <w:tcPr>
            <w:tcW w:type="dxa" w:w="3081"/>
            <w:vAlign w:val="center"/>
          </w:tcPr>
          <w:p>
            <w:pPr>
              <w:spacing w:before="0" w:after="0" w:line="240" w:lineRule="auto"/>
              <w:jc w:val="center"/>
            </w:pPr>
            <w:r>
              <w:rPr>
                <w:rFonts w:ascii="Times New Roman" w:hAnsi="Times New Roman"/>
                <w:b w:val="0"/>
                <w:i w:val="0"/>
                <w:sz w:val="20"/>
              </w:rPr>
              <w:t>Risk, confidence, and label should be shown</w:t>
            </w:r>
          </w:p>
        </w:tc>
        <w:tc>
          <w:tcPr>
            <w:tcW w:type="dxa" w:w="3081"/>
            <w:vAlign w:val="center"/>
          </w:tcPr>
          <w:p>
            <w:pPr>
              <w:spacing w:before="0" w:after="0" w:line="240" w:lineRule="auto"/>
              <w:jc w:val="left"/>
            </w:pPr>
            <w:r>
              <w:rPr>
                <w:rFonts w:ascii="Times New Roman" w:hAnsi="Times New Roman"/>
                <w:b w:val="0"/>
                <w:i w:val="0"/>
                <w:sz w:val="20"/>
              </w:rPr>
              <w:t>Result card renders risk percent, confidence, coverage, and care note</w:t>
            </w:r>
          </w:p>
        </w:tc>
      </w:tr>
      <w:tr>
        <w:tc>
          <w:tcPr>
            <w:tcW w:type="dxa" w:w="3081"/>
            <w:vAlign w:val="center"/>
          </w:tcPr>
          <w:p>
            <w:pPr>
              <w:spacing w:before="0" w:after="0" w:line="240" w:lineRule="auto"/>
              <w:jc w:val="left"/>
            </w:pPr>
            <w:r>
              <w:rPr>
                <w:rFonts w:ascii="Times New Roman" w:hAnsi="Times New Roman"/>
                <w:b w:val="0"/>
                <w:i w:val="0"/>
                <w:sz w:val="20"/>
              </w:rPr>
              <w:t>History persistence</w:t>
            </w:r>
          </w:p>
        </w:tc>
        <w:tc>
          <w:tcPr>
            <w:tcW w:type="dxa" w:w="3081"/>
            <w:vAlign w:val="center"/>
          </w:tcPr>
          <w:p>
            <w:pPr>
              <w:spacing w:before="0" w:after="0" w:line="240" w:lineRule="auto"/>
              <w:jc w:val="center"/>
            </w:pPr>
            <w:r>
              <w:rPr>
                <w:rFonts w:ascii="Times New Roman" w:hAnsi="Times New Roman"/>
                <w:b w:val="0"/>
                <w:i w:val="0"/>
                <w:sz w:val="20"/>
              </w:rPr>
              <w:t>Saved predictions should reload later</w:t>
            </w:r>
          </w:p>
        </w:tc>
        <w:tc>
          <w:tcPr>
            <w:tcW w:type="dxa" w:w="3081"/>
            <w:vAlign w:val="center"/>
          </w:tcPr>
          <w:p>
            <w:pPr>
              <w:spacing w:before="0" w:after="0" w:line="240" w:lineRule="auto"/>
              <w:jc w:val="left"/>
            </w:pPr>
            <w:r>
              <w:rPr>
                <w:rFonts w:ascii="Times New Roman" w:hAnsi="Times New Roman"/>
                <w:b w:val="0"/>
                <w:i w:val="0"/>
                <w:sz w:val="20"/>
              </w:rPr>
              <w:t>Excel workbook entries are restored on dashboard refresh</w:t>
            </w:r>
          </w:p>
        </w:tc>
      </w:tr>
      <w:tr>
        <w:tc>
          <w:tcPr>
            <w:tcW w:type="dxa" w:w="3081"/>
            <w:vAlign w:val="center"/>
          </w:tcPr>
          <w:p>
            <w:pPr>
              <w:spacing w:before="0" w:after="0" w:line="240" w:lineRule="auto"/>
              <w:jc w:val="left"/>
            </w:pPr>
            <w:r>
              <w:rPr>
                <w:rFonts w:ascii="Times New Roman" w:hAnsi="Times New Roman"/>
                <w:b w:val="0"/>
                <w:i w:val="0"/>
                <w:sz w:val="20"/>
              </w:rPr>
              <w:t>Diet personalization</w:t>
            </w:r>
          </w:p>
        </w:tc>
        <w:tc>
          <w:tcPr>
            <w:tcW w:type="dxa" w:w="3081"/>
            <w:vAlign w:val="center"/>
          </w:tcPr>
          <w:p>
            <w:pPr>
              <w:spacing w:before="0" w:after="0" w:line="240" w:lineRule="auto"/>
              <w:jc w:val="center"/>
            </w:pPr>
            <w:r>
              <w:rPr>
                <w:rFonts w:ascii="Times New Roman" w:hAnsi="Times New Roman"/>
                <w:b w:val="0"/>
                <w:i w:val="0"/>
                <w:sz w:val="20"/>
              </w:rPr>
              <w:t>Latest profile should influence recommendations</w:t>
            </w:r>
          </w:p>
        </w:tc>
        <w:tc>
          <w:tcPr>
            <w:tcW w:type="dxa" w:w="3081"/>
            <w:vAlign w:val="center"/>
          </w:tcPr>
          <w:p>
            <w:pPr>
              <w:spacing w:before="0" w:after="0" w:line="240" w:lineRule="auto"/>
              <w:jc w:val="left"/>
            </w:pPr>
            <w:r>
              <w:rPr>
                <w:rFonts w:ascii="Times New Roman" w:hAnsi="Times New Roman"/>
                <w:b w:val="0"/>
                <w:i w:val="0"/>
                <w:sz w:val="20"/>
              </w:rPr>
              <w:t>Diet page reads saved history and builds meal guidance</w:t>
            </w:r>
          </w:p>
        </w:tc>
      </w:tr>
      <w:tr>
        <w:tc>
          <w:tcPr>
            <w:tcW w:type="dxa" w:w="3081"/>
            <w:vAlign w:val="center"/>
          </w:tcPr>
          <w:p>
            <w:pPr>
              <w:spacing w:before="0" w:after="0" w:line="240" w:lineRule="auto"/>
              <w:jc w:val="left"/>
            </w:pPr>
            <w:r>
              <w:rPr>
                <w:rFonts w:ascii="Times New Roman" w:hAnsi="Times New Roman"/>
                <w:b w:val="0"/>
                <w:i w:val="0"/>
                <w:sz w:val="20"/>
              </w:rPr>
              <w:t>Fallback resilience</w:t>
            </w:r>
          </w:p>
        </w:tc>
        <w:tc>
          <w:tcPr>
            <w:tcW w:type="dxa" w:w="3081"/>
            <w:vAlign w:val="center"/>
          </w:tcPr>
          <w:p>
            <w:pPr>
              <w:spacing w:before="0" w:after="0" w:line="240" w:lineRule="auto"/>
              <w:jc w:val="center"/>
            </w:pPr>
            <w:r>
              <w:rPr>
                <w:rFonts w:ascii="Times New Roman" w:hAnsi="Times New Roman"/>
                <w:b w:val="0"/>
                <w:i w:val="0"/>
                <w:sz w:val="20"/>
              </w:rPr>
              <w:t>Frontend should not fail silently on backend outage</w:t>
            </w:r>
          </w:p>
        </w:tc>
        <w:tc>
          <w:tcPr>
            <w:tcW w:type="dxa" w:w="3081"/>
            <w:vAlign w:val="center"/>
          </w:tcPr>
          <w:p>
            <w:pPr>
              <w:spacing w:before="0" w:after="0" w:line="240" w:lineRule="auto"/>
              <w:jc w:val="left"/>
            </w:pPr>
            <w:r>
              <w:rPr>
                <w:rFonts w:ascii="Times New Roman" w:hAnsi="Times New Roman"/>
                <w:b w:val="0"/>
                <w:i w:val="0"/>
                <w:sz w:val="20"/>
              </w:rPr>
              <w:t>Local estimate path remains available for some failures</w:t>
            </w:r>
          </w:p>
        </w:tc>
      </w:tr>
    </w:tbl>
    <w:p>
      <w:pPr>
        <w:spacing w:before="0" w:after="20" w:line="240" w:lineRule="auto"/>
        <w:jc w:val="both"/>
      </w:pPr>
    </w:p>
    <w:p>
      <w:pPr>
        <w:spacing w:before="0" w:after="80" w:line="264" w:lineRule="auto"/>
        <w:jc w:val="both"/>
      </w:pPr>
      <w:r>
        <w:rPr>
          <w:rFonts w:ascii="Times New Roman" w:hAnsi="Times New Roman"/>
          <w:b w:val="0"/>
          <w:i w:val="0"/>
          <w:sz w:val="24"/>
        </w:rPr>
        <w:t>Overall, the testing results show that the current HeartGuard prototype is strongest as an explainable, continuity-oriented web workflow. Its validation strengths lie in interface stability, saved history reuse, and support-module linkage rather than in direct claims of hospital-grade deployment readiness.</w:t>
      </w:r>
    </w:p>
    <w:p>
      <w:r>
        <w:br w:type="page"/>
      </w:r>
    </w:p>
    <w:p>
      <w:pPr>
        <w:spacing w:before="160" w:after="80" w:line="240" w:lineRule="auto"/>
        <w:jc w:val="center"/>
      </w:pPr>
      <w:r>
        <w:rPr>
          <w:rFonts w:ascii="Times New Roman" w:hAnsi="Times New Roman"/>
          <w:b/>
          <w:i w:val="0"/>
          <w:sz w:val="28"/>
        </w:rPr>
        <w:t>CHAPTER 6</w:t>
      </w:r>
    </w:p>
    <w:p>
      <w:pPr>
        <w:spacing w:before="0" w:after="200" w:line="240" w:lineRule="auto"/>
        <w:jc w:val="center"/>
      </w:pPr>
      <w:r>
        <w:rPr>
          <w:rFonts w:ascii="Times New Roman" w:hAnsi="Times New Roman"/>
          <w:b/>
          <w:i w:val="0"/>
          <w:sz w:val="28"/>
        </w:rPr>
        <w:t>RESULTS AND DISCUSSION</w:t>
      </w:r>
    </w:p>
    <w:p>
      <w:pPr>
        <w:spacing w:before="80" w:after="80" w:line="240" w:lineRule="auto"/>
        <w:jc w:val="left"/>
      </w:pPr>
      <w:r>
        <w:rPr>
          <w:rFonts w:ascii="Times New Roman" w:hAnsi="Times New Roman"/>
          <w:b/>
          <w:i w:val="0"/>
          <w:sz w:val="24"/>
        </w:rPr>
        <w:t>6.1 Project Interface and Output</w:t>
      </w:r>
    </w:p>
    <w:p>
      <w:pPr>
        <w:spacing w:before="0" w:after="80" w:line="264" w:lineRule="auto"/>
        <w:jc w:val="both"/>
      </w:pPr>
      <w:r>
        <w:rPr>
          <w:rFonts w:ascii="Times New Roman" w:hAnsi="Times New Roman"/>
          <w:b w:val="0"/>
          <w:i w:val="0"/>
          <w:sz w:val="24"/>
        </w:rPr>
        <w:t>The most important implementation result is that HeartGuard produces an understandable prediction workflow that remains usable even when a patient cannot provide every health field. This is a meaningful improvement over rigid intake designs because preventive screening often begins with partial information rather than full laboratory records.</w:t>
      </w:r>
    </w:p>
    <w:p>
      <w:pPr>
        <w:spacing w:before="0" w:after="80" w:line="264" w:lineRule="auto"/>
        <w:jc w:val="both"/>
      </w:pPr>
      <w:r>
        <w:rPr>
          <w:rFonts w:ascii="Times New Roman" w:hAnsi="Times New Roman"/>
          <w:b w:val="0"/>
          <w:i w:val="0"/>
          <w:sz w:val="24"/>
        </w:rPr>
        <w:t>Another important result is continuity after prediction. The backend saves successful outputs into workbook history, and the dashboard reconstructs that history after refresh instead of leaving the user with an empty screen. This creates a more trustworthy experience and makes the forecast useful beyond a single session.</w:t>
      </w:r>
    </w:p>
    <w:p>
      <w:pPr>
        <w:spacing w:before="0" w:after="80" w:line="264" w:lineRule="auto"/>
        <w:jc w:val="both"/>
      </w:pPr>
      <w:r>
        <w:rPr>
          <w:rFonts w:ascii="Times New Roman" w:hAnsi="Times New Roman"/>
          <w:b w:val="0"/>
          <w:i w:val="0"/>
          <w:sz w:val="24"/>
        </w:rPr>
        <w:t>The surrounding modules add practical value. The diet page transforms the latest prediction into meal strategies, the chatbot provides accessible health guidance, the monitoring page visualizes vitals, the mood page records emotional well-being, and the medications module helps structure adherence habits. Together, these modules extend the system from prediction into preventive support.</w:t>
      </w:r>
    </w:p>
    <w:p>
      <w:pPr>
        <w:spacing w:before="80" w:after="80" w:line="240" w:lineRule="auto"/>
        <w:jc w:val="left"/>
      </w:pPr>
      <w:r>
        <w:rPr>
          <w:rFonts w:ascii="Times New Roman" w:hAnsi="Times New Roman"/>
          <w:b/>
          <w:i w:val="0"/>
          <w:sz w:val="24"/>
        </w:rPr>
        <w:t>6.2 Prediction Continuity and Support Features</w:t>
      </w:r>
    </w:p>
    <w:p>
      <w:pPr>
        <w:spacing w:before="0" w:after="80" w:line="240" w:lineRule="auto"/>
        <w:jc w:val="center"/>
      </w:pPr>
      <w:r>
        <w:rPr>
          <w:rFonts w:ascii="Times New Roman" w:hAnsi="Times New Roman"/>
          <w:b w:val="0"/>
          <w:i w:val="0"/>
          <w:sz w:val="22"/>
        </w:rPr>
        <w:t>Table 6.1 Results and Discussion Summary</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2304"/>
            <w:vAlign w:val="center"/>
          </w:tcPr>
          <w:p>
            <w:pPr>
              <w:spacing w:before="0" w:after="0" w:line="240" w:lineRule="auto"/>
              <w:jc w:val="center"/>
            </w:pPr>
            <w:r>
              <w:rPr>
                <w:rFonts w:ascii="Times New Roman" w:hAnsi="Times New Roman"/>
                <w:b/>
                <w:i w:val="0"/>
                <w:sz w:val="20"/>
              </w:rPr>
              <w:t>Result area</w:t>
            </w:r>
          </w:p>
        </w:tc>
        <w:tc>
          <w:tcPr>
            <w:tcW w:type="dxa" w:w="2736"/>
            <w:vAlign w:val="center"/>
          </w:tcPr>
          <w:p>
            <w:pPr>
              <w:spacing w:before="0" w:after="0" w:line="240" w:lineRule="auto"/>
              <w:jc w:val="center"/>
            </w:pPr>
            <w:r>
              <w:rPr>
                <w:rFonts w:ascii="Times New Roman" w:hAnsi="Times New Roman"/>
                <w:b/>
                <w:i w:val="0"/>
                <w:sz w:val="20"/>
              </w:rPr>
              <w:t>Observed value</w:t>
            </w:r>
          </w:p>
        </w:tc>
        <w:tc>
          <w:tcPr>
            <w:tcW w:type="dxa" w:w="4176"/>
            <w:vAlign w:val="center"/>
          </w:tcPr>
          <w:p>
            <w:pPr>
              <w:spacing w:before="0" w:after="0" w:line="240" w:lineRule="auto"/>
              <w:jc w:val="center"/>
            </w:pPr>
            <w:r>
              <w:rPr>
                <w:rFonts w:ascii="Times New Roman" w:hAnsi="Times New Roman"/>
                <w:b/>
                <w:i w:val="0"/>
                <w:sz w:val="20"/>
              </w:rPr>
              <w:t>Discussion</w:t>
            </w:r>
          </w:p>
        </w:tc>
      </w:tr>
      <w:tr>
        <w:tc>
          <w:tcPr>
            <w:tcW w:type="dxa" w:w="3081"/>
            <w:vAlign w:val="center"/>
          </w:tcPr>
          <w:p>
            <w:pPr>
              <w:spacing w:before="0" w:after="0" w:line="240" w:lineRule="auto"/>
              <w:jc w:val="left"/>
            </w:pPr>
            <w:r>
              <w:rPr>
                <w:rFonts w:ascii="Times New Roman" w:hAnsi="Times New Roman"/>
                <w:b w:val="0"/>
                <w:i w:val="0"/>
                <w:sz w:val="20"/>
              </w:rPr>
              <w:t>Prediction workflow</w:t>
            </w:r>
          </w:p>
        </w:tc>
        <w:tc>
          <w:tcPr>
            <w:tcW w:type="dxa" w:w="3081"/>
            <w:vAlign w:val="center"/>
          </w:tcPr>
          <w:p>
            <w:pPr>
              <w:spacing w:before="0" w:after="0" w:line="240" w:lineRule="auto"/>
              <w:jc w:val="center"/>
            </w:pPr>
            <w:r>
              <w:rPr>
                <w:rFonts w:ascii="Times New Roman" w:hAnsi="Times New Roman"/>
                <w:b w:val="0"/>
                <w:i w:val="0"/>
                <w:sz w:val="20"/>
              </w:rPr>
              <w:t>Sparse-input scoring works with confidence feedback</w:t>
            </w:r>
          </w:p>
        </w:tc>
        <w:tc>
          <w:tcPr>
            <w:tcW w:type="dxa" w:w="3081"/>
            <w:vAlign w:val="center"/>
          </w:tcPr>
          <w:p>
            <w:pPr>
              <w:spacing w:before="0" w:after="0" w:line="240" w:lineRule="auto"/>
              <w:jc w:val="left"/>
            </w:pPr>
            <w:r>
              <w:rPr>
                <w:rFonts w:ascii="Times New Roman" w:hAnsi="Times New Roman"/>
                <w:b w:val="0"/>
                <w:i w:val="0"/>
                <w:sz w:val="20"/>
              </w:rPr>
              <w:t>Suitable for demonstration and early preventive interaction</w:t>
            </w:r>
          </w:p>
        </w:tc>
      </w:tr>
      <w:tr>
        <w:tc>
          <w:tcPr>
            <w:tcW w:type="dxa" w:w="3081"/>
            <w:vAlign w:val="center"/>
          </w:tcPr>
          <w:p>
            <w:pPr>
              <w:spacing w:before="0" w:after="0" w:line="240" w:lineRule="auto"/>
              <w:jc w:val="left"/>
            </w:pPr>
            <w:r>
              <w:rPr>
                <w:rFonts w:ascii="Times New Roman" w:hAnsi="Times New Roman"/>
                <w:b w:val="0"/>
                <w:i w:val="0"/>
                <w:sz w:val="20"/>
              </w:rPr>
              <w:t>Dashboard continuity</w:t>
            </w:r>
          </w:p>
        </w:tc>
        <w:tc>
          <w:tcPr>
            <w:tcW w:type="dxa" w:w="3081"/>
            <w:vAlign w:val="center"/>
          </w:tcPr>
          <w:p>
            <w:pPr>
              <w:spacing w:before="0" w:after="0" w:line="240" w:lineRule="auto"/>
              <w:jc w:val="center"/>
            </w:pPr>
            <w:r>
              <w:rPr>
                <w:rFonts w:ascii="Times New Roman" w:hAnsi="Times New Roman"/>
                <w:b w:val="0"/>
                <w:i w:val="0"/>
                <w:sz w:val="20"/>
              </w:rPr>
              <w:t>Saved records reload from workbook history</w:t>
            </w:r>
          </w:p>
        </w:tc>
        <w:tc>
          <w:tcPr>
            <w:tcW w:type="dxa" w:w="3081"/>
            <w:vAlign w:val="center"/>
          </w:tcPr>
          <w:p>
            <w:pPr>
              <w:spacing w:before="0" w:after="0" w:line="240" w:lineRule="auto"/>
              <w:jc w:val="left"/>
            </w:pPr>
            <w:r>
              <w:rPr>
                <w:rFonts w:ascii="Times New Roman" w:hAnsi="Times New Roman"/>
                <w:b w:val="0"/>
                <w:i w:val="0"/>
                <w:sz w:val="20"/>
              </w:rPr>
              <w:t>Improves trust and supports longitudinal review</w:t>
            </w:r>
          </w:p>
        </w:tc>
      </w:tr>
      <w:tr>
        <w:tc>
          <w:tcPr>
            <w:tcW w:type="dxa" w:w="3081"/>
            <w:vAlign w:val="center"/>
          </w:tcPr>
          <w:p>
            <w:pPr>
              <w:spacing w:before="0" w:after="0" w:line="240" w:lineRule="auto"/>
              <w:jc w:val="left"/>
            </w:pPr>
            <w:r>
              <w:rPr>
                <w:rFonts w:ascii="Times New Roman" w:hAnsi="Times New Roman"/>
                <w:b w:val="0"/>
                <w:i w:val="0"/>
                <w:sz w:val="20"/>
              </w:rPr>
              <w:t>Support modules</w:t>
            </w:r>
          </w:p>
        </w:tc>
        <w:tc>
          <w:tcPr>
            <w:tcW w:type="dxa" w:w="3081"/>
            <w:vAlign w:val="center"/>
          </w:tcPr>
          <w:p>
            <w:pPr>
              <w:spacing w:before="0" w:after="0" w:line="240" w:lineRule="auto"/>
              <w:jc w:val="center"/>
            </w:pPr>
            <w:r>
              <w:rPr>
                <w:rFonts w:ascii="Times New Roman" w:hAnsi="Times New Roman"/>
                <w:b w:val="0"/>
                <w:i w:val="0"/>
                <w:sz w:val="20"/>
              </w:rPr>
              <w:t>Diet, monitoring, mood, meds, chat, and community are integrated around prediction</w:t>
            </w:r>
          </w:p>
        </w:tc>
        <w:tc>
          <w:tcPr>
            <w:tcW w:type="dxa" w:w="3081"/>
            <w:vAlign w:val="center"/>
          </w:tcPr>
          <w:p>
            <w:pPr>
              <w:spacing w:before="0" w:after="0" w:line="240" w:lineRule="auto"/>
              <w:jc w:val="left"/>
            </w:pPr>
            <w:r>
              <w:rPr>
                <w:rFonts w:ascii="Times New Roman" w:hAnsi="Times New Roman"/>
                <w:b w:val="0"/>
                <w:i w:val="0"/>
                <w:sz w:val="20"/>
              </w:rPr>
              <w:t>Transforms risk insight into broader preventive action</w:t>
            </w:r>
          </w:p>
        </w:tc>
      </w:tr>
      <w:tr>
        <w:tc>
          <w:tcPr>
            <w:tcW w:type="dxa" w:w="3081"/>
            <w:vAlign w:val="center"/>
          </w:tcPr>
          <w:p>
            <w:pPr>
              <w:spacing w:before="0" w:after="0" w:line="240" w:lineRule="auto"/>
              <w:jc w:val="left"/>
            </w:pPr>
            <w:r>
              <w:rPr>
                <w:rFonts w:ascii="Times New Roman" w:hAnsi="Times New Roman"/>
                <w:b w:val="0"/>
                <w:i w:val="0"/>
                <w:sz w:val="20"/>
              </w:rPr>
              <w:t>Research assets</w:t>
            </w:r>
          </w:p>
        </w:tc>
        <w:tc>
          <w:tcPr>
            <w:tcW w:type="dxa" w:w="3081"/>
            <w:vAlign w:val="center"/>
          </w:tcPr>
          <w:p>
            <w:pPr>
              <w:spacing w:before="0" w:after="0" w:line="240" w:lineRule="auto"/>
              <w:jc w:val="center"/>
            </w:pPr>
            <w:r>
              <w:rPr>
                <w:rFonts w:ascii="Times New Roman" w:hAnsi="Times New Roman"/>
                <w:b w:val="0"/>
                <w:i w:val="0"/>
                <w:sz w:val="20"/>
              </w:rPr>
              <w:t>Notebook metrics and pkl model files are preserved in the repo</w:t>
            </w:r>
          </w:p>
        </w:tc>
        <w:tc>
          <w:tcPr>
            <w:tcW w:type="dxa" w:w="3081"/>
            <w:vAlign w:val="center"/>
          </w:tcPr>
          <w:p>
            <w:pPr>
              <w:spacing w:before="0" w:after="0" w:line="240" w:lineRule="auto"/>
              <w:jc w:val="left"/>
            </w:pPr>
            <w:r>
              <w:rPr>
                <w:rFonts w:ascii="Times New Roman" w:hAnsi="Times New Roman"/>
                <w:b w:val="0"/>
                <w:i w:val="0"/>
                <w:sz w:val="20"/>
              </w:rPr>
              <w:t>Supports future transition toward stronger model-serving integration</w:t>
            </w:r>
          </w:p>
        </w:tc>
      </w:tr>
    </w:tbl>
    <w:p>
      <w:pPr>
        <w:spacing w:before="0" w:after="20" w:line="240" w:lineRule="auto"/>
        <w:jc w:val="both"/>
      </w:pPr>
    </w:p>
    <w:p>
      <w:pPr>
        <w:spacing w:before="80" w:after="80" w:line="240" w:lineRule="auto"/>
        <w:jc w:val="left"/>
      </w:pPr>
      <w:r>
        <w:rPr>
          <w:rFonts w:ascii="Times New Roman" w:hAnsi="Times New Roman"/>
          <w:b/>
          <w:i w:val="0"/>
          <w:sz w:val="24"/>
        </w:rPr>
        <w:t>6.3 Implementation Tradeoffs</w:t>
      </w:r>
    </w:p>
    <w:p>
      <w:pPr>
        <w:spacing w:before="0" w:after="80" w:line="264" w:lineRule="auto"/>
        <w:jc w:val="both"/>
      </w:pPr>
      <w:r>
        <w:rPr>
          <w:rFonts w:ascii="Times New Roman" w:hAnsi="Times New Roman"/>
          <w:b w:val="0"/>
          <w:i w:val="0"/>
          <w:sz w:val="24"/>
        </w:rPr>
        <w:t>The present design reflects an intentional tradeoff between predictive sophistication and explainable usability. Although the repository contains model artifacts and notebook experimentation, the live public prototype does not currently expose a direct black-box classifier. Instead, it uses weighted clinical scoring so that the system remains understandable and stable under partial inputs.</w:t>
      </w:r>
    </w:p>
    <w:p>
      <w:pPr>
        <w:spacing w:before="0" w:after="80" w:line="264" w:lineRule="auto"/>
        <w:jc w:val="both"/>
      </w:pPr>
      <w:r>
        <w:rPr>
          <w:rFonts w:ascii="Times New Roman" w:hAnsi="Times New Roman"/>
          <w:b w:val="0"/>
          <w:i w:val="0"/>
          <w:sz w:val="24"/>
        </w:rPr>
        <w:t>A second tradeoff concerns persistence. Excel-backed storage is easy to audit and sufficient for classroom or single-team use, but it is not durable enough for large-scale or multi-user deployment. This is clearly acknowledged in the deployment notes and should be addressed before production use.</w:t>
      </w:r>
    </w:p>
    <w:p>
      <w:pPr>
        <w:spacing w:before="0" w:after="80" w:line="264" w:lineRule="auto"/>
        <w:jc w:val="both"/>
      </w:pPr>
      <w:r>
        <w:rPr>
          <w:rFonts w:ascii="Times New Roman" w:hAnsi="Times New Roman"/>
          <w:b w:val="0"/>
          <w:i w:val="0"/>
          <w:sz w:val="24"/>
        </w:rPr>
        <w:t>These tradeoffs do not reduce the academic value of the project. Instead, they help position HeartGuard accurately: it is a credible and well-connected prototype for preventive, readmission-aware support, while still requiring database hardening, model-serving alignment, and broader validation for future healthcare deployment.</w:t>
      </w:r>
    </w:p>
    <w:p>
      <w:r>
        <w:br w:type="page"/>
      </w:r>
    </w:p>
    <w:p>
      <w:pPr>
        <w:spacing w:before="160" w:after="80" w:line="240" w:lineRule="auto"/>
        <w:jc w:val="center"/>
      </w:pPr>
      <w:r>
        <w:rPr>
          <w:rFonts w:ascii="Times New Roman" w:hAnsi="Times New Roman"/>
          <w:b/>
          <w:i w:val="0"/>
          <w:sz w:val="28"/>
        </w:rPr>
        <w:t>CHAPTER 7</w:t>
      </w:r>
    </w:p>
    <w:p>
      <w:pPr>
        <w:spacing w:before="0" w:after="200" w:line="240" w:lineRule="auto"/>
        <w:jc w:val="center"/>
      </w:pPr>
      <w:r>
        <w:rPr>
          <w:rFonts w:ascii="Times New Roman" w:hAnsi="Times New Roman"/>
          <w:b/>
          <w:i w:val="0"/>
          <w:sz w:val="28"/>
        </w:rPr>
        <w:t>CONCLUSION</w:t>
      </w:r>
    </w:p>
    <w:p>
      <w:pPr>
        <w:spacing w:before="0" w:after="80" w:line="264" w:lineRule="auto"/>
        <w:jc w:val="both"/>
      </w:pPr>
      <w:r>
        <w:rPr>
          <w:rFonts w:ascii="Times New Roman" w:hAnsi="Times New Roman"/>
          <w:b w:val="0"/>
          <w:i w:val="0"/>
          <w:sz w:val="24"/>
        </w:rPr>
        <w:t>HeartGuard demonstrates that heart-failure-aware forecasting can be made more useful when prediction is combined with continuity, explainability, and supportive follow-up modules. By integrating multi-source healthcare datasets, preserving notebook-based model experimentation, and delivering a deployed web prototype with risk scoring, prediction history, dashboard summaries, diet guidance, chatbot assistance, and wellness support features, the project moves beyond a narrow machine-learning exercise.</w:t>
      </w:r>
    </w:p>
    <w:p>
      <w:pPr>
        <w:spacing w:before="0" w:after="80" w:line="264" w:lineRule="auto"/>
        <w:jc w:val="both"/>
      </w:pPr>
      <w:r>
        <w:rPr>
          <w:rFonts w:ascii="Times New Roman" w:hAnsi="Times New Roman"/>
          <w:b w:val="0"/>
          <w:i w:val="0"/>
          <w:sz w:val="24"/>
        </w:rPr>
        <w:t>The report also shows that the current implementation is honest about its scope. It is an academic system designed for preventive insight generation, not yet a hospital-certified readmission service. Even so, it contributes meaningful value by showing how forecasting, persistence, and user support can be connected in a single coherent workflow.</w:t>
      </w:r>
    </w:p>
    <w:p>
      <w:r>
        <w:br w:type="page"/>
      </w:r>
    </w:p>
    <w:p>
      <w:pPr>
        <w:spacing w:before="160" w:after="80" w:line="240" w:lineRule="auto"/>
        <w:jc w:val="center"/>
      </w:pPr>
      <w:r>
        <w:rPr>
          <w:rFonts w:ascii="Times New Roman" w:hAnsi="Times New Roman"/>
          <w:b/>
          <w:i w:val="0"/>
          <w:sz w:val="28"/>
        </w:rPr>
        <w:t>CHAPTER 8</w:t>
      </w:r>
    </w:p>
    <w:p>
      <w:pPr>
        <w:spacing w:before="0" w:after="200" w:line="240" w:lineRule="auto"/>
        <w:jc w:val="center"/>
      </w:pPr>
      <w:r>
        <w:rPr>
          <w:rFonts w:ascii="Times New Roman" w:hAnsi="Times New Roman"/>
          <w:b/>
          <w:i w:val="0"/>
          <w:sz w:val="28"/>
        </w:rPr>
        <w:t>FUTURE WORK</w:t>
      </w:r>
    </w:p>
    <w:p>
      <w:pPr>
        <w:spacing w:before="0" w:after="40" w:line="240" w:lineRule="auto"/>
        <w:jc w:val="left"/>
      </w:pPr>
      <w:r>
        <w:rPr>
          <w:rFonts w:ascii="Times New Roman" w:hAnsi="Times New Roman"/>
          <w:b w:val="0"/>
          <w:i w:val="0"/>
          <w:sz w:val="24"/>
        </w:rPr>
        <w:t>- Integrate the deployed web interface with validated model-serving pipelines derived from the stored notebook and pkl artifacts.</w:t>
      </w:r>
    </w:p>
    <w:p>
      <w:pPr>
        <w:spacing w:before="0" w:after="40" w:line="240" w:lineRule="auto"/>
        <w:jc w:val="left"/>
      </w:pPr>
      <w:r>
        <w:rPr>
          <w:rFonts w:ascii="Times New Roman" w:hAnsi="Times New Roman"/>
          <w:b w:val="0"/>
          <w:i w:val="0"/>
          <w:sz w:val="24"/>
        </w:rPr>
        <w:t>- Replace Excel persistence with SQLite or PostgreSQL for durable multi-user history and concurrency support.</w:t>
      </w:r>
    </w:p>
    <w:p>
      <w:pPr>
        <w:spacing w:before="0" w:after="40" w:line="240" w:lineRule="auto"/>
        <w:jc w:val="left"/>
      </w:pPr>
      <w:r>
        <w:rPr>
          <w:rFonts w:ascii="Times New Roman" w:hAnsi="Times New Roman"/>
          <w:b w:val="0"/>
          <w:i w:val="0"/>
          <w:sz w:val="24"/>
        </w:rPr>
        <w:t>- Add secure authentication and role-based dashboards for patients, clinicians, and administrators.</w:t>
      </w:r>
    </w:p>
    <w:p>
      <w:pPr>
        <w:spacing w:before="0" w:after="40" w:line="240" w:lineRule="auto"/>
        <w:jc w:val="left"/>
      </w:pPr>
      <w:r>
        <w:rPr>
          <w:rFonts w:ascii="Times New Roman" w:hAnsi="Times New Roman"/>
          <w:b w:val="0"/>
          <w:i w:val="0"/>
          <w:sz w:val="24"/>
        </w:rPr>
        <w:t>- Include prospective clinical validation, calibration studies, and fairness analysis across diverse patient groups.</w:t>
      </w:r>
    </w:p>
    <w:p>
      <w:pPr>
        <w:spacing w:before="0" w:after="40" w:line="240" w:lineRule="auto"/>
        <w:jc w:val="left"/>
      </w:pPr>
      <w:r>
        <w:rPr>
          <w:rFonts w:ascii="Times New Roman" w:hAnsi="Times New Roman"/>
          <w:b w:val="0"/>
          <w:i w:val="0"/>
          <w:sz w:val="24"/>
        </w:rPr>
        <w:t>- Extend wellness support with reminders, notifications, and device-linked monitoring inputs.</w:t>
      </w:r>
    </w:p>
    <w:p>
      <w:pPr>
        <w:spacing w:before="280" w:after="200" w:line="240" w:lineRule="auto"/>
        <w:jc w:val="center"/>
      </w:pPr>
      <w:r>
        <w:rPr>
          <w:rFonts w:ascii="Times New Roman" w:hAnsi="Times New Roman"/>
          <w:b/>
          <w:i w:val="0"/>
          <w:sz w:val="30"/>
        </w:rPr>
        <w:t>REFERENCES</w:t>
      </w:r>
    </w:p>
    <w:p>
      <w:pPr>
        <w:spacing w:before="0" w:after="60" w:line="240" w:lineRule="auto"/>
        <w:jc w:val="both"/>
      </w:pPr>
      <w:r>
        <w:rPr>
          <w:rFonts w:ascii="Times New Roman" w:hAnsi="Times New Roman"/>
          <w:b w:val="0"/>
          <w:i w:val="0"/>
          <w:sz w:val="22"/>
        </w:rPr>
        <w:t>[1] H. Hajishah et al., "Evaluation of machine learning methods for prediction of heart failure mortality and readmission: meta-analysis," BMC Cardiovascular Disorders, vol. 25, 2025.</w:t>
      </w:r>
    </w:p>
    <w:p>
      <w:pPr>
        <w:spacing w:before="0" w:after="60" w:line="240" w:lineRule="auto"/>
        <w:jc w:val="both"/>
      </w:pPr>
      <w:r>
        <w:rPr>
          <w:rFonts w:ascii="Times New Roman" w:hAnsi="Times New Roman"/>
          <w:b w:val="0"/>
          <w:i w:val="0"/>
          <w:sz w:val="22"/>
        </w:rPr>
        <w:t>[2] J.-S. Rachoin, K. Hunter, J. Varallo, and E. Cerceo, "Impact of time from discharge to readmission on outcomes," BMJ Open, vol. 14, 2024.</w:t>
      </w:r>
    </w:p>
    <w:p>
      <w:pPr>
        <w:spacing w:before="0" w:after="60" w:line="240" w:lineRule="auto"/>
        <w:jc w:val="both"/>
      </w:pPr>
      <w:r>
        <w:rPr>
          <w:rFonts w:ascii="Times New Roman" w:hAnsi="Times New Roman"/>
          <w:b w:val="0"/>
          <w:i w:val="0"/>
          <w:sz w:val="22"/>
        </w:rPr>
        <w:t>[3] R. O. Baris and C. E. Tabit, "Heart Failure Readmission Prevention Strategies," Journal of Clinical Medicine, vol. 14, no. 16, 2025.</w:t>
      </w:r>
    </w:p>
    <w:p>
      <w:pPr>
        <w:spacing w:before="0" w:after="60" w:line="240" w:lineRule="auto"/>
        <w:jc w:val="both"/>
      </w:pPr>
      <w:r>
        <w:rPr>
          <w:rFonts w:ascii="Times New Roman" w:hAnsi="Times New Roman"/>
          <w:b w:val="0"/>
          <w:i w:val="0"/>
          <w:sz w:val="22"/>
        </w:rPr>
        <w:t>[4] R. B. D'Agostino Sr. et al., "General cardiovascular risk profile for use in primary care: the Framingham Heart Study," Circulation, vol. 117, no. 6, 2008.</w:t>
      </w:r>
    </w:p>
    <w:p>
      <w:pPr>
        <w:spacing w:before="0" w:after="60" w:line="240" w:lineRule="auto"/>
        <w:jc w:val="both"/>
      </w:pPr>
      <w:r>
        <w:rPr>
          <w:rFonts w:ascii="Times New Roman" w:hAnsi="Times New Roman"/>
          <w:b w:val="0"/>
          <w:i w:val="0"/>
          <w:sz w:val="22"/>
        </w:rPr>
        <w:t>[5] Project repository artifacts: FastAPI backend, workbook persistence, processed datasets, and notebook-based model training assets in the HeartGuard workspace.</w:t>
      </w:r>
    </w:p>
    <w:p>
      <w:r>
        <w:br w:type="page"/>
      </w:r>
    </w:p>
    <w:p>
      <w:pPr>
        <w:spacing w:before="0" w:after="200" w:line="240" w:lineRule="auto"/>
        <w:jc w:val="center"/>
      </w:pPr>
      <w:r>
        <w:rPr>
          <w:rFonts w:ascii="Times New Roman" w:hAnsi="Times New Roman"/>
          <w:b/>
          <w:i w:val="0"/>
          <w:sz w:val="30"/>
        </w:rPr>
        <w:t>ANNEXURE</w:t>
      </w:r>
    </w:p>
    <w:p>
      <w:pPr>
        <w:spacing w:before="0" w:after="80" w:line="240" w:lineRule="auto"/>
        <w:jc w:val="center"/>
      </w:pPr>
      <w:r>
        <w:rPr>
          <w:rFonts w:ascii="Times New Roman" w:hAnsi="Times New Roman"/>
          <w:b w:val="0"/>
          <w:i w:val="0"/>
          <w:sz w:val="22"/>
        </w:rPr>
        <w:t>Table A.1 Dataset and Variable Summary</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3240"/>
            <w:vAlign w:val="center"/>
          </w:tcPr>
          <w:p>
            <w:pPr>
              <w:spacing w:before="0" w:after="0" w:line="240" w:lineRule="auto"/>
              <w:jc w:val="center"/>
            </w:pPr>
            <w:r>
              <w:rPr>
                <w:rFonts w:ascii="Times New Roman" w:hAnsi="Times New Roman"/>
                <w:b/>
                <w:i w:val="0"/>
                <w:sz w:val="20"/>
              </w:rPr>
              <w:t>Dataset / Variable group</w:t>
            </w:r>
          </w:p>
        </w:tc>
        <w:tc>
          <w:tcPr>
            <w:tcW w:type="dxa" w:w="3096"/>
            <w:vAlign w:val="center"/>
          </w:tcPr>
          <w:p>
            <w:pPr>
              <w:spacing w:before="0" w:after="0" w:line="240" w:lineRule="auto"/>
              <w:jc w:val="center"/>
            </w:pPr>
            <w:r>
              <w:rPr>
                <w:rFonts w:ascii="Times New Roman" w:hAnsi="Times New Roman"/>
                <w:b/>
                <w:i w:val="0"/>
                <w:sz w:val="20"/>
              </w:rPr>
              <w:t>Current project evidence</w:t>
            </w:r>
          </w:p>
        </w:tc>
        <w:tc>
          <w:tcPr>
            <w:tcW w:type="dxa" w:w="3024"/>
            <w:vAlign w:val="center"/>
          </w:tcPr>
          <w:p>
            <w:pPr>
              <w:spacing w:before="0" w:after="0" w:line="240" w:lineRule="auto"/>
              <w:jc w:val="center"/>
            </w:pPr>
            <w:r>
              <w:rPr>
                <w:rFonts w:ascii="Times New Roman" w:hAnsi="Times New Roman"/>
                <w:b/>
                <w:i w:val="0"/>
                <w:sz w:val="20"/>
              </w:rPr>
              <w:t>Use in HeartGuard</w:t>
            </w:r>
          </w:p>
        </w:tc>
      </w:tr>
      <w:tr>
        <w:tc>
          <w:tcPr>
            <w:tcW w:type="dxa" w:w="3081"/>
            <w:vAlign w:val="center"/>
          </w:tcPr>
          <w:p>
            <w:pPr>
              <w:spacing w:before="0" w:after="0" w:line="240" w:lineRule="auto"/>
              <w:jc w:val="left"/>
            </w:pPr>
            <w:r>
              <w:rPr>
                <w:rFonts w:ascii="Times New Roman" w:hAnsi="Times New Roman"/>
                <w:b w:val="0"/>
                <w:i w:val="0"/>
                <w:sz w:val="20"/>
              </w:rPr>
              <w:t>Master dataset (312,774 x 12)</w:t>
            </w:r>
          </w:p>
        </w:tc>
        <w:tc>
          <w:tcPr>
            <w:tcW w:type="dxa" w:w="3081"/>
            <w:vAlign w:val="center"/>
          </w:tcPr>
          <w:p>
            <w:pPr>
              <w:spacing w:before="0" w:after="0" w:line="240" w:lineRule="auto"/>
              <w:jc w:val="center"/>
            </w:pPr>
            <w:r>
              <w:rPr>
                <w:rFonts w:ascii="Times New Roman" w:hAnsi="Times New Roman"/>
                <w:b w:val="0"/>
                <w:i w:val="0"/>
                <w:sz w:val="20"/>
              </w:rPr>
              <w:t>Combined harmonized records</w:t>
            </w:r>
          </w:p>
        </w:tc>
        <w:tc>
          <w:tcPr>
            <w:tcW w:type="dxa" w:w="3081"/>
            <w:vAlign w:val="center"/>
          </w:tcPr>
          <w:p>
            <w:pPr>
              <w:spacing w:before="0" w:after="0" w:line="240" w:lineRule="auto"/>
              <w:jc w:val="left"/>
            </w:pPr>
            <w:r>
              <w:rPr>
                <w:rFonts w:ascii="Times New Roman" w:hAnsi="Times New Roman"/>
                <w:b w:val="0"/>
                <w:i w:val="0"/>
                <w:sz w:val="20"/>
              </w:rPr>
              <w:t>Broad research foundation</w:t>
            </w:r>
          </w:p>
        </w:tc>
      </w:tr>
      <w:tr>
        <w:tc>
          <w:tcPr>
            <w:tcW w:type="dxa" w:w="3081"/>
            <w:vAlign w:val="center"/>
          </w:tcPr>
          <w:p>
            <w:pPr>
              <w:spacing w:before="0" w:after="0" w:line="240" w:lineRule="auto"/>
              <w:jc w:val="left"/>
            </w:pPr>
            <w:r>
              <w:rPr>
                <w:rFonts w:ascii="Times New Roman" w:hAnsi="Times New Roman"/>
                <w:b w:val="0"/>
                <w:i w:val="0"/>
                <w:sz w:val="20"/>
              </w:rPr>
              <w:t>Cardiovascular dataset (70,000 x 13)</w:t>
            </w:r>
          </w:p>
        </w:tc>
        <w:tc>
          <w:tcPr>
            <w:tcW w:type="dxa" w:w="3081"/>
            <w:vAlign w:val="center"/>
          </w:tcPr>
          <w:p>
            <w:pPr>
              <w:spacing w:before="0" w:after="0" w:line="240" w:lineRule="auto"/>
              <w:jc w:val="center"/>
            </w:pPr>
            <w:r>
              <w:rPr>
                <w:rFonts w:ascii="Times New Roman" w:hAnsi="Times New Roman"/>
                <w:b w:val="0"/>
                <w:i w:val="0"/>
                <w:sz w:val="20"/>
              </w:rPr>
              <w:t>General heart-risk features</w:t>
            </w:r>
          </w:p>
        </w:tc>
        <w:tc>
          <w:tcPr>
            <w:tcW w:type="dxa" w:w="3081"/>
            <w:vAlign w:val="center"/>
          </w:tcPr>
          <w:p>
            <w:pPr>
              <w:spacing w:before="0" w:after="0" w:line="240" w:lineRule="auto"/>
              <w:jc w:val="left"/>
            </w:pPr>
            <w:r>
              <w:rPr>
                <w:rFonts w:ascii="Times New Roman" w:hAnsi="Times New Roman"/>
                <w:b w:val="0"/>
                <w:i w:val="0"/>
                <w:sz w:val="20"/>
              </w:rPr>
              <w:t>Preventive risk context</w:t>
            </w:r>
          </w:p>
        </w:tc>
      </w:tr>
      <w:tr>
        <w:tc>
          <w:tcPr>
            <w:tcW w:type="dxa" w:w="3081"/>
            <w:vAlign w:val="center"/>
          </w:tcPr>
          <w:p>
            <w:pPr>
              <w:spacing w:before="0" w:after="0" w:line="240" w:lineRule="auto"/>
              <w:jc w:val="left"/>
            </w:pPr>
            <w:r>
              <w:rPr>
                <w:rFonts w:ascii="Times New Roman" w:hAnsi="Times New Roman"/>
                <w:b w:val="0"/>
                <w:i w:val="0"/>
                <w:sz w:val="20"/>
              </w:rPr>
              <w:t>Diabetes dataset (229,474 x 22)</w:t>
            </w:r>
          </w:p>
        </w:tc>
        <w:tc>
          <w:tcPr>
            <w:tcW w:type="dxa" w:w="3081"/>
            <w:vAlign w:val="center"/>
          </w:tcPr>
          <w:p>
            <w:pPr>
              <w:spacing w:before="0" w:after="0" w:line="240" w:lineRule="auto"/>
              <w:jc w:val="center"/>
            </w:pPr>
            <w:r>
              <w:rPr>
                <w:rFonts w:ascii="Times New Roman" w:hAnsi="Times New Roman"/>
                <w:b w:val="0"/>
                <w:i w:val="0"/>
                <w:sz w:val="20"/>
              </w:rPr>
              <w:t>Metabolic comorbidity signals</w:t>
            </w:r>
          </w:p>
        </w:tc>
        <w:tc>
          <w:tcPr>
            <w:tcW w:type="dxa" w:w="3081"/>
            <w:vAlign w:val="center"/>
          </w:tcPr>
          <w:p>
            <w:pPr>
              <w:spacing w:before="0" w:after="0" w:line="240" w:lineRule="auto"/>
              <w:jc w:val="left"/>
            </w:pPr>
            <w:r>
              <w:rPr>
                <w:rFonts w:ascii="Times New Roman" w:hAnsi="Times New Roman"/>
                <w:b w:val="0"/>
                <w:i w:val="0"/>
                <w:sz w:val="20"/>
              </w:rPr>
              <w:t>Diet and chronic-risk context</w:t>
            </w:r>
          </w:p>
        </w:tc>
      </w:tr>
      <w:tr>
        <w:tc>
          <w:tcPr>
            <w:tcW w:type="dxa" w:w="3081"/>
            <w:vAlign w:val="center"/>
          </w:tcPr>
          <w:p>
            <w:pPr>
              <w:spacing w:before="0" w:after="0" w:line="240" w:lineRule="auto"/>
              <w:jc w:val="left"/>
            </w:pPr>
            <w:r>
              <w:rPr>
                <w:rFonts w:ascii="Times New Roman" w:hAnsi="Times New Roman"/>
                <w:b w:val="0"/>
                <w:i w:val="0"/>
                <w:sz w:val="20"/>
              </w:rPr>
              <w:t>Framingham dataset (4,238 x 16)</w:t>
            </w:r>
          </w:p>
        </w:tc>
        <w:tc>
          <w:tcPr>
            <w:tcW w:type="dxa" w:w="3081"/>
            <w:vAlign w:val="center"/>
          </w:tcPr>
          <w:p>
            <w:pPr>
              <w:spacing w:before="0" w:after="0" w:line="240" w:lineRule="auto"/>
              <w:jc w:val="center"/>
            </w:pPr>
            <w:r>
              <w:rPr>
                <w:rFonts w:ascii="Times New Roman" w:hAnsi="Times New Roman"/>
                <w:b w:val="0"/>
                <w:i w:val="0"/>
                <w:sz w:val="20"/>
              </w:rPr>
              <w:t>Classic long-term cardiovascular variables</w:t>
            </w:r>
          </w:p>
        </w:tc>
        <w:tc>
          <w:tcPr>
            <w:tcW w:type="dxa" w:w="3081"/>
            <w:vAlign w:val="center"/>
          </w:tcPr>
          <w:p>
            <w:pPr>
              <w:spacing w:before="0" w:after="0" w:line="240" w:lineRule="auto"/>
              <w:jc w:val="left"/>
            </w:pPr>
            <w:r>
              <w:rPr>
                <w:rFonts w:ascii="Times New Roman" w:hAnsi="Times New Roman"/>
                <w:b w:val="0"/>
                <w:i w:val="0"/>
                <w:sz w:val="20"/>
              </w:rPr>
              <w:t>Primary-care risk framing</w:t>
            </w:r>
          </w:p>
        </w:tc>
      </w:tr>
      <w:tr>
        <w:tc>
          <w:tcPr>
            <w:tcW w:type="dxa" w:w="3081"/>
            <w:vAlign w:val="center"/>
          </w:tcPr>
          <w:p>
            <w:pPr>
              <w:spacing w:before="0" w:after="0" w:line="240" w:lineRule="auto"/>
              <w:jc w:val="left"/>
            </w:pPr>
            <w:r>
              <w:rPr>
                <w:rFonts w:ascii="Times New Roman" w:hAnsi="Times New Roman"/>
                <w:b w:val="0"/>
                <w:i w:val="0"/>
                <w:sz w:val="20"/>
              </w:rPr>
              <w:t>Heart failure dataset (299 x 13)</w:t>
            </w:r>
          </w:p>
        </w:tc>
        <w:tc>
          <w:tcPr>
            <w:tcW w:type="dxa" w:w="3081"/>
            <w:vAlign w:val="center"/>
          </w:tcPr>
          <w:p>
            <w:pPr>
              <w:spacing w:before="0" w:after="0" w:line="240" w:lineRule="auto"/>
              <w:jc w:val="center"/>
            </w:pPr>
            <w:r>
              <w:rPr>
                <w:rFonts w:ascii="Times New Roman" w:hAnsi="Times New Roman"/>
                <w:b w:val="0"/>
                <w:i w:val="0"/>
                <w:sz w:val="20"/>
              </w:rPr>
              <w:t>Advanced variables like EF and creatinine</w:t>
            </w:r>
          </w:p>
        </w:tc>
        <w:tc>
          <w:tcPr>
            <w:tcW w:type="dxa" w:w="3081"/>
            <w:vAlign w:val="center"/>
          </w:tcPr>
          <w:p>
            <w:pPr>
              <w:spacing w:before="0" w:after="0" w:line="240" w:lineRule="auto"/>
              <w:jc w:val="left"/>
            </w:pPr>
            <w:r>
              <w:rPr>
                <w:rFonts w:ascii="Times New Roman" w:hAnsi="Times New Roman"/>
                <w:b w:val="0"/>
                <w:i w:val="0"/>
                <w:sz w:val="20"/>
              </w:rPr>
              <w:t>Readmission-aware sensitivity</w:t>
            </w:r>
          </w:p>
        </w:tc>
      </w:tr>
      <w:tr>
        <w:tc>
          <w:tcPr>
            <w:tcW w:type="dxa" w:w="3081"/>
            <w:vAlign w:val="center"/>
          </w:tcPr>
          <w:p>
            <w:pPr>
              <w:spacing w:before="0" w:after="0" w:line="240" w:lineRule="auto"/>
              <w:jc w:val="left"/>
            </w:pPr>
            <w:r>
              <w:rPr>
                <w:rFonts w:ascii="Times New Roman" w:hAnsi="Times New Roman"/>
                <w:b w:val="0"/>
                <w:i w:val="0"/>
                <w:sz w:val="20"/>
              </w:rPr>
              <w:t>Deployed predictor fields</w:t>
            </w:r>
          </w:p>
        </w:tc>
        <w:tc>
          <w:tcPr>
            <w:tcW w:type="dxa" w:w="3081"/>
            <w:vAlign w:val="center"/>
          </w:tcPr>
          <w:p>
            <w:pPr>
              <w:spacing w:before="0" w:after="0" w:line="240" w:lineRule="auto"/>
              <w:jc w:val="center"/>
            </w:pPr>
            <w:r>
              <w:rPr>
                <w:rFonts w:ascii="Times New Roman" w:hAnsi="Times New Roman"/>
                <w:b w:val="0"/>
                <w:i w:val="0"/>
                <w:sz w:val="20"/>
              </w:rPr>
              <w:t>age, sex, BMI, cholesterol, BP, glucose, activity, smoking, hypertension, diabetes, heart rate, EF, creatinine</w:t>
            </w:r>
          </w:p>
        </w:tc>
        <w:tc>
          <w:tcPr>
            <w:tcW w:type="dxa" w:w="3081"/>
            <w:vAlign w:val="center"/>
          </w:tcPr>
          <w:p>
            <w:pPr>
              <w:spacing w:before="0" w:after="0" w:line="240" w:lineRule="auto"/>
              <w:jc w:val="left"/>
            </w:pPr>
            <w:r>
              <w:rPr>
                <w:rFonts w:ascii="Times New Roman" w:hAnsi="Times New Roman"/>
                <w:b w:val="0"/>
                <w:i w:val="0"/>
                <w:sz w:val="20"/>
              </w:rPr>
              <w:t>Explainable sparse-input scoring</w:t>
            </w:r>
          </w:p>
        </w:tc>
      </w:tr>
    </w:tbl>
    <w:p>
      <w:pPr>
        <w:spacing w:before="0" w:after="20" w:line="240" w:lineRule="auto"/>
        <w:jc w:val="both"/>
      </w:pPr>
    </w:p>
    <w:p>
      <w:pPr>
        <w:spacing w:before="0" w:after="80" w:line="264" w:lineRule="auto"/>
        <w:jc w:val="both"/>
      </w:pPr>
      <w:r>
        <w:rPr>
          <w:rFonts w:ascii="Times New Roman" w:hAnsi="Times New Roman"/>
          <w:b w:val="0"/>
          <w:i w:val="0"/>
          <w:sz w:val="24"/>
        </w:rPr>
        <w:t>The annexure highlights an important point about the current project: HeartGuard is not based on a single isolated dataset or a single monolithic model idea. Instead, it combines a practical web workflow with a broader research base that can support future improvements in predictive fidelity, personalization, and deployment maturity.</w:t>
      </w:r>
    </w:p>
    <w:sectPr w:rsidR="00FC693F" w:rsidRPr="0006063C" w:rsidSect="00034616">
      <w:pgSz w:w="11906" w:h="16838"/>
      <w:pgMar w:top="1247"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