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AF4A" w14:textId="77777777" w:rsidR="00977B09" w:rsidRDefault="00000000">
      <w:pPr>
        <w:spacing w:before="320" w:line="240" w:lineRule="auto"/>
        <w:jc w:val="center"/>
      </w:pPr>
      <w:r>
        <w:rPr>
          <w:rFonts w:ascii="Cambria" w:hAnsi="Cambria"/>
          <w:b/>
          <w:sz w:val="26"/>
        </w:rPr>
        <w:t>HEARTGUARD: PREVENTIVE INSIGHTS FOR HEART FAILURE READMISSION FORECASTING</w:t>
      </w:r>
    </w:p>
    <w:p w14:paraId="5B8868AC" w14:textId="77777777" w:rsidR="00977B09" w:rsidRDefault="00000000">
      <w:pPr>
        <w:spacing w:after="40" w:line="240" w:lineRule="auto"/>
        <w:jc w:val="center"/>
      </w:pPr>
      <w:r>
        <w:rPr>
          <w:rFonts w:ascii="Cambria" w:hAnsi="Cambria"/>
          <w:b/>
        </w:rPr>
        <w:t>Author Name*1, Co-Author Name*2, Guide Name*3</w:t>
      </w:r>
    </w:p>
    <w:p w14:paraId="1B247091" w14:textId="77777777" w:rsidR="00977B09" w:rsidRDefault="00000000">
      <w:pPr>
        <w:spacing w:after="0" w:line="240" w:lineRule="auto"/>
        <w:jc w:val="center"/>
      </w:pPr>
      <w:r>
        <w:rPr>
          <w:rFonts w:ascii="Cambria" w:hAnsi="Cambria"/>
          <w:sz w:val="20"/>
        </w:rPr>
        <w:t>*1Department of Computer Science, [Institute Name], [City], India</w:t>
      </w:r>
    </w:p>
    <w:p w14:paraId="5FFF3B99" w14:textId="77777777" w:rsidR="00977B09" w:rsidRDefault="00000000">
      <w:pPr>
        <w:spacing w:after="0" w:line="240" w:lineRule="auto"/>
        <w:jc w:val="center"/>
      </w:pPr>
      <w:r>
        <w:rPr>
          <w:rFonts w:ascii="Cambria" w:hAnsi="Cambria"/>
          <w:sz w:val="20"/>
        </w:rPr>
        <w:t>*2Department of Computer Science, [Institute Name], [City], India</w:t>
      </w:r>
    </w:p>
    <w:p w14:paraId="5D9E3D03" w14:textId="77777777" w:rsidR="00977B09" w:rsidRDefault="00000000">
      <w:pPr>
        <w:spacing w:after="40" w:line="240" w:lineRule="auto"/>
        <w:jc w:val="center"/>
      </w:pPr>
      <w:r>
        <w:rPr>
          <w:rFonts w:ascii="Cambria" w:hAnsi="Cambria"/>
          <w:sz w:val="20"/>
        </w:rPr>
        <w:t>*3Faculty Mentor, [Institute Name], [City], India</w:t>
      </w:r>
    </w:p>
    <w:p w14:paraId="1A979387" w14:textId="77777777" w:rsidR="00977B09" w:rsidRDefault="00000000">
      <w:pPr>
        <w:spacing w:line="240" w:lineRule="auto"/>
        <w:jc w:val="center"/>
      </w:pPr>
      <w:r>
        <w:rPr>
          <w:rFonts w:ascii="Times New Roman" w:hAnsi="Times New Roman"/>
          <w:i/>
          <w:sz w:val="18"/>
        </w:rPr>
        <w:t>Author names and affiliations can be finalized before submission.</w:t>
      </w:r>
    </w:p>
    <w:p w14:paraId="44036A0D" w14:textId="77777777" w:rsidR="00977B09" w:rsidRDefault="00000000">
      <w:pPr>
        <w:spacing w:before="80" w:after="80" w:line="240" w:lineRule="auto"/>
        <w:jc w:val="center"/>
      </w:pPr>
      <w:r>
        <w:rPr>
          <w:rFonts w:ascii="Cambria" w:hAnsi="Cambria"/>
          <w:b/>
          <w:sz w:val="24"/>
        </w:rPr>
        <w:t>ABSTRACT</w:t>
      </w:r>
    </w:p>
    <w:p w14:paraId="52083D8D" w14:textId="77777777" w:rsidR="00977B09" w:rsidRDefault="00000000">
      <w:pPr>
        <w:spacing w:after="80" w:line="252" w:lineRule="auto"/>
        <w:jc w:val="both"/>
      </w:pPr>
      <w:proofErr w:type="spellStart"/>
      <w:r>
        <w:rPr>
          <w:rFonts w:ascii="Times New Roman" w:hAnsi="Times New Roman"/>
          <w:sz w:val="20"/>
        </w:rPr>
        <w:t>HeartGuard</w:t>
      </w:r>
      <w:proofErr w:type="spellEnd"/>
      <w:r>
        <w:rPr>
          <w:rFonts w:ascii="Times New Roman" w:hAnsi="Times New Roman"/>
          <w:sz w:val="20"/>
        </w:rPr>
        <w:t xml:space="preserve"> is presented as a preventive decision-support platform that links cardiovascular screening, heart-failure-oriented feature analysis, and longitudinal follow-up in a single web workflow. The project uses curated clinical datasets and a browser-based </w:t>
      </w:r>
      <w:proofErr w:type="spellStart"/>
      <w:r>
        <w:rPr>
          <w:rFonts w:ascii="Times New Roman" w:hAnsi="Times New Roman"/>
          <w:sz w:val="20"/>
        </w:rPr>
        <w:t>FastAPI</w:t>
      </w:r>
      <w:proofErr w:type="spellEnd"/>
      <w:r>
        <w:rPr>
          <w:rFonts w:ascii="Times New Roman" w:hAnsi="Times New Roman"/>
          <w:sz w:val="20"/>
        </w:rPr>
        <w:t xml:space="preserve"> architecture to study how early risk signals can be transformed into patient-facing recommendations that are easier to understand and revisit after discharge. A harmonized project dataset with 312,774 records was prepared from cardiovascular, diabetes, Framingham, and heart failure sources, while the deployed application exposes an explainable weighted scoring engine that remains functional even when only a subset of variables is available. The system estimates risk, reports confidence, persists prediction history in an Excel-backed store, and connects the result to dashboard tracking, diet guidance, medication support, mood logging, monitoring, and wellness modules. Internal training artifacts from the project's master-model notebook demonstrated feasible predictive performance, while functional validation of the deployed prototype confirmed partial-input prediction, persistent history recovery, and continuity from assessment to support actions. The work shows that preventive insights for readmission-aware care can be made more accessible through an interpretable interface, though broader clinical validation and secure multi-user deployment remain necessary for production use.</w:t>
      </w:r>
    </w:p>
    <w:p w14:paraId="212E3958" w14:textId="77777777" w:rsidR="00977B09" w:rsidRDefault="00000000">
      <w:pPr>
        <w:spacing w:after="100" w:line="240" w:lineRule="auto"/>
      </w:pPr>
      <w:r>
        <w:rPr>
          <w:rFonts w:ascii="Cambria" w:hAnsi="Cambria"/>
          <w:sz w:val="20"/>
        </w:rPr>
        <w:t xml:space="preserve">Keywords: heart failure readmission, preventive forecasting, cardiovascular risk assessment, </w:t>
      </w:r>
      <w:proofErr w:type="spellStart"/>
      <w:r>
        <w:rPr>
          <w:rFonts w:ascii="Cambria" w:hAnsi="Cambria"/>
          <w:sz w:val="20"/>
        </w:rPr>
        <w:t>FastAPI</w:t>
      </w:r>
      <w:proofErr w:type="spellEnd"/>
      <w:r>
        <w:rPr>
          <w:rFonts w:ascii="Cambria" w:hAnsi="Cambria"/>
          <w:sz w:val="20"/>
        </w:rPr>
        <w:t>, explainable scoring, patient dashboard, longitudinal follow-up.</w:t>
      </w:r>
    </w:p>
    <w:p w14:paraId="055AA6C2" w14:textId="77777777" w:rsidR="00977B09" w:rsidRDefault="00000000">
      <w:pPr>
        <w:spacing w:before="80" w:after="80" w:line="240" w:lineRule="auto"/>
        <w:jc w:val="center"/>
      </w:pPr>
      <w:r>
        <w:rPr>
          <w:rFonts w:ascii="Cambria" w:hAnsi="Cambria"/>
          <w:b/>
          <w:sz w:val="24"/>
        </w:rPr>
        <w:t>I. INTRODUCTION</w:t>
      </w:r>
    </w:p>
    <w:p w14:paraId="01BC2664" w14:textId="77777777" w:rsidR="00977B09" w:rsidRDefault="00000000">
      <w:pPr>
        <w:spacing w:after="80" w:line="252" w:lineRule="auto"/>
        <w:jc w:val="both"/>
      </w:pPr>
      <w:r>
        <w:rPr>
          <w:rFonts w:ascii="Times New Roman" w:hAnsi="Times New Roman"/>
          <w:sz w:val="20"/>
        </w:rPr>
        <w:t>Heart failure readmission remains one of the most persistent burdens in cardiovascular care because deterioration often begins before a patient recognizes its significance. The challenge is not only to detect elevated clinical risk, but also to maintain continuity between screening, follow-up behavior, and day-to-day self-management. Many patients are discharged with incomplete information, uncertain symptom awareness, and limited access to repeated consultation, which makes early preventive support especially valuable.</w:t>
      </w:r>
    </w:p>
    <w:p w14:paraId="2A196980" w14:textId="77777777" w:rsidR="00977B09" w:rsidRDefault="00000000">
      <w:pPr>
        <w:spacing w:after="80" w:line="252" w:lineRule="auto"/>
        <w:jc w:val="both"/>
      </w:pPr>
      <w:r>
        <w:rPr>
          <w:rFonts w:ascii="Times New Roman" w:hAnsi="Times New Roman"/>
          <w:sz w:val="20"/>
        </w:rPr>
        <w:t>Published machine learning studies have shown that readmission and cardiovascular deterioration can be anticipated from structured risk factors, yet many systems remain locked inside dataset-centric experiments or hospital dashboards that are difficult for end users to interpret. At the same time, lightweight preventive tools often sacrifice clinical grounding, persistence, or explainability. This creates a practical gap between predictive research and usable, everyday health-support workflows.</w:t>
      </w:r>
    </w:p>
    <w:p w14:paraId="2BF11C8F" w14:textId="77777777" w:rsidR="00977B09" w:rsidRDefault="00000000">
      <w:pPr>
        <w:spacing w:after="80" w:line="252" w:lineRule="auto"/>
        <w:jc w:val="both"/>
      </w:pPr>
      <w:proofErr w:type="spellStart"/>
      <w:r>
        <w:rPr>
          <w:rFonts w:ascii="Times New Roman" w:hAnsi="Times New Roman"/>
          <w:sz w:val="20"/>
        </w:rPr>
        <w:t>HeartGuard</w:t>
      </w:r>
      <w:proofErr w:type="spellEnd"/>
      <w:r>
        <w:rPr>
          <w:rFonts w:ascii="Times New Roman" w:hAnsi="Times New Roman"/>
          <w:sz w:val="20"/>
        </w:rPr>
        <w:t xml:space="preserve"> addresses that gap by combining predictive reasoning with a continuity-first web experience. The project focuses on three connected goals: estimating heart-risk patterns from incomplete but meaningful health inputs, preserving those predictions for later review, and linking the newest assessment to support modules that encourage healthier follow-up behavior. In this framing, readmission forecasting is treated not as a stand-alone score, but as part of an actionable preventive pathway that connects risk awareness to sustained support.</w:t>
      </w:r>
    </w:p>
    <w:p w14:paraId="5BE1683F" w14:textId="77777777" w:rsidR="00977B09" w:rsidRDefault="00000000">
      <w:pPr>
        <w:spacing w:before="40" w:after="40" w:line="240" w:lineRule="auto"/>
      </w:pPr>
      <w:r>
        <w:rPr>
          <w:rFonts w:ascii="Cambria" w:hAnsi="Cambria"/>
          <w:b/>
          <w:sz w:val="20"/>
        </w:rPr>
        <w:t>Research Objectives</w:t>
      </w:r>
    </w:p>
    <w:p w14:paraId="716931F8" w14:textId="77777777" w:rsidR="00977B09" w:rsidRDefault="00000000">
      <w:pPr>
        <w:spacing w:after="80" w:line="252" w:lineRule="auto"/>
        <w:jc w:val="both"/>
      </w:pPr>
      <w:r>
        <w:rPr>
          <w:rFonts w:ascii="Times New Roman" w:hAnsi="Times New Roman"/>
          <w:sz w:val="20"/>
        </w:rPr>
        <w:t>The project objectives are to create a readmission-aware preventive workflow, preserve interpretable prediction history, and connect each new estimate to support modules that improve continuity after screening. These objectives are intentionally both technical and clinical in spirit: the system must be easy to use, but it must also respect the kinds of variables and follow-up behaviors that matter in cardiovascular care.</w:t>
      </w:r>
    </w:p>
    <w:p w14:paraId="6BAEE550" w14:textId="77777777" w:rsidR="00977B09" w:rsidRDefault="00000000">
      <w:pPr>
        <w:spacing w:before="80" w:after="80" w:line="240" w:lineRule="auto"/>
        <w:jc w:val="center"/>
      </w:pPr>
      <w:r>
        <w:rPr>
          <w:rFonts w:ascii="Cambria" w:hAnsi="Cambria"/>
          <w:b/>
          <w:sz w:val="24"/>
        </w:rPr>
        <w:t>II. METHODOLOGY</w:t>
      </w:r>
    </w:p>
    <w:p w14:paraId="2FA00F65" w14:textId="77777777" w:rsidR="00977B09" w:rsidRDefault="00000000">
      <w:pPr>
        <w:spacing w:after="80" w:line="252" w:lineRule="auto"/>
        <w:jc w:val="both"/>
      </w:pPr>
      <w:r>
        <w:rPr>
          <w:rFonts w:ascii="Times New Roman" w:hAnsi="Times New Roman"/>
          <w:sz w:val="20"/>
        </w:rPr>
        <w:t xml:space="preserve">The project was designed as a web-based prototype with a </w:t>
      </w:r>
      <w:proofErr w:type="spellStart"/>
      <w:r>
        <w:rPr>
          <w:rFonts w:ascii="Times New Roman" w:hAnsi="Times New Roman"/>
          <w:sz w:val="20"/>
        </w:rPr>
        <w:t>FastAPI</w:t>
      </w:r>
      <w:proofErr w:type="spellEnd"/>
      <w:r>
        <w:rPr>
          <w:rFonts w:ascii="Times New Roman" w:hAnsi="Times New Roman"/>
          <w:sz w:val="20"/>
        </w:rPr>
        <w:t xml:space="preserve"> backend, modular frontend pages, and persistent workbook storage for prediction history. Instead of forcing a single rigid intake form, the workflow accepts any meaningful combination of available health indicators and transforms them into a risk estimate. This makes the system more suitable for real-world preventive use, where users may know age, blood pressure, glucose, or medication history, but not every advanced cardiac value at the same time.</w:t>
      </w:r>
    </w:p>
    <w:p w14:paraId="2A7B6DBC" w14:textId="77777777" w:rsidR="00977B09" w:rsidRDefault="00000000">
      <w:pPr>
        <w:spacing w:after="80" w:line="252" w:lineRule="auto"/>
        <w:jc w:val="both"/>
      </w:pPr>
      <w:r>
        <w:rPr>
          <w:rFonts w:ascii="Times New Roman" w:hAnsi="Times New Roman"/>
          <w:sz w:val="20"/>
        </w:rPr>
        <w:t xml:space="preserve">The data foundation combines multiple curated sources: a harmonized master dataset with 312,774 records and 12 columns, a cardiovascular screening dataset with 70,000 records, a cleaned diabetes dataset with 229,474 records, the </w:t>
      </w:r>
      <w:r>
        <w:rPr>
          <w:rFonts w:ascii="Times New Roman" w:hAnsi="Times New Roman"/>
          <w:sz w:val="20"/>
        </w:rPr>
        <w:lastRenderedPageBreak/>
        <w:t>Framingham coronary risk dataset with 4,238 records, and a heart failure dataset with 299 records. The heart failure source is especially important because it includes post-discharge sensitive variables such as ejection fraction and serum creatinine, while the Framingham and cardiovascular sets help stabilize more general preventive features such as age, cholesterol, blood pressure, body mass index, smoking, and diabetes status.</w:t>
      </w:r>
    </w:p>
    <w:p w14:paraId="5C2D892E" w14:textId="77777777" w:rsidR="00977B09" w:rsidRDefault="00000000">
      <w:pPr>
        <w:spacing w:after="80" w:line="252" w:lineRule="auto"/>
        <w:jc w:val="both"/>
      </w:pPr>
      <w:r>
        <w:rPr>
          <w:rFonts w:ascii="Times New Roman" w:hAnsi="Times New Roman"/>
          <w:sz w:val="20"/>
        </w:rPr>
        <w:t>Offline model-development notebooks in the project indicate that supervised learning is viable for this problem space; the master-model training notebook records an accuracy of 0.8146 and ROC-AUC of 0.8027. However, the deployed web application intentionally uses an explainable weighted scoring strategy rather than a black-box ensemble. This choice was made for two reasons. First, the interface must stay operational when users provide only sparse inputs. Second, patient-facing tools benefit from transparent factor contributions and easier debugging. The result is a forecasting-oriented support layer that prioritizes interpretability and usability over raw model complexity in the current release.</w:t>
      </w:r>
    </w:p>
    <w:p w14:paraId="59F49947" w14:textId="77777777" w:rsidR="00977B09" w:rsidRDefault="00000000">
      <w:pPr>
        <w:spacing w:after="80" w:line="252" w:lineRule="auto"/>
        <w:jc w:val="both"/>
      </w:pPr>
      <w:r>
        <w:rPr>
          <w:rFonts w:ascii="Times New Roman" w:hAnsi="Times New Roman"/>
          <w:sz w:val="20"/>
        </w:rPr>
        <w:t>Each submitted payload is sanitized to remove empty fields, evaluated only on supported variables, and mapped into a weighted factor space. The application then computes an aggregate risk percentage and a confidence estimate linked to feature coverage. Confidence rises when richer clinical information is present, but the workflow remains available with at least two inputs. Every successful prediction is appended to a timestamped workbook entry so that the dashboard can recover the latest records after refresh and expose trends over time.</w:t>
      </w:r>
    </w:p>
    <w:p w14:paraId="17A92465" w14:textId="77777777" w:rsidR="00977B09" w:rsidRDefault="00000000">
      <w:pPr>
        <w:spacing w:before="40" w:after="80" w:line="240" w:lineRule="auto"/>
        <w:jc w:val="center"/>
      </w:pPr>
      <w:r>
        <w:rPr>
          <w:rFonts w:ascii="Times New Roman" w:hAnsi="Times New Roman"/>
          <w:sz w:val="18"/>
        </w:rPr>
        <w:t xml:space="preserve">Table 1. Dataset foundations used to shape the </w:t>
      </w:r>
      <w:proofErr w:type="spellStart"/>
      <w:r>
        <w:rPr>
          <w:rFonts w:ascii="Times New Roman" w:hAnsi="Times New Roman"/>
          <w:sz w:val="18"/>
        </w:rPr>
        <w:t>HeartGuard</w:t>
      </w:r>
      <w:proofErr w:type="spellEnd"/>
      <w:r>
        <w:rPr>
          <w:rFonts w:ascii="Times New Roman" w:hAnsi="Times New Roman"/>
          <w:sz w:val="18"/>
        </w:rPr>
        <w:t xml:space="preserve"> forecasting workflow</w:t>
      </w:r>
    </w:p>
    <w:tbl>
      <w:tblPr>
        <w:tblStyle w:val="TableGrid"/>
        <w:tblW w:w="8926" w:type="dxa"/>
        <w:jc w:val="center"/>
        <w:tblLayout w:type="fixed"/>
        <w:tblLook w:val="04A0" w:firstRow="1" w:lastRow="0" w:firstColumn="1" w:lastColumn="0" w:noHBand="0" w:noVBand="1"/>
      </w:tblPr>
      <w:tblGrid>
        <w:gridCol w:w="1701"/>
        <w:gridCol w:w="1096"/>
        <w:gridCol w:w="1031"/>
        <w:gridCol w:w="5098"/>
      </w:tblGrid>
      <w:tr w:rsidR="00977B09" w14:paraId="41591DCF" w14:textId="77777777" w:rsidTr="00255787">
        <w:trPr>
          <w:jc w:val="center"/>
        </w:trPr>
        <w:tc>
          <w:tcPr>
            <w:tcW w:w="1701" w:type="dxa"/>
            <w:vAlign w:val="center"/>
          </w:tcPr>
          <w:p w14:paraId="4EE5E3DF" w14:textId="77777777" w:rsidR="00977B09" w:rsidRDefault="00000000">
            <w:pPr>
              <w:jc w:val="center"/>
            </w:pPr>
            <w:r>
              <w:rPr>
                <w:rFonts w:ascii="Times New Roman" w:hAnsi="Times New Roman"/>
                <w:b/>
                <w:sz w:val="18"/>
              </w:rPr>
              <w:t>Dataset</w:t>
            </w:r>
          </w:p>
        </w:tc>
        <w:tc>
          <w:tcPr>
            <w:tcW w:w="1096" w:type="dxa"/>
            <w:vAlign w:val="center"/>
          </w:tcPr>
          <w:p w14:paraId="6463D028" w14:textId="77777777" w:rsidR="00977B09" w:rsidRDefault="00000000">
            <w:pPr>
              <w:jc w:val="center"/>
            </w:pPr>
            <w:r>
              <w:rPr>
                <w:rFonts w:ascii="Times New Roman" w:hAnsi="Times New Roman"/>
                <w:b/>
                <w:sz w:val="18"/>
              </w:rPr>
              <w:t>Records</w:t>
            </w:r>
          </w:p>
        </w:tc>
        <w:tc>
          <w:tcPr>
            <w:tcW w:w="1031" w:type="dxa"/>
            <w:vAlign w:val="center"/>
          </w:tcPr>
          <w:p w14:paraId="643568D1" w14:textId="77777777" w:rsidR="00977B09" w:rsidRDefault="00000000">
            <w:pPr>
              <w:jc w:val="center"/>
            </w:pPr>
            <w:r>
              <w:rPr>
                <w:rFonts w:ascii="Times New Roman" w:hAnsi="Times New Roman"/>
                <w:b/>
                <w:sz w:val="18"/>
              </w:rPr>
              <w:t>Columns</w:t>
            </w:r>
          </w:p>
        </w:tc>
        <w:tc>
          <w:tcPr>
            <w:tcW w:w="5098" w:type="dxa"/>
            <w:vAlign w:val="center"/>
          </w:tcPr>
          <w:p w14:paraId="70031568" w14:textId="77777777" w:rsidR="00977B09" w:rsidRDefault="00000000">
            <w:pPr>
              <w:jc w:val="center"/>
            </w:pPr>
            <w:r>
              <w:rPr>
                <w:rFonts w:ascii="Times New Roman" w:hAnsi="Times New Roman"/>
                <w:b/>
                <w:sz w:val="18"/>
              </w:rPr>
              <w:t>Primary role in the project</w:t>
            </w:r>
          </w:p>
        </w:tc>
      </w:tr>
      <w:tr w:rsidR="00977B09" w14:paraId="3D05F31B" w14:textId="77777777" w:rsidTr="00255787">
        <w:trPr>
          <w:jc w:val="center"/>
        </w:trPr>
        <w:tc>
          <w:tcPr>
            <w:tcW w:w="1701" w:type="dxa"/>
            <w:vAlign w:val="center"/>
          </w:tcPr>
          <w:p w14:paraId="12D95EC0" w14:textId="77777777" w:rsidR="00977B09" w:rsidRDefault="00000000">
            <w:proofErr w:type="spellStart"/>
            <w:r>
              <w:rPr>
                <w:rFonts w:ascii="Times New Roman" w:hAnsi="Times New Roman"/>
                <w:sz w:val="18"/>
              </w:rPr>
              <w:t>HeartGuard</w:t>
            </w:r>
            <w:proofErr w:type="spellEnd"/>
            <w:r>
              <w:rPr>
                <w:rFonts w:ascii="Times New Roman" w:hAnsi="Times New Roman"/>
                <w:sz w:val="18"/>
              </w:rPr>
              <w:t xml:space="preserve"> master dataset</w:t>
            </w:r>
          </w:p>
        </w:tc>
        <w:tc>
          <w:tcPr>
            <w:tcW w:w="1096" w:type="dxa"/>
            <w:vAlign w:val="center"/>
          </w:tcPr>
          <w:p w14:paraId="3814A958" w14:textId="77777777" w:rsidR="00977B09" w:rsidRDefault="00000000">
            <w:pPr>
              <w:jc w:val="center"/>
            </w:pPr>
            <w:r>
              <w:rPr>
                <w:rFonts w:ascii="Times New Roman" w:hAnsi="Times New Roman"/>
                <w:sz w:val="18"/>
              </w:rPr>
              <w:t>312,774</w:t>
            </w:r>
          </w:p>
        </w:tc>
        <w:tc>
          <w:tcPr>
            <w:tcW w:w="1031" w:type="dxa"/>
            <w:vAlign w:val="center"/>
          </w:tcPr>
          <w:p w14:paraId="0BB15449" w14:textId="77777777" w:rsidR="00977B09" w:rsidRDefault="00000000">
            <w:pPr>
              <w:jc w:val="center"/>
            </w:pPr>
            <w:r>
              <w:rPr>
                <w:rFonts w:ascii="Times New Roman" w:hAnsi="Times New Roman"/>
                <w:sz w:val="18"/>
              </w:rPr>
              <w:t>12</w:t>
            </w:r>
          </w:p>
        </w:tc>
        <w:tc>
          <w:tcPr>
            <w:tcW w:w="5098" w:type="dxa"/>
            <w:vAlign w:val="center"/>
          </w:tcPr>
          <w:p w14:paraId="2CFB3AA7" w14:textId="77777777" w:rsidR="00977B09" w:rsidRDefault="00000000">
            <w:r>
              <w:rPr>
                <w:rFonts w:ascii="Times New Roman" w:hAnsi="Times New Roman"/>
                <w:sz w:val="18"/>
              </w:rPr>
              <w:t>Unified training and feature harmonization across cardiovascular domains</w:t>
            </w:r>
          </w:p>
        </w:tc>
      </w:tr>
      <w:tr w:rsidR="00977B09" w14:paraId="5383069B" w14:textId="77777777" w:rsidTr="00255787">
        <w:trPr>
          <w:jc w:val="center"/>
        </w:trPr>
        <w:tc>
          <w:tcPr>
            <w:tcW w:w="1701" w:type="dxa"/>
            <w:vAlign w:val="center"/>
          </w:tcPr>
          <w:p w14:paraId="284C35DE" w14:textId="77777777" w:rsidR="00977B09" w:rsidRDefault="00000000">
            <w:r>
              <w:rPr>
                <w:rFonts w:ascii="Times New Roman" w:hAnsi="Times New Roman"/>
                <w:sz w:val="18"/>
              </w:rPr>
              <w:t>Cardiovascular dataset</w:t>
            </w:r>
          </w:p>
        </w:tc>
        <w:tc>
          <w:tcPr>
            <w:tcW w:w="1096" w:type="dxa"/>
            <w:vAlign w:val="center"/>
          </w:tcPr>
          <w:p w14:paraId="0EBB3E13" w14:textId="77777777" w:rsidR="00977B09" w:rsidRDefault="00000000">
            <w:pPr>
              <w:jc w:val="center"/>
            </w:pPr>
            <w:r>
              <w:rPr>
                <w:rFonts w:ascii="Times New Roman" w:hAnsi="Times New Roman"/>
                <w:sz w:val="18"/>
              </w:rPr>
              <w:t>70,000</w:t>
            </w:r>
          </w:p>
        </w:tc>
        <w:tc>
          <w:tcPr>
            <w:tcW w:w="1031" w:type="dxa"/>
            <w:vAlign w:val="center"/>
          </w:tcPr>
          <w:p w14:paraId="404909C3" w14:textId="77777777" w:rsidR="00977B09" w:rsidRDefault="00000000">
            <w:pPr>
              <w:jc w:val="center"/>
            </w:pPr>
            <w:r>
              <w:rPr>
                <w:rFonts w:ascii="Times New Roman" w:hAnsi="Times New Roman"/>
                <w:sz w:val="18"/>
              </w:rPr>
              <w:t>13</w:t>
            </w:r>
          </w:p>
        </w:tc>
        <w:tc>
          <w:tcPr>
            <w:tcW w:w="5098" w:type="dxa"/>
            <w:vAlign w:val="center"/>
          </w:tcPr>
          <w:p w14:paraId="4D0853C8" w14:textId="77777777" w:rsidR="00977B09" w:rsidRDefault="00000000">
            <w:r>
              <w:rPr>
                <w:rFonts w:ascii="Times New Roman" w:hAnsi="Times New Roman"/>
                <w:sz w:val="18"/>
              </w:rPr>
              <w:t>General heart-risk screening patterns and preventive profile stabilization</w:t>
            </w:r>
          </w:p>
        </w:tc>
      </w:tr>
      <w:tr w:rsidR="00977B09" w14:paraId="2E0FF035" w14:textId="77777777" w:rsidTr="00255787">
        <w:trPr>
          <w:jc w:val="center"/>
        </w:trPr>
        <w:tc>
          <w:tcPr>
            <w:tcW w:w="1701" w:type="dxa"/>
            <w:vAlign w:val="center"/>
          </w:tcPr>
          <w:p w14:paraId="64A1582D" w14:textId="77777777" w:rsidR="00977B09" w:rsidRDefault="00000000">
            <w:r>
              <w:rPr>
                <w:rFonts w:ascii="Times New Roman" w:hAnsi="Times New Roman"/>
                <w:sz w:val="18"/>
              </w:rPr>
              <w:t>Diabetes dataset</w:t>
            </w:r>
          </w:p>
        </w:tc>
        <w:tc>
          <w:tcPr>
            <w:tcW w:w="1096" w:type="dxa"/>
            <w:vAlign w:val="center"/>
          </w:tcPr>
          <w:p w14:paraId="1CC09775" w14:textId="77777777" w:rsidR="00977B09" w:rsidRDefault="00000000">
            <w:pPr>
              <w:jc w:val="center"/>
            </w:pPr>
            <w:r>
              <w:rPr>
                <w:rFonts w:ascii="Times New Roman" w:hAnsi="Times New Roman"/>
                <w:sz w:val="18"/>
              </w:rPr>
              <w:t>229,474</w:t>
            </w:r>
          </w:p>
        </w:tc>
        <w:tc>
          <w:tcPr>
            <w:tcW w:w="1031" w:type="dxa"/>
            <w:vAlign w:val="center"/>
          </w:tcPr>
          <w:p w14:paraId="237F2691" w14:textId="77777777" w:rsidR="00977B09" w:rsidRDefault="00000000">
            <w:pPr>
              <w:jc w:val="center"/>
            </w:pPr>
            <w:r>
              <w:rPr>
                <w:rFonts w:ascii="Times New Roman" w:hAnsi="Times New Roman"/>
                <w:sz w:val="18"/>
              </w:rPr>
              <w:t>22</w:t>
            </w:r>
          </w:p>
        </w:tc>
        <w:tc>
          <w:tcPr>
            <w:tcW w:w="5098" w:type="dxa"/>
            <w:vAlign w:val="center"/>
          </w:tcPr>
          <w:p w14:paraId="5FF751F4" w14:textId="77777777" w:rsidR="00977B09" w:rsidRDefault="00000000">
            <w:r>
              <w:rPr>
                <w:rFonts w:ascii="Times New Roman" w:hAnsi="Times New Roman"/>
                <w:sz w:val="18"/>
              </w:rPr>
              <w:t>Metabolic comorbidity signals connected to adverse cardiovascular outcomes</w:t>
            </w:r>
          </w:p>
        </w:tc>
      </w:tr>
      <w:tr w:rsidR="00977B09" w14:paraId="28B10501" w14:textId="77777777" w:rsidTr="00255787">
        <w:trPr>
          <w:jc w:val="center"/>
        </w:trPr>
        <w:tc>
          <w:tcPr>
            <w:tcW w:w="1701" w:type="dxa"/>
            <w:vAlign w:val="center"/>
          </w:tcPr>
          <w:p w14:paraId="347EF0AE" w14:textId="77777777" w:rsidR="00977B09" w:rsidRDefault="00000000">
            <w:r>
              <w:rPr>
                <w:rFonts w:ascii="Times New Roman" w:hAnsi="Times New Roman"/>
                <w:sz w:val="18"/>
              </w:rPr>
              <w:t>Framingham dataset</w:t>
            </w:r>
          </w:p>
        </w:tc>
        <w:tc>
          <w:tcPr>
            <w:tcW w:w="1096" w:type="dxa"/>
            <w:vAlign w:val="center"/>
          </w:tcPr>
          <w:p w14:paraId="04E40B5F" w14:textId="77777777" w:rsidR="00977B09" w:rsidRDefault="00000000">
            <w:pPr>
              <w:jc w:val="center"/>
            </w:pPr>
            <w:r>
              <w:rPr>
                <w:rFonts w:ascii="Times New Roman" w:hAnsi="Times New Roman"/>
                <w:sz w:val="18"/>
              </w:rPr>
              <w:t>4,238</w:t>
            </w:r>
          </w:p>
        </w:tc>
        <w:tc>
          <w:tcPr>
            <w:tcW w:w="1031" w:type="dxa"/>
            <w:vAlign w:val="center"/>
          </w:tcPr>
          <w:p w14:paraId="3B94EBEA" w14:textId="77777777" w:rsidR="00977B09" w:rsidRDefault="00000000">
            <w:pPr>
              <w:jc w:val="center"/>
            </w:pPr>
            <w:r>
              <w:rPr>
                <w:rFonts w:ascii="Times New Roman" w:hAnsi="Times New Roman"/>
                <w:sz w:val="18"/>
              </w:rPr>
              <w:t>16</w:t>
            </w:r>
          </w:p>
        </w:tc>
        <w:tc>
          <w:tcPr>
            <w:tcW w:w="5098" w:type="dxa"/>
            <w:vAlign w:val="center"/>
          </w:tcPr>
          <w:p w14:paraId="5B2B56E2" w14:textId="77777777" w:rsidR="00977B09" w:rsidRDefault="00000000">
            <w:r>
              <w:rPr>
                <w:rFonts w:ascii="Times New Roman" w:hAnsi="Times New Roman"/>
                <w:sz w:val="18"/>
              </w:rPr>
              <w:t>Classic long-term cardiovascular risk variables for primary-care context</w:t>
            </w:r>
          </w:p>
        </w:tc>
      </w:tr>
      <w:tr w:rsidR="00977B09" w14:paraId="30E52950" w14:textId="77777777" w:rsidTr="00255787">
        <w:trPr>
          <w:jc w:val="center"/>
        </w:trPr>
        <w:tc>
          <w:tcPr>
            <w:tcW w:w="1701" w:type="dxa"/>
            <w:vAlign w:val="center"/>
          </w:tcPr>
          <w:p w14:paraId="2A19B63B" w14:textId="77777777" w:rsidR="00977B09" w:rsidRDefault="00000000">
            <w:r>
              <w:rPr>
                <w:rFonts w:ascii="Times New Roman" w:hAnsi="Times New Roman"/>
                <w:sz w:val="18"/>
              </w:rPr>
              <w:t>Heart failure dataset</w:t>
            </w:r>
          </w:p>
        </w:tc>
        <w:tc>
          <w:tcPr>
            <w:tcW w:w="1096" w:type="dxa"/>
            <w:vAlign w:val="center"/>
          </w:tcPr>
          <w:p w14:paraId="3770B81F" w14:textId="77777777" w:rsidR="00977B09" w:rsidRDefault="00000000">
            <w:pPr>
              <w:jc w:val="center"/>
            </w:pPr>
            <w:r>
              <w:rPr>
                <w:rFonts w:ascii="Times New Roman" w:hAnsi="Times New Roman"/>
                <w:sz w:val="18"/>
              </w:rPr>
              <w:t>299</w:t>
            </w:r>
          </w:p>
        </w:tc>
        <w:tc>
          <w:tcPr>
            <w:tcW w:w="1031" w:type="dxa"/>
            <w:vAlign w:val="center"/>
          </w:tcPr>
          <w:p w14:paraId="7A544A0F" w14:textId="77777777" w:rsidR="00977B09" w:rsidRDefault="00000000">
            <w:pPr>
              <w:jc w:val="center"/>
            </w:pPr>
            <w:r>
              <w:rPr>
                <w:rFonts w:ascii="Times New Roman" w:hAnsi="Times New Roman"/>
                <w:sz w:val="18"/>
              </w:rPr>
              <w:t>13</w:t>
            </w:r>
          </w:p>
        </w:tc>
        <w:tc>
          <w:tcPr>
            <w:tcW w:w="5098" w:type="dxa"/>
            <w:vAlign w:val="center"/>
          </w:tcPr>
          <w:p w14:paraId="0EAA28A0" w14:textId="77777777" w:rsidR="00977B09" w:rsidRDefault="00000000">
            <w:r>
              <w:rPr>
                <w:rFonts w:ascii="Times New Roman" w:hAnsi="Times New Roman"/>
                <w:sz w:val="18"/>
              </w:rPr>
              <w:t>Advanced cardiac indicators such as ejection fraction and serum creatinine</w:t>
            </w:r>
          </w:p>
        </w:tc>
      </w:tr>
    </w:tbl>
    <w:p w14:paraId="626EBBD3" w14:textId="77777777" w:rsidR="00977B09" w:rsidRDefault="00977B09">
      <w:pPr>
        <w:spacing w:after="40" w:line="240" w:lineRule="auto"/>
        <w:jc w:val="both"/>
      </w:pPr>
    </w:p>
    <w:p w14:paraId="4D287EB8" w14:textId="77777777" w:rsidR="00977B09" w:rsidRDefault="00000000">
      <w:pPr>
        <w:spacing w:before="40" w:after="40"/>
        <w:jc w:val="center"/>
      </w:pPr>
      <w:r>
        <w:rPr>
          <w:noProof/>
        </w:rPr>
        <w:drawing>
          <wp:inline distT="0" distB="0" distL="0" distR="0" wp14:anchorId="748AD36F" wp14:editId="36929AD9">
            <wp:extent cx="5668843" cy="334518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guard_architecture.png"/>
                    <pic:cNvPicPr/>
                  </pic:nvPicPr>
                  <pic:blipFill>
                    <a:blip r:embed="rId8"/>
                    <a:stretch>
                      <a:fillRect/>
                    </a:stretch>
                  </pic:blipFill>
                  <pic:spPr>
                    <a:xfrm>
                      <a:off x="0" y="0"/>
                      <a:ext cx="5679180" cy="3351280"/>
                    </a:xfrm>
                    <a:prstGeom prst="rect">
                      <a:avLst/>
                    </a:prstGeom>
                  </pic:spPr>
                </pic:pic>
              </a:graphicData>
            </a:graphic>
          </wp:inline>
        </w:drawing>
      </w:r>
    </w:p>
    <w:p w14:paraId="2592365B" w14:textId="77777777" w:rsidR="00977B09" w:rsidRDefault="00000000">
      <w:pPr>
        <w:spacing w:before="40" w:after="80" w:line="240" w:lineRule="auto"/>
        <w:jc w:val="center"/>
      </w:pPr>
      <w:r>
        <w:rPr>
          <w:rFonts w:ascii="Times New Roman" w:hAnsi="Times New Roman"/>
          <w:sz w:val="18"/>
        </w:rPr>
        <w:t xml:space="preserve">Figure 1: </w:t>
      </w:r>
      <w:proofErr w:type="spellStart"/>
      <w:r>
        <w:rPr>
          <w:rFonts w:ascii="Times New Roman" w:hAnsi="Times New Roman"/>
          <w:sz w:val="18"/>
        </w:rPr>
        <w:t>HeartGuard</w:t>
      </w:r>
      <w:proofErr w:type="spellEnd"/>
      <w:r>
        <w:rPr>
          <w:rFonts w:ascii="Times New Roman" w:hAnsi="Times New Roman"/>
          <w:sz w:val="18"/>
        </w:rPr>
        <w:t xml:space="preserve"> architecture from multi-source clinical features to persistent preventive support.</w:t>
      </w:r>
    </w:p>
    <w:p w14:paraId="753C0EE8" w14:textId="77777777" w:rsidR="00977B09" w:rsidRDefault="00000000">
      <w:pPr>
        <w:spacing w:before="80" w:after="80" w:line="240" w:lineRule="auto"/>
        <w:jc w:val="center"/>
      </w:pPr>
      <w:r>
        <w:rPr>
          <w:rFonts w:ascii="Cambria" w:hAnsi="Cambria"/>
          <w:b/>
          <w:sz w:val="24"/>
        </w:rPr>
        <w:t>III. SYSTEM DESIGN AND IMPLEMENTATION</w:t>
      </w:r>
    </w:p>
    <w:p w14:paraId="1C14CFEC" w14:textId="77777777" w:rsidR="00977B09" w:rsidRDefault="00000000">
      <w:pPr>
        <w:spacing w:after="80" w:line="252" w:lineRule="auto"/>
        <w:jc w:val="both"/>
      </w:pPr>
      <w:r>
        <w:rPr>
          <w:rFonts w:ascii="Times New Roman" w:hAnsi="Times New Roman"/>
          <w:sz w:val="20"/>
        </w:rPr>
        <w:t>The frontend is organized around modular patient-support pages that extend the value of prediction into everyday use. In addition to the assessment form, the current project includes dashboard review, diet planning, chatbot assistance, medication support, mood logging, breathing exercises, SOS support, quiz-based education, and monitoring pages. This broader structure is important because readmission risk is not determined by one variable or one moment; it is shaped by adherence, symptom awareness, and continuity of healthy behavior.</w:t>
      </w:r>
    </w:p>
    <w:p w14:paraId="65794B1A" w14:textId="77777777" w:rsidR="00977B09" w:rsidRDefault="00000000">
      <w:pPr>
        <w:spacing w:after="80" w:line="252" w:lineRule="auto"/>
        <w:jc w:val="both"/>
      </w:pPr>
      <w:r>
        <w:rPr>
          <w:rFonts w:ascii="Times New Roman" w:hAnsi="Times New Roman"/>
          <w:sz w:val="20"/>
        </w:rPr>
        <w:lastRenderedPageBreak/>
        <w:t xml:space="preserve">On the backend, </w:t>
      </w:r>
      <w:proofErr w:type="spellStart"/>
      <w:r>
        <w:rPr>
          <w:rFonts w:ascii="Times New Roman" w:hAnsi="Times New Roman"/>
          <w:sz w:val="20"/>
        </w:rPr>
        <w:t>FastAPI</w:t>
      </w:r>
      <w:proofErr w:type="spellEnd"/>
      <w:r>
        <w:rPr>
          <w:rFonts w:ascii="Times New Roman" w:hAnsi="Times New Roman"/>
          <w:sz w:val="20"/>
        </w:rPr>
        <w:t xml:space="preserve"> exposes health, prediction, and history endpoints. The deployed risk engine scores supported fields such as age, sex, body mass index, cholesterol, systolic and diastolic blood pressure, glucose, physical activity, smoking, hypertension, diabetes, heart rate, ejection fraction, and serum creatinine. These factors were selected because they combine preventive screening value with clinically meaningful heart-failure sensitivity, especially in cases where fluid balance, ventricular performance, or metabolic instability may influence deterioration risk.</w:t>
      </w:r>
    </w:p>
    <w:p w14:paraId="79431163" w14:textId="77777777" w:rsidR="00977B09" w:rsidRDefault="00000000">
      <w:pPr>
        <w:spacing w:after="80" w:line="252" w:lineRule="auto"/>
        <w:jc w:val="both"/>
      </w:pPr>
      <w:r>
        <w:rPr>
          <w:rFonts w:ascii="Times New Roman" w:hAnsi="Times New Roman"/>
          <w:sz w:val="20"/>
        </w:rPr>
        <w:t xml:space="preserve">Persistence is implemented with </w:t>
      </w:r>
      <w:proofErr w:type="spellStart"/>
      <w:r>
        <w:rPr>
          <w:rFonts w:ascii="Times New Roman" w:hAnsi="Times New Roman"/>
          <w:sz w:val="20"/>
        </w:rPr>
        <w:t>OpenPyXL</w:t>
      </w:r>
      <w:proofErr w:type="spellEnd"/>
      <w:r>
        <w:rPr>
          <w:rFonts w:ascii="Times New Roman" w:hAnsi="Times New Roman"/>
          <w:sz w:val="20"/>
        </w:rPr>
        <w:t xml:space="preserve"> and an Excel history workbook. While this is not sufficient for a production hospital environment, it supports transparent prototype testing and demonstrates a useful design property: the dashboard can rehydrate prior predictions instead of resetting to an empty state after refresh. From a user-experience perspective, this continuity makes the platform feel substantially more reliable. It also supports doctor-patient review scenarios where the latest estimate, its confidence, and the number of inputs used should remain visible.</w:t>
      </w:r>
    </w:p>
    <w:p w14:paraId="1CFF0737" w14:textId="77777777" w:rsidR="00977B09" w:rsidRDefault="00000000">
      <w:pPr>
        <w:spacing w:after="80" w:line="252" w:lineRule="auto"/>
        <w:jc w:val="both"/>
      </w:pPr>
      <w:r>
        <w:rPr>
          <w:rFonts w:ascii="Times New Roman" w:hAnsi="Times New Roman"/>
          <w:sz w:val="20"/>
        </w:rPr>
        <w:t>To preserve explainability, the prediction view exposes risk level, confidence, input coverage, and a readable next-step message. The dashboard summarizes total predictions, average risk, high-risk cases, streak behavior, and the latest care note. Downstream support modules then personalize follow-up by adapting guidance to the newest saved profile. In practice, this means the forecasting output becomes a reusable context object for lifestyle and adherence recommendations rather than an isolated one-time score.</w:t>
      </w:r>
    </w:p>
    <w:p w14:paraId="7EC49361" w14:textId="77777777" w:rsidR="00977B09" w:rsidRDefault="00000000">
      <w:pPr>
        <w:spacing w:before="40" w:after="80" w:line="240" w:lineRule="auto"/>
        <w:jc w:val="center"/>
      </w:pPr>
      <w:r>
        <w:rPr>
          <w:rFonts w:ascii="Times New Roman" w:hAnsi="Times New Roman"/>
          <w:sz w:val="18"/>
        </w:rPr>
        <w:t>Table 2. Functional design mapping between forecasting output and support continuity</w:t>
      </w:r>
    </w:p>
    <w:tbl>
      <w:tblPr>
        <w:tblStyle w:val="TableGrid"/>
        <w:tblW w:w="9103" w:type="dxa"/>
        <w:jc w:val="center"/>
        <w:tblLayout w:type="fixed"/>
        <w:tblLook w:val="04A0" w:firstRow="1" w:lastRow="0" w:firstColumn="1" w:lastColumn="0" w:noHBand="0" w:noVBand="1"/>
      </w:tblPr>
      <w:tblGrid>
        <w:gridCol w:w="1985"/>
        <w:gridCol w:w="2289"/>
        <w:gridCol w:w="2381"/>
        <w:gridCol w:w="2448"/>
      </w:tblGrid>
      <w:tr w:rsidR="00977B09" w14:paraId="5B6B12B1" w14:textId="77777777" w:rsidTr="00255787">
        <w:trPr>
          <w:jc w:val="center"/>
        </w:trPr>
        <w:tc>
          <w:tcPr>
            <w:tcW w:w="1985" w:type="dxa"/>
            <w:vAlign w:val="center"/>
          </w:tcPr>
          <w:p w14:paraId="5656FE9A" w14:textId="77777777" w:rsidR="00977B09" w:rsidRDefault="00000000">
            <w:pPr>
              <w:jc w:val="center"/>
            </w:pPr>
            <w:r>
              <w:rPr>
                <w:rFonts w:ascii="Times New Roman" w:hAnsi="Times New Roman"/>
                <w:b/>
                <w:sz w:val="18"/>
              </w:rPr>
              <w:t>Module</w:t>
            </w:r>
          </w:p>
        </w:tc>
        <w:tc>
          <w:tcPr>
            <w:tcW w:w="2289" w:type="dxa"/>
            <w:vAlign w:val="center"/>
          </w:tcPr>
          <w:p w14:paraId="62723847" w14:textId="77777777" w:rsidR="00977B09" w:rsidRDefault="00000000">
            <w:pPr>
              <w:jc w:val="center"/>
            </w:pPr>
            <w:r>
              <w:rPr>
                <w:rFonts w:ascii="Times New Roman" w:hAnsi="Times New Roman"/>
                <w:b/>
                <w:sz w:val="18"/>
              </w:rPr>
              <w:t>Core input or state</w:t>
            </w:r>
          </w:p>
        </w:tc>
        <w:tc>
          <w:tcPr>
            <w:tcW w:w="2381" w:type="dxa"/>
            <w:vAlign w:val="center"/>
          </w:tcPr>
          <w:p w14:paraId="52E5EFEE" w14:textId="77777777" w:rsidR="00977B09" w:rsidRDefault="00000000">
            <w:pPr>
              <w:jc w:val="center"/>
            </w:pPr>
            <w:r>
              <w:rPr>
                <w:rFonts w:ascii="Times New Roman" w:hAnsi="Times New Roman"/>
                <w:b/>
                <w:sz w:val="18"/>
              </w:rPr>
              <w:t>Output</w:t>
            </w:r>
          </w:p>
        </w:tc>
        <w:tc>
          <w:tcPr>
            <w:tcW w:w="2448" w:type="dxa"/>
            <w:vAlign w:val="center"/>
          </w:tcPr>
          <w:p w14:paraId="5A326C21" w14:textId="77777777" w:rsidR="00977B09" w:rsidRDefault="00000000">
            <w:pPr>
              <w:jc w:val="center"/>
            </w:pPr>
            <w:r>
              <w:rPr>
                <w:rFonts w:ascii="Times New Roman" w:hAnsi="Times New Roman"/>
                <w:b/>
                <w:sz w:val="18"/>
              </w:rPr>
              <w:t>Value for follow-up care</w:t>
            </w:r>
          </w:p>
        </w:tc>
      </w:tr>
      <w:tr w:rsidR="00977B09" w14:paraId="4135C9B4" w14:textId="77777777" w:rsidTr="00255787">
        <w:trPr>
          <w:jc w:val="center"/>
        </w:trPr>
        <w:tc>
          <w:tcPr>
            <w:tcW w:w="1985" w:type="dxa"/>
            <w:vAlign w:val="center"/>
          </w:tcPr>
          <w:p w14:paraId="35B8EEF0" w14:textId="77777777" w:rsidR="00977B09" w:rsidRDefault="00000000">
            <w:r>
              <w:rPr>
                <w:rFonts w:ascii="Times New Roman" w:hAnsi="Times New Roman"/>
                <w:sz w:val="18"/>
              </w:rPr>
              <w:t>Prediction page</w:t>
            </w:r>
          </w:p>
        </w:tc>
        <w:tc>
          <w:tcPr>
            <w:tcW w:w="2289" w:type="dxa"/>
            <w:vAlign w:val="center"/>
          </w:tcPr>
          <w:p w14:paraId="12B3307A" w14:textId="77777777" w:rsidR="00977B09" w:rsidRDefault="00000000">
            <w:pPr>
              <w:jc w:val="center"/>
            </w:pPr>
            <w:r>
              <w:rPr>
                <w:rFonts w:ascii="Times New Roman" w:hAnsi="Times New Roman"/>
                <w:sz w:val="18"/>
              </w:rPr>
              <w:t>Partial or complete patient metrics</w:t>
            </w:r>
          </w:p>
        </w:tc>
        <w:tc>
          <w:tcPr>
            <w:tcW w:w="2381" w:type="dxa"/>
            <w:vAlign w:val="center"/>
          </w:tcPr>
          <w:p w14:paraId="7F577023" w14:textId="77777777" w:rsidR="00977B09" w:rsidRDefault="00000000">
            <w:pPr>
              <w:jc w:val="center"/>
            </w:pPr>
            <w:r>
              <w:rPr>
                <w:rFonts w:ascii="Times New Roman" w:hAnsi="Times New Roman"/>
                <w:sz w:val="18"/>
              </w:rPr>
              <w:t>Risk score, confidence, risk label</w:t>
            </w:r>
          </w:p>
        </w:tc>
        <w:tc>
          <w:tcPr>
            <w:tcW w:w="2448" w:type="dxa"/>
            <w:vAlign w:val="center"/>
          </w:tcPr>
          <w:p w14:paraId="5875FB47" w14:textId="77777777" w:rsidR="00977B09" w:rsidRDefault="00000000">
            <w:r>
              <w:rPr>
                <w:rFonts w:ascii="Times New Roman" w:hAnsi="Times New Roman"/>
                <w:sz w:val="18"/>
              </w:rPr>
              <w:t>Creates the first preventive insight even with sparse data</w:t>
            </w:r>
          </w:p>
        </w:tc>
      </w:tr>
      <w:tr w:rsidR="00977B09" w14:paraId="59ED26C1" w14:textId="77777777" w:rsidTr="00255787">
        <w:trPr>
          <w:jc w:val="center"/>
        </w:trPr>
        <w:tc>
          <w:tcPr>
            <w:tcW w:w="1985" w:type="dxa"/>
            <w:vAlign w:val="center"/>
          </w:tcPr>
          <w:p w14:paraId="4787E258" w14:textId="77777777" w:rsidR="00977B09" w:rsidRDefault="00000000">
            <w:r>
              <w:rPr>
                <w:rFonts w:ascii="Times New Roman" w:hAnsi="Times New Roman"/>
                <w:sz w:val="18"/>
              </w:rPr>
              <w:t>History workbook</w:t>
            </w:r>
          </w:p>
        </w:tc>
        <w:tc>
          <w:tcPr>
            <w:tcW w:w="2289" w:type="dxa"/>
            <w:vAlign w:val="center"/>
          </w:tcPr>
          <w:p w14:paraId="43032FA6" w14:textId="77777777" w:rsidR="00977B09" w:rsidRDefault="00000000">
            <w:pPr>
              <w:jc w:val="center"/>
            </w:pPr>
            <w:r>
              <w:rPr>
                <w:rFonts w:ascii="Times New Roman" w:hAnsi="Times New Roman"/>
                <w:sz w:val="18"/>
              </w:rPr>
              <w:t>Saved backend record with timestamp</w:t>
            </w:r>
          </w:p>
        </w:tc>
        <w:tc>
          <w:tcPr>
            <w:tcW w:w="2381" w:type="dxa"/>
            <w:vAlign w:val="center"/>
          </w:tcPr>
          <w:p w14:paraId="6C47B96F" w14:textId="77777777" w:rsidR="00977B09" w:rsidRDefault="00000000">
            <w:pPr>
              <w:jc w:val="center"/>
            </w:pPr>
            <w:r>
              <w:rPr>
                <w:rFonts w:ascii="Times New Roman" w:hAnsi="Times New Roman"/>
                <w:sz w:val="18"/>
              </w:rPr>
              <w:t>Persistent longitudinal trace</w:t>
            </w:r>
          </w:p>
        </w:tc>
        <w:tc>
          <w:tcPr>
            <w:tcW w:w="2448" w:type="dxa"/>
            <w:vAlign w:val="center"/>
          </w:tcPr>
          <w:p w14:paraId="16A1D821" w14:textId="77777777" w:rsidR="00977B09" w:rsidRDefault="00000000">
            <w:r>
              <w:rPr>
                <w:rFonts w:ascii="Times New Roman" w:hAnsi="Times New Roman"/>
                <w:sz w:val="18"/>
              </w:rPr>
              <w:t>Prevents loss of context across refresh or later review</w:t>
            </w:r>
          </w:p>
        </w:tc>
      </w:tr>
      <w:tr w:rsidR="00977B09" w14:paraId="7D347275" w14:textId="77777777" w:rsidTr="00255787">
        <w:trPr>
          <w:trHeight w:val="448"/>
          <w:jc w:val="center"/>
        </w:trPr>
        <w:tc>
          <w:tcPr>
            <w:tcW w:w="1985" w:type="dxa"/>
            <w:vAlign w:val="center"/>
          </w:tcPr>
          <w:p w14:paraId="79F49FDD" w14:textId="77777777" w:rsidR="00977B09" w:rsidRDefault="00000000">
            <w:r>
              <w:rPr>
                <w:rFonts w:ascii="Times New Roman" w:hAnsi="Times New Roman"/>
                <w:sz w:val="18"/>
              </w:rPr>
              <w:t>Dashboard</w:t>
            </w:r>
          </w:p>
        </w:tc>
        <w:tc>
          <w:tcPr>
            <w:tcW w:w="2289" w:type="dxa"/>
            <w:vAlign w:val="center"/>
          </w:tcPr>
          <w:p w14:paraId="38A5D4C0" w14:textId="77777777" w:rsidR="00977B09" w:rsidRDefault="00000000">
            <w:pPr>
              <w:jc w:val="center"/>
            </w:pPr>
            <w:r>
              <w:rPr>
                <w:rFonts w:ascii="Times New Roman" w:hAnsi="Times New Roman"/>
                <w:sz w:val="18"/>
              </w:rPr>
              <w:t>Latest saved prediction history</w:t>
            </w:r>
          </w:p>
        </w:tc>
        <w:tc>
          <w:tcPr>
            <w:tcW w:w="2381" w:type="dxa"/>
            <w:vAlign w:val="center"/>
          </w:tcPr>
          <w:p w14:paraId="4CDFA024" w14:textId="77777777" w:rsidR="00977B09" w:rsidRDefault="00000000">
            <w:pPr>
              <w:jc w:val="center"/>
            </w:pPr>
            <w:r>
              <w:rPr>
                <w:rFonts w:ascii="Times New Roman" w:hAnsi="Times New Roman"/>
                <w:sz w:val="18"/>
              </w:rPr>
              <w:t>Summary cards, trends, latest care note</w:t>
            </w:r>
          </w:p>
        </w:tc>
        <w:tc>
          <w:tcPr>
            <w:tcW w:w="2448" w:type="dxa"/>
            <w:vAlign w:val="center"/>
          </w:tcPr>
          <w:p w14:paraId="3A0F6F7A" w14:textId="77777777" w:rsidR="00977B09" w:rsidRDefault="00000000">
            <w:r>
              <w:rPr>
                <w:rFonts w:ascii="Times New Roman" w:hAnsi="Times New Roman"/>
                <w:sz w:val="18"/>
              </w:rPr>
              <w:t>Makes recent status easy to revisit and compare</w:t>
            </w:r>
          </w:p>
        </w:tc>
      </w:tr>
      <w:tr w:rsidR="00977B09" w14:paraId="300BBFBD" w14:textId="77777777" w:rsidTr="00255787">
        <w:trPr>
          <w:trHeight w:val="554"/>
          <w:jc w:val="center"/>
        </w:trPr>
        <w:tc>
          <w:tcPr>
            <w:tcW w:w="1985" w:type="dxa"/>
            <w:vAlign w:val="center"/>
          </w:tcPr>
          <w:p w14:paraId="6017FC38" w14:textId="77777777" w:rsidR="00977B09" w:rsidRDefault="00000000">
            <w:r>
              <w:rPr>
                <w:rFonts w:ascii="Times New Roman" w:hAnsi="Times New Roman"/>
                <w:sz w:val="18"/>
              </w:rPr>
              <w:t>Diet and wellness modules</w:t>
            </w:r>
          </w:p>
        </w:tc>
        <w:tc>
          <w:tcPr>
            <w:tcW w:w="2289" w:type="dxa"/>
            <w:vAlign w:val="center"/>
          </w:tcPr>
          <w:p w14:paraId="1333EB27" w14:textId="77777777" w:rsidR="00977B09" w:rsidRDefault="00000000">
            <w:pPr>
              <w:jc w:val="center"/>
            </w:pPr>
            <w:r>
              <w:rPr>
                <w:rFonts w:ascii="Times New Roman" w:hAnsi="Times New Roman"/>
                <w:sz w:val="18"/>
              </w:rPr>
              <w:t>Newest saved profile and risk tier</w:t>
            </w:r>
          </w:p>
        </w:tc>
        <w:tc>
          <w:tcPr>
            <w:tcW w:w="2381" w:type="dxa"/>
            <w:vAlign w:val="center"/>
          </w:tcPr>
          <w:p w14:paraId="49D105D8" w14:textId="77777777" w:rsidR="00977B09" w:rsidRDefault="00000000">
            <w:pPr>
              <w:jc w:val="center"/>
            </w:pPr>
            <w:r>
              <w:rPr>
                <w:rFonts w:ascii="Times New Roman" w:hAnsi="Times New Roman"/>
                <w:sz w:val="18"/>
              </w:rPr>
              <w:t>Personalized recommendations</w:t>
            </w:r>
          </w:p>
        </w:tc>
        <w:tc>
          <w:tcPr>
            <w:tcW w:w="2448" w:type="dxa"/>
            <w:vAlign w:val="center"/>
          </w:tcPr>
          <w:p w14:paraId="72D9FEAA" w14:textId="77777777" w:rsidR="00977B09" w:rsidRDefault="00000000">
            <w:r>
              <w:rPr>
                <w:rFonts w:ascii="Times New Roman" w:hAnsi="Times New Roman"/>
                <w:sz w:val="18"/>
              </w:rPr>
              <w:t>Turns risk awareness into daily action</w:t>
            </w:r>
          </w:p>
        </w:tc>
      </w:tr>
    </w:tbl>
    <w:p w14:paraId="4DC7726D" w14:textId="77777777" w:rsidR="00977B09" w:rsidRDefault="00977B09">
      <w:pPr>
        <w:spacing w:after="40" w:line="240" w:lineRule="auto"/>
        <w:jc w:val="both"/>
      </w:pPr>
    </w:p>
    <w:p w14:paraId="777DA559" w14:textId="77777777" w:rsidR="00977B09" w:rsidRDefault="00000000">
      <w:pPr>
        <w:spacing w:before="40" w:after="40"/>
        <w:jc w:val="center"/>
      </w:pPr>
      <w:r>
        <w:rPr>
          <w:noProof/>
        </w:rPr>
        <w:drawing>
          <wp:inline distT="0" distB="0" distL="0" distR="0" wp14:anchorId="43A6D52C" wp14:editId="724CC675">
            <wp:extent cx="5806440" cy="3266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guard_workflow.png"/>
                    <pic:cNvPicPr/>
                  </pic:nvPicPr>
                  <pic:blipFill>
                    <a:blip r:embed="rId9"/>
                    <a:stretch>
                      <a:fillRect/>
                    </a:stretch>
                  </pic:blipFill>
                  <pic:spPr>
                    <a:xfrm>
                      <a:off x="0" y="0"/>
                      <a:ext cx="5806440" cy="3266122"/>
                    </a:xfrm>
                    <a:prstGeom prst="rect">
                      <a:avLst/>
                    </a:prstGeom>
                  </pic:spPr>
                </pic:pic>
              </a:graphicData>
            </a:graphic>
          </wp:inline>
        </w:drawing>
      </w:r>
    </w:p>
    <w:p w14:paraId="2A3D3ACC" w14:textId="77777777" w:rsidR="00977B09" w:rsidRDefault="00000000">
      <w:pPr>
        <w:spacing w:before="40" w:after="80" w:line="240" w:lineRule="auto"/>
        <w:jc w:val="center"/>
      </w:pPr>
      <w:r>
        <w:rPr>
          <w:rFonts w:ascii="Times New Roman" w:hAnsi="Times New Roman"/>
          <w:sz w:val="18"/>
        </w:rPr>
        <w:t>Figure 2: Operational workflow from sparse health inputs to saved preventive follow-up guidance.</w:t>
      </w:r>
    </w:p>
    <w:p w14:paraId="0A057A81" w14:textId="77777777" w:rsidR="00977B09" w:rsidRDefault="00000000">
      <w:pPr>
        <w:spacing w:before="80" w:after="80" w:line="240" w:lineRule="auto"/>
        <w:jc w:val="center"/>
      </w:pPr>
      <w:r>
        <w:rPr>
          <w:rFonts w:ascii="Cambria" w:hAnsi="Cambria"/>
          <w:b/>
          <w:sz w:val="24"/>
        </w:rPr>
        <w:t>IV. RESULTS AND DISCUSSION</w:t>
      </w:r>
    </w:p>
    <w:p w14:paraId="0F396AE7" w14:textId="77777777" w:rsidR="00977B09" w:rsidRDefault="00000000">
      <w:pPr>
        <w:spacing w:after="80" w:line="252" w:lineRule="auto"/>
        <w:jc w:val="both"/>
      </w:pPr>
      <w:r>
        <w:rPr>
          <w:rFonts w:ascii="Times New Roman" w:hAnsi="Times New Roman"/>
          <w:sz w:val="20"/>
        </w:rPr>
        <w:t xml:space="preserve">Functional validation of the deployed prototype confirmed that </w:t>
      </w:r>
      <w:proofErr w:type="spellStart"/>
      <w:r>
        <w:rPr>
          <w:rFonts w:ascii="Times New Roman" w:hAnsi="Times New Roman"/>
          <w:sz w:val="20"/>
        </w:rPr>
        <w:t>HeartGuard</w:t>
      </w:r>
      <w:proofErr w:type="spellEnd"/>
      <w:r>
        <w:rPr>
          <w:rFonts w:ascii="Times New Roman" w:hAnsi="Times New Roman"/>
          <w:sz w:val="20"/>
        </w:rPr>
        <w:t xml:space="preserve"> returns a usable result when at least two supported values are supplied. This directly improves accessibility for users who cannot complete a full cardiac intake form in one session. The same validation also showed that saved records are successfully appended to the workbook history and restored on the dashboard, which preserves the newest assessment after refresh and supports longitudinal monitoring rather than single-use estimation.</w:t>
      </w:r>
    </w:p>
    <w:p w14:paraId="28C6D0B3" w14:textId="77777777" w:rsidR="00977B09" w:rsidRDefault="00000000">
      <w:pPr>
        <w:spacing w:after="80" w:line="252" w:lineRule="auto"/>
        <w:jc w:val="both"/>
      </w:pPr>
      <w:r>
        <w:rPr>
          <w:rFonts w:ascii="Times New Roman" w:hAnsi="Times New Roman"/>
          <w:sz w:val="20"/>
        </w:rPr>
        <w:t xml:space="preserve">The architecture also demonstrates a practical balance between machine-learning ambition and implementation realism. Internal notebook experiments suggest that supervised models can achieve meaningful discrimination on the harmonized dataset, yet the live application gains robustness by favoring sparse-input tolerance and transparent factor scoring. For </w:t>
      </w:r>
      <w:r>
        <w:rPr>
          <w:rFonts w:ascii="Times New Roman" w:hAnsi="Times New Roman"/>
          <w:sz w:val="20"/>
        </w:rPr>
        <w:lastRenderedPageBreak/>
        <w:t xml:space="preserve">preventive readmission-oriented support, this tradeoff is often preferable to </w:t>
      </w:r>
      <w:proofErr w:type="gramStart"/>
      <w:r>
        <w:rPr>
          <w:rFonts w:ascii="Times New Roman" w:hAnsi="Times New Roman"/>
          <w:sz w:val="20"/>
        </w:rPr>
        <w:t>a more opaque</w:t>
      </w:r>
      <w:proofErr w:type="gramEnd"/>
      <w:r>
        <w:rPr>
          <w:rFonts w:ascii="Times New Roman" w:hAnsi="Times New Roman"/>
          <w:sz w:val="20"/>
        </w:rPr>
        <w:t xml:space="preserve"> model that fails whenever one laboratory value is missing.</w:t>
      </w:r>
    </w:p>
    <w:p w14:paraId="6E412004" w14:textId="77777777" w:rsidR="00977B09" w:rsidRDefault="00000000">
      <w:pPr>
        <w:spacing w:after="80" w:line="252" w:lineRule="auto"/>
        <w:jc w:val="both"/>
      </w:pPr>
      <w:r>
        <w:rPr>
          <w:rFonts w:ascii="Times New Roman" w:hAnsi="Times New Roman"/>
          <w:sz w:val="20"/>
        </w:rPr>
        <w:t>Another important result is the continuity of action after prediction. Once a risk estimate is generated, the system does not stop at classification. The dashboard contextualizes the latest score, the diet module adjusts meal focus and avoid lists, and the surrounding support pages encourage medication adherence, breathing practice, and symptom awareness. This integrated flow strengthens the project's central claim that preventive insights are more useful when forecasting is linked to follow-up behavior.</w:t>
      </w:r>
    </w:p>
    <w:p w14:paraId="5376341C" w14:textId="77777777" w:rsidR="00977B09" w:rsidRDefault="00000000">
      <w:pPr>
        <w:spacing w:after="80" w:line="252" w:lineRule="auto"/>
        <w:jc w:val="both"/>
      </w:pPr>
      <w:r>
        <w:rPr>
          <w:rFonts w:ascii="Times New Roman" w:hAnsi="Times New Roman"/>
          <w:sz w:val="20"/>
        </w:rPr>
        <w:t>At the same time, the prototype reveals limits that should be acknowledged. Excel-backed persistence is acceptable for demonstration and single-team testing, but it lacks secure multi-user concurrency, access control, and clinical auditability. The deployed score is also readmission-aware rather than hospital-validated as a direct readmission probability. These constraints do not reduce the project's instructional value, but they define the boundary between a strong academic prototype and a production-grade healthcare platform.</w:t>
      </w:r>
    </w:p>
    <w:p w14:paraId="78B9FD58" w14:textId="77777777" w:rsidR="00977B09" w:rsidRDefault="00000000">
      <w:pPr>
        <w:spacing w:before="40" w:after="80" w:line="240" w:lineRule="auto"/>
        <w:jc w:val="center"/>
      </w:pPr>
      <w:r>
        <w:rPr>
          <w:rFonts w:ascii="Times New Roman" w:hAnsi="Times New Roman"/>
          <w:sz w:val="18"/>
        </w:rPr>
        <w:t>Table 3. Summary of observed prototype behavior during functional validation</w:t>
      </w:r>
    </w:p>
    <w:tbl>
      <w:tblPr>
        <w:tblStyle w:val="TableGrid"/>
        <w:tblW w:w="9386" w:type="dxa"/>
        <w:jc w:val="center"/>
        <w:tblLayout w:type="fixed"/>
        <w:tblLook w:val="04A0" w:firstRow="1" w:lastRow="0" w:firstColumn="1" w:lastColumn="0" w:noHBand="0" w:noVBand="1"/>
      </w:tblPr>
      <w:tblGrid>
        <w:gridCol w:w="1960"/>
        <w:gridCol w:w="2664"/>
        <w:gridCol w:w="2381"/>
        <w:gridCol w:w="2381"/>
      </w:tblGrid>
      <w:tr w:rsidR="00977B09" w14:paraId="69E5E120" w14:textId="77777777" w:rsidTr="00255787">
        <w:trPr>
          <w:jc w:val="center"/>
        </w:trPr>
        <w:tc>
          <w:tcPr>
            <w:tcW w:w="1960" w:type="dxa"/>
            <w:vAlign w:val="center"/>
          </w:tcPr>
          <w:p w14:paraId="12391DBF" w14:textId="77777777" w:rsidR="00977B09" w:rsidRDefault="00000000">
            <w:pPr>
              <w:jc w:val="center"/>
            </w:pPr>
            <w:r>
              <w:rPr>
                <w:rFonts w:ascii="Times New Roman" w:hAnsi="Times New Roman"/>
                <w:b/>
                <w:sz w:val="18"/>
              </w:rPr>
              <w:t>Validation focus</w:t>
            </w:r>
          </w:p>
        </w:tc>
        <w:tc>
          <w:tcPr>
            <w:tcW w:w="2664" w:type="dxa"/>
            <w:vAlign w:val="center"/>
          </w:tcPr>
          <w:p w14:paraId="3436D6C5" w14:textId="77777777" w:rsidR="00977B09" w:rsidRDefault="00000000">
            <w:pPr>
              <w:jc w:val="center"/>
            </w:pPr>
            <w:r>
              <w:rPr>
                <w:rFonts w:ascii="Times New Roman" w:hAnsi="Times New Roman"/>
                <w:b/>
                <w:sz w:val="18"/>
              </w:rPr>
              <w:t>Observed behavior</w:t>
            </w:r>
          </w:p>
        </w:tc>
        <w:tc>
          <w:tcPr>
            <w:tcW w:w="2381" w:type="dxa"/>
            <w:vAlign w:val="center"/>
          </w:tcPr>
          <w:p w14:paraId="36DA07C1" w14:textId="77777777" w:rsidR="00977B09" w:rsidRDefault="00000000">
            <w:pPr>
              <w:jc w:val="center"/>
            </w:pPr>
            <w:r>
              <w:rPr>
                <w:rFonts w:ascii="Times New Roman" w:hAnsi="Times New Roman"/>
                <w:b/>
                <w:sz w:val="18"/>
              </w:rPr>
              <w:t>Interpretation</w:t>
            </w:r>
          </w:p>
        </w:tc>
        <w:tc>
          <w:tcPr>
            <w:tcW w:w="2381" w:type="dxa"/>
            <w:vAlign w:val="center"/>
          </w:tcPr>
          <w:p w14:paraId="656835D4" w14:textId="77777777" w:rsidR="00977B09" w:rsidRDefault="00000000">
            <w:pPr>
              <w:jc w:val="center"/>
            </w:pPr>
            <w:r>
              <w:rPr>
                <w:rFonts w:ascii="Times New Roman" w:hAnsi="Times New Roman"/>
                <w:b/>
                <w:sz w:val="18"/>
              </w:rPr>
              <w:t>Prototype implication</w:t>
            </w:r>
          </w:p>
        </w:tc>
      </w:tr>
      <w:tr w:rsidR="00977B09" w14:paraId="48357829" w14:textId="77777777" w:rsidTr="00255787">
        <w:trPr>
          <w:jc w:val="center"/>
        </w:trPr>
        <w:tc>
          <w:tcPr>
            <w:tcW w:w="1960" w:type="dxa"/>
            <w:vAlign w:val="center"/>
          </w:tcPr>
          <w:p w14:paraId="32FA8408" w14:textId="77777777" w:rsidR="00977B09" w:rsidRDefault="00000000">
            <w:r>
              <w:rPr>
                <w:rFonts w:ascii="Times New Roman" w:hAnsi="Times New Roman"/>
                <w:sz w:val="18"/>
              </w:rPr>
              <w:t>Sparse-input prediction</w:t>
            </w:r>
          </w:p>
        </w:tc>
        <w:tc>
          <w:tcPr>
            <w:tcW w:w="2664" w:type="dxa"/>
            <w:vAlign w:val="center"/>
          </w:tcPr>
          <w:p w14:paraId="4FA806F7" w14:textId="77777777" w:rsidR="00977B09" w:rsidRDefault="00000000">
            <w:pPr>
              <w:jc w:val="center"/>
            </w:pPr>
            <w:r>
              <w:rPr>
                <w:rFonts w:ascii="Times New Roman" w:hAnsi="Times New Roman"/>
                <w:sz w:val="18"/>
              </w:rPr>
              <w:t>Usable risk estimate produced with at least two values</w:t>
            </w:r>
          </w:p>
        </w:tc>
        <w:tc>
          <w:tcPr>
            <w:tcW w:w="2381" w:type="dxa"/>
            <w:vAlign w:val="center"/>
          </w:tcPr>
          <w:p w14:paraId="7C200652" w14:textId="77777777" w:rsidR="00977B09" w:rsidRDefault="00000000">
            <w:pPr>
              <w:jc w:val="center"/>
            </w:pPr>
            <w:r>
              <w:rPr>
                <w:rFonts w:ascii="Times New Roman" w:hAnsi="Times New Roman"/>
                <w:sz w:val="18"/>
              </w:rPr>
              <w:t>The interface remains accessible under incomplete data entry</w:t>
            </w:r>
          </w:p>
        </w:tc>
        <w:tc>
          <w:tcPr>
            <w:tcW w:w="2381" w:type="dxa"/>
            <w:vAlign w:val="center"/>
          </w:tcPr>
          <w:p w14:paraId="739F7AC3" w14:textId="77777777" w:rsidR="00977B09" w:rsidRDefault="00000000">
            <w:r>
              <w:rPr>
                <w:rFonts w:ascii="Times New Roman" w:hAnsi="Times New Roman"/>
                <w:sz w:val="18"/>
              </w:rPr>
              <w:t>Supports early preventive screening instead of forcing full forms</w:t>
            </w:r>
          </w:p>
        </w:tc>
      </w:tr>
      <w:tr w:rsidR="00977B09" w14:paraId="177D9D02" w14:textId="77777777" w:rsidTr="00255787">
        <w:trPr>
          <w:jc w:val="center"/>
        </w:trPr>
        <w:tc>
          <w:tcPr>
            <w:tcW w:w="1960" w:type="dxa"/>
            <w:vAlign w:val="center"/>
          </w:tcPr>
          <w:p w14:paraId="464F9755" w14:textId="77777777" w:rsidR="00977B09" w:rsidRDefault="00000000">
            <w:r>
              <w:rPr>
                <w:rFonts w:ascii="Times New Roman" w:hAnsi="Times New Roman"/>
                <w:sz w:val="18"/>
              </w:rPr>
              <w:t>History persistence</w:t>
            </w:r>
          </w:p>
        </w:tc>
        <w:tc>
          <w:tcPr>
            <w:tcW w:w="2664" w:type="dxa"/>
            <w:vAlign w:val="center"/>
          </w:tcPr>
          <w:p w14:paraId="766D7AEE" w14:textId="77777777" w:rsidR="00977B09" w:rsidRDefault="00000000">
            <w:pPr>
              <w:jc w:val="center"/>
            </w:pPr>
            <w:r>
              <w:rPr>
                <w:rFonts w:ascii="Times New Roman" w:hAnsi="Times New Roman"/>
                <w:sz w:val="18"/>
              </w:rPr>
              <w:t>Saved records reloaded after dashboard refresh</w:t>
            </w:r>
          </w:p>
        </w:tc>
        <w:tc>
          <w:tcPr>
            <w:tcW w:w="2381" w:type="dxa"/>
            <w:vAlign w:val="center"/>
          </w:tcPr>
          <w:p w14:paraId="6112019B" w14:textId="77777777" w:rsidR="00977B09" w:rsidRDefault="00000000">
            <w:pPr>
              <w:jc w:val="center"/>
            </w:pPr>
            <w:r>
              <w:rPr>
                <w:rFonts w:ascii="Times New Roman" w:hAnsi="Times New Roman"/>
                <w:sz w:val="18"/>
              </w:rPr>
              <w:t>Context is preserved across sessions</w:t>
            </w:r>
          </w:p>
        </w:tc>
        <w:tc>
          <w:tcPr>
            <w:tcW w:w="2381" w:type="dxa"/>
            <w:vAlign w:val="center"/>
          </w:tcPr>
          <w:p w14:paraId="0AD48EF9" w14:textId="77777777" w:rsidR="00977B09" w:rsidRDefault="00000000">
            <w:r>
              <w:rPr>
                <w:rFonts w:ascii="Times New Roman" w:hAnsi="Times New Roman"/>
                <w:sz w:val="18"/>
              </w:rPr>
              <w:t>Improves continuity and trust in the tool</w:t>
            </w:r>
          </w:p>
        </w:tc>
      </w:tr>
      <w:tr w:rsidR="00977B09" w14:paraId="4181B26E" w14:textId="77777777" w:rsidTr="00255787">
        <w:trPr>
          <w:jc w:val="center"/>
        </w:trPr>
        <w:tc>
          <w:tcPr>
            <w:tcW w:w="1960" w:type="dxa"/>
            <w:vAlign w:val="center"/>
          </w:tcPr>
          <w:p w14:paraId="48FD1232" w14:textId="77777777" w:rsidR="00977B09" w:rsidRDefault="00000000">
            <w:r>
              <w:rPr>
                <w:rFonts w:ascii="Times New Roman" w:hAnsi="Times New Roman"/>
                <w:sz w:val="18"/>
              </w:rPr>
              <w:t>Interpretability</w:t>
            </w:r>
          </w:p>
        </w:tc>
        <w:tc>
          <w:tcPr>
            <w:tcW w:w="2664" w:type="dxa"/>
            <w:vAlign w:val="center"/>
          </w:tcPr>
          <w:p w14:paraId="2FAFD20B" w14:textId="77777777" w:rsidR="00977B09" w:rsidRDefault="00000000">
            <w:pPr>
              <w:jc w:val="center"/>
            </w:pPr>
            <w:r>
              <w:rPr>
                <w:rFonts w:ascii="Times New Roman" w:hAnsi="Times New Roman"/>
                <w:sz w:val="18"/>
              </w:rPr>
              <w:t>Risk label, coverage, and confidence stay visible</w:t>
            </w:r>
          </w:p>
        </w:tc>
        <w:tc>
          <w:tcPr>
            <w:tcW w:w="2381" w:type="dxa"/>
            <w:vAlign w:val="center"/>
          </w:tcPr>
          <w:p w14:paraId="0719CD96" w14:textId="77777777" w:rsidR="00977B09" w:rsidRDefault="00000000">
            <w:pPr>
              <w:jc w:val="center"/>
            </w:pPr>
            <w:r>
              <w:rPr>
                <w:rFonts w:ascii="Times New Roman" w:hAnsi="Times New Roman"/>
                <w:sz w:val="18"/>
              </w:rPr>
              <w:t>Users can understand how complete or limited a result is</w:t>
            </w:r>
          </w:p>
        </w:tc>
        <w:tc>
          <w:tcPr>
            <w:tcW w:w="2381" w:type="dxa"/>
            <w:vAlign w:val="center"/>
          </w:tcPr>
          <w:p w14:paraId="03F0A1F4" w14:textId="77777777" w:rsidR="00977B09" w:rsidRDefault="00000000">
            <w:r>
              <w:rPr>
                <w:rFonts w:ascii="Times New Roman" w:hAnsi="Times New Roman"/>
                <w:sz w:val="18"/>
              </w:rPr>
              <w:t>Makes patient-facing forecasting safer and easier to explain</w:t>
            </w:r>
          </w:p>
        </w:tc>
      </w:tr>
      <w:tr w:rsidR="00977B09" w14:paraId="3E668C1E" w14:textId="77777777" w:rsidTr="00255787">
        <w:trPr>
          <w:trHeight w:val="749"/>
          <w:jc w:val="center"/>
        </w:trPr>
        <w:tc>
          <w:tcPr>
            <w:tcW w:w="1960" w:type="dxa"/>
            <w:vAlign w:val="center"/>
          </w:tcPr>
          <w:p w14:paraId="27A706EC" w14:textId="77777777" w:rsidR="00977B09" w:rsidRDefault="00000000">
            <w:r>
              <w:rPr>
                <w:rFonts w:ascii="Times New Roman" w:hAnsi="Times New Roman"/>
                <w:sz w:val="18"/>
              </w:rPr>
              <w:t>Action continuity</w:t>
            </w:r>
          </w:p>
        </w:tc>
        <w:tc>
          <w:tcPr>
            <w:tcW w:w="2664" w:type="dxa"/>
            <w:vAlign w:val="center"/>
          </w:tcPr>
          <w:p w14:paraId="4DC140DC" w14:textId="77777777" w:rsidR="00977B09" w:rsidRDefault="00000000">
            <w:pPr>
              <w:jc w:val="center"/>
            </w:pPr>
            <w:r>
              <w:rPr>
                <w:rFonts w:ascii="Times New Roman" w:hAnsi="Times New Roman"/>
                <w:sz w:val="18"/>
              </w:rPr>
              <w:t>Prediction state is reused by dashboard and lifestyle modules</w:t>
            </w:r>
          </w:p>
        </w:tc>
        <w:tc>
          <w:tcPr>
            <w:tcW w:w="2381" w:type="dxa"/>
            <w:vAlign w:val="center"/>
          </w:tcPr>
          <w:p w14:paraId="09E20973" w14:textId="77777777" w:rsidR="00977B09" w:rsidRDefault="00000000">
            <w:pPr>
              <w:jc w:val="center"/>
            </w:pPr>
            <w:r>
              <w:rPr>
                <w:rFonts w:ascii="Times New Roman" w:hAnsi="Times New Roman"/>
                <w:sz w:val="18"/>
              </w:rPr>
              <w:t>Risk insight informs downstream support behavior</w:t>
            </w:r>
          </w:p>
        </w:tc>
        <w:tc>
          <w:tcPr>
            <w:tcW w:w="2381" w:type="dxa"/>
            <w:vAlign w:val="center"/>
          </w:tcPr>
          <w:p w14:paraId="3F9125DE" w14:textId="77777777" w:rsidR="00977B09" w:rsidRDefault="00000000">
            <w:r>
              <w:rPr>
                <w:rFonts w:ascii="Times New Roman" w:hAnsi="Times New Roman"/>
                <w:sz w:val="18"/>
              </w:rPr>
              <w:t>Connects forecasting to practical follow-up care</w:t>
            </w:r>
          </w:p>
        </w:tc>
      </w:tr>
    </w:tbl>
    <w:p w14:paraId="6411EEBA" w14:textId="77777777" w:rsidR="00255787" w:rsidRDefault="00255787">
      <w:pPr>
        <w:spacing w:before="80" w:after="80" w:line="240" w:lineRule="auto"/>
        <w:jc w:val="center"/>
        <w:rPr>
          <w:rFonts w:ascii="Cambria" w:hAnsi="Cambria"/>
          <w:b/>
          <w:sz w:val="24"/>
        </w:rPr>
      </w:pPr>
    </w:p>
    <w:p w14:paraId="292CE1F1" w14:textId="4CD6B606" w:rsidR="00977B09" w:rsidRDefault="00000000">
      <w:pPr>
        <w:spacing w:before="80" w:after="80" w:line="240" w:lineRule="auto"/>
        <w:jc w:val="center"/>
      </w:pPr>
      <w:r>
        <w:rPr>
          <w:rFonts w:ascii="Cambria" w:hAnsi="Cambria"/>
          <w:b/>
          <w:sz w:val="24"/>
        </w:rPr>
        <w:t>V. TESTING AND EVALUATION</w:t>
      </w:r>
    </w:p>
    <w:p w14:paraId="39E497EB" w14:textId="77777777" w:rsidR="00977B09" w:rsidRDefault="00000000">
      <w:pPr>
        <w:spacing w:after="80" w:line="252" w:lineRule="auto"/>
        <w:jc w:val="both"/>
      </w:pPr>
      <w:r>
        <w:rPr>
          <w:rFonts w:ascii="Times New Roman" w:hAnsi="Times New Roman"/>
          <w:sz w:val="20"/>
        </w:rPr>
        <w:t>A separate testing perspective was applied to the deployed prototype because functional success in a healthcare-oriented workflow is not limited to raw prediction output. The application was checked across endpoint availability, minimum-input validation, persistence behavior, dashboard restoration, and continuity into support modules. These checks reflect the project's practical promise: even if the current forecasting layer is intentionally simplified, the user journey must remain stable and interpretable.</w:t>
      </w:r>
    </w:p>
    <w:p w14:paraId="11A4E326" w14:textId="77777777" w:rsidR="00977B09" w:rsidRDefault="00000000">
      <w:pPr>
        <w:spacing w:after="80" w:line="252" w:lineRule="auto"/>
        <w:jc w:val="both"/>
      </w:pPr>
      <w:r>
        <w:rPr>
          <w:rFonts w:ascii="Times New Roman" w:hAnsi="Times New Roman"/>
          <w:sz w:val="20"/>
        </w:rPr>
        <w:t>API-level validation centered on the /</w:t>
      </w:r>
      <w:proofErr w:type="spellStart"/>
      <w:r>
        <w:rPr>
          <w:rFonts w:ascii="Times New Roman" w:hAnsi="Times New Roman"/>
          <w:sz w:val="20"/>
        </w:rPr>
        <w:t>api</w:t>
      </w:r>
      <w:proofErr w:type="spellEnd"/>
      <w:r>
        <w:rPr>
          <w:rFonts w:ascii="Times New Roman" w:hAnsi="Times New Roman"/>
          <w:sz w:val="20"/>
        </w:rPr>
        <w:t>/health, /predict, and /predictions routes. The health endpoint verified service startup. The prediction endpoint was exercised with both incomplete and richer payloads to confirm correct input filtering, risk computation, confidence generation, and workbook appending. Invalid one-field submissions were expected to fail gracefully, while successful submissions were expected to produce both a visible assessment and a durable backend record. This behavior is central to readmission-aware preventive support because trust depends on consistent handling of partial, messy, real-world input.</w:t>
      </w:r>
    </w:p>
    <w:p w14:paraId="7DAAD4EF" w14:textId="77777777" w:rsidR="00977B09" w:rsidRDefault="00000000">
      <w:pPr>
        <w:spacing w:after="80" w:line="252" w:lineRule="auto"/>
        <w:jc w:val="both"/>
      </w:pPr>
      <w:r>
        <w:rPr>
          <w:rFonts w:ascii="Times New Roman" w:hAnsi="Times New Roman"/>
          <w:sz w:val="20"/>
        </w:rPr>
        <w:t xml:space="preserve">Client-side testing then examined the continuity path that begins after a prediction is received. The prediction page must expose the risk score, confidence, source label, and coverage count. The dashboard must reload saved history after refresh and turn that history into summary statistics such as average risk, high-risk counts, streak indicators, and latest care notes. Finally, downstream modules such as diet support must be able to reuse the latest saved profile rather than operating as disconnected pages. Together, these checks confirm that </w:t>
      </w:r>
      <w:proofErr w:type="spellStart"/>
      <w:r>
        <w:rPr>
          <w:rFonts w:ascii="Times New Roman" w:hAnsi="Times New Roman"/>
          <w:sz w:val="20"/>
        </w:rPr>
        <w:t>HeartGuard</w:t>
      </w:r>
      <w:proofErr w:type="spellEnd"/>
      <w:r>
        <w:rPr>
          <w:rFonts w:ascii="Times New Roman" w:hAnsi="Times New Roman"/>
          <w:sz w:val="20"/>
        </w:rPr>
        <w:t xml:space="preserve"> behaves like a workflow and not merely like a calculator.</w:t>
      </w:r>
    </w:p>
    <w:p w14:paraId="1DB7D481" w14:textId="77777777" w:rsidR="00977B09" w:rsidRDefault="00000000">
      <w:pPr>
        <w:spacing w:after="80" w:line="252" w:lineRule="auto"/>
        <w:jc w:val="both"/>
        <w:rPr>
          <w:rFonts w:ascii="Times New Roman" w:hAnsi="Times New Roman"/>
          <w:sz w:val="20"/>
        </w:rPr>
      </w:pPr>
      <w:r>
        <w:rPr>
          <w:rFonts w:ascii="Times New Roman" w:hAnsi="Times New Roman"/>
          <w:sz w:val="20"/>
        </w:rPr>
        <w:t>One useful safeguard already present in the frontend is the local fallback path when a non-client backend error occurs. Although backend storage is the preferred mode, a temporary local estimate still allows the interface to remain educational and responsive during development interruptions. From a testing perspective, this resilience matters because it preserves the continuity of interaction. From a safety perspective, the system still communicates that the source is local rather than backend-saved, which reduces the risk of presenting a fallback estimate as though it were a formally persisted clinical record.</w:t>
      </w:r>
    </w:p>
    <w:p w14:paraId="66D6CD6A" w14:textId="77777777" w:rsidR="00255787" w:rsidRDefault="00255787">
      <w:pPr>
        <w:spacing w:after="80" w:line="252" w:lineRule="auto"/>
        <w:jc w:val="both"/>
        <w:rPr>
          <w:rFonts w:ascii="Times New Roman" w:hAnsi="Times New Roman"/>
          <w:sz w:val="20"/>
        </w:rPr>
      </w:pPr>
    </w:p>
    <w:p w14:paraId="047A2F12" w14:textId="77777777" w:rsidR="00255787" w:rsidRDefault="00255787">
      <w:pPr>
        <w:spacing w:after="80" w:line="252" w:lineRule="auto"/>
        <w:jc w:val="both"/>
        <w:rPr>
          <w:rFonts w:ascii="Times New Roman" w:hAnsi="Times New Roman"/>
          <w:sz w:val="20"/>
        </w:rPr>
      </w:pPr>
    </w:p>
    <w:p w14:paraId="01A2292F" w14:textId="77777777" w:rsidR="00255787" w:rsidRDefault="00255787">
      <w:pPr>
        <w:spacing w:after="80" w:line="252" w:lineRule="auto"/>
        <w:jc w:val="both"/>
        <w:rPr>
          <w:rFonts w:ascii="Times New Roman" w:hAnsi="Times New Roman"/>
          <w:sz w:val="20"/>
        </w:rPr>
      </w:pPr>
    </w:p>
    <w:p w14:paraId="7444CA7C" w14:textId="77777777" w:rsidR="00255787" w:rsidRDefault="00255787">
      <w:pPr>
        <w:spacing w:after="80" w:line="252" w:lineRule="auto"/>
        <w:jc w:val="both"/>
        <w:rPr>
          <w:rFonts w:ascii="Times New Roman" w:hAnsi="Times New Roman"/>
          <w:sz w:val="20"/>
        </w:rPr>
      </w:pPr>
    </w:p>
    <w:p w14:paraId="6B206E9E" w14:textId="77777777" w:rsidR="00255787" w:rsidRDefault="00255787">
      <w:pPr>
        <w:spacing w:after="80" w:line="252" w:lineRule="auto"/>
        <w:jc w:val="both"/>
        <w:rPr>
          <w:rFonts w:ascii="Times New Roman" w:hAnsi="Times New Roman"/>
          <w:sz w:val="20"/>
        </w:rPr>
      </w:pPr>
    </w:p>
    <w:p w14:paraId="3060201F" w14:textId="77777777" w:rsidR="00977B09" w:rsidRDefault="00000000">
      <w:pPr>
        <w:spacing w:before="40" w:after="80" w:line="240" w:lineRule="auto"/>
        <w:jc w:val="center"/>
      </w:pPr>
      <w:r>
        <w:rPr>
          <w:rFonts w:ascii="Times New Roman" w:hAnsi="Times New Roman"/>
          <w:sz w:val="18"/>
        </w:rPr>
        <w:lastRenderedPageBreak/>
        <w:t xml:space="preserve">Table 4. Targeted testing observations for the deployed </w:t>
      </w:r>
      <w:proofErr w:type="spellStart"/>
      <w:r>
        <w:rPr>
          <w:rFonts w:ascii="Times New Roman" w:hAnsi="Times New Roman"/>
          <w:sz w:val="18"/>
        </w:rPr>
        <w:t>HeartGuard</w:t>
      </w:r>
      <w:proofErr w:type="spellEnd"/>
      <w:r>
        <w:rPr>
          <w:rFonts w:ascii="Times New Roman" w:hAnsi="Times New Roman"/>
          <w:sz w:val="18"/>
        </w:rPr>
        <w:t xml:space="preserve"> prototype</w:t>
      </w:r>
    </w:p>
    <w:tbl>
      <w:tblPr>
        <w:tblStyle w:val="TableGrid"/>
        <w:tblW w:w="9381" w:type="dxa"/>
        <w:jc w:val="center"/>
        <w:tblLayout w:type="fixed"/>
        <w:tblLook w:val="04A0" w:firstRow="1" w:lastRow="0" w:firstColumn="1" w:lastColumn="0" w:noHBand="0" w:noVBand="1"/>
      </w:tblPr>
      <w:tblGrid>
        <w:gridCol w:w="1960"/>
        <w:gridCol w:w="2592"/>
        <w:gridCol w:w="2381"/>
        <w:gridCol w:w="2448"/>
      </w:tblGrid>
      <w:tr w:rsidR="00977B09" w14:paraId="4134AEBD" w14:textId="77777777" w:rsidTr="00255787">
        <w:trPr>
          <w:jc w:val="center"/>
        </w:trPr>
        <w:tc>
          <w:tcPr>
            <w:tcW w:w="1960" w:type="dxa"/>
            <w:vAlign w:val="center"/>
          </w:tcPr>
          <w:p w14:paraId="72BD1522" w14:textId="77777777" w:rsidR="00977B09" w:rsidRDefault="00000000">
            <w:pPr>
              <w:jc w:val="center"/>
            </w:pPr>
            <w:r>
              <w:rPr>
                <w:rFonts w:ascii="Times New Roman" w:hAnsi="Times New Roman"/>
                <w:b/>
                <w:sz w:val="18"/>
              </w:rPr>
              <w:t>Scenario</w:t>
            </w:r>
          </w:p>
        </w:tc>
        <w:tc>
          <w:tcPr>
            <w:tcW w:w="2592" w:type="dxa"/>
            <w:vAlign w:val="center"/>
          </w:tcPr>
          <w:p w14:paraId="5AE0AB51" w14:textId="77777777" w:rsidR="00977B09" w:rsidRDefault="00000000">
            <w:pPr>
              <w:jc w:val="center"/>
            </w:pPr>
            <w:r>
              <w:rPr>
                <w:rFonts w:ascii="Times New Roman" w:hAnsi="Times New Roman"/>
                <w:b/>
                <w:sz w:val="18"/>
              </w:rPr>
              <w:t>Expected outcome</w:t>
            </w:r>
          </w:p>
        </w:tc>
        <w:tc>
          <w:tcPr>
            <w:tcW w:w="2381" w:type="dxa"/>
            <w:vAlign w:val="center"/>
          </w:tcPr>
          <w:p w14:paraId="781926E7" w14:textId="77777777" w:rsidR="00977B09" w:rsidRDefault="00000000">
            <w:pPr>
              <w:jc w:val="center"/>
            </w:pPr>
            <w:r>
              <w:rPr>
                <w:rFonts w:ascii="Times New Roman" w:hAnsi="Times New Roman"/>
                <w:b/>
                <w:sz w:val="18"/>
              </w:rPr>
              <w:t>Observed result</w:t>
            </w:r>
          </w:p>
        </w:tc>
        <w:tc>
          <w:tcPr>
            <w:tcW w:w="2448" w:type="dxa"/>
            <w:vAlign w:val="center"/>
          </w:tcPr>
          <w:p w14:paraId="77F65C02" w14:textId="77777777" w:rsidR="00977B09" w:rsidRDefault="00000000">
            <w:pPr>
              <w:jc w:val="center"/>
            </w:pPr>
            <w:r>
              <w:rPr>
                <w:rFonts w:ascii="Times New Roman" w:hAnsi="Times New Roman"/>
                <w:b/>
                <w:sz w:val="18"/>
              </w:rPr>
              <w:t>Why it matters</w:t>
            </w:r>
          </w:p>
        </w:tc>
      </w:tr>
      <w:tr w:rsidR="00977B09" w14:paraId="230E1D4E" w14:textId="77777777" w:rsidTr="00255787">
        <w:trPr>
          <w:jc w:val="center"/>
        </w:trPr>
        <w:tc>
          <w:tcPr>
            <w:tcW w:w="1960" w:type="dxa"/>
            <w:vAlign w:val="center"/>
          </w:tcPr>
          <w:p w14:paraId="1D2065CC" w14:textId="77777777" w:rsidR="00977B09" w:rsidRDefault="00000000">
            <w:r>
              <w:rPr>
                <w:rFonts w:ascii="Times New Roman" w:hAnsi="Times New Roman"/>
                <w:sz w:val="18"/>
              </w:rPr>
              <w:t>Two-field prediction</w:t>
            </w:r>
          </w:p>
        </w:tc>
        <w:tc>
          <w:tcPr>
            <w:tcW w:w="2592" w:type="dxa"/>
            <w:vAlign w:val="center"/>
          </w:tcPr>
          <w:p w14:paraId="7EEE147A" w14:textId="77777777" w:rsidR="00977B09" w:rsidRDefault="00000000">
            <w:pPr>
              <w:jc w:val="center"/>
            </w:pPr>
            <w:r>
              <w:rPr>
                <w:rFonts w:ascii="Times New Roman" w:hAnsi="Times New Roman"/>
                <w:sz w:val="18"/>
              </w:rPr>
              <w:t>System should allow forecasting with sparse but valid input</w:t>
            </w:r>
          </w:p>
        </w:tc>
        <w:tc>
          <w:tcPr>
            <w:tcW w:w="2381" w:type="dxa"/>
            <w:vAlign w:val="center"/>
          </w:tcPr>
          <w:p w14:paraId="0E949691" w14:textId="77777777" w:rsidR="00977B09" w:rsidRDefault="00000000">
            <w:pPr>
              <w:jc w:val="center"/>
            </w:pPr>
            <w:r>
              <w:rPr>
                <w:rFonts w:ascii="Times New Roman" w:hAnsi="Times New Roman"/>
                <w:sz w:val="18"/>
              </w:rPr>
              <w:t>Prediction returned with risk, confidence, and saved record</w:t>
            </w:r>
          </w:p>
        </w:tc>
        <w:tc>
          <w:tcPr>
            <w:tcW w:w="2448" w:type="dxa"/>
            <w:vAlign w:val="center"/>
          </w:tcPr>
          <w:p w14:paraId="7560F118" w14:textId="77777777" w:rsidR="00977B09" w:rsidRDefault="00000000">
            <w:r>
              <w:rPr>
                <w:rFonts w:ascii="Times New Roman" w:hAnsi="Times New Roman"/>
                <w:sz w:val="18"/>
              </w:rPr>
              <w:t>Supports early screening when complete data are unavailable</w:t>
            </w:r>
          </w:p>
        </w:tc>
      </w:tr>
      <w:tr w:rsidR="00977B09" w14:paraId="3E532608" w14:textId="77777777" w:rsidTr="00255787">
        <w:trPr>
          <w:jc w:val="center"/>
        </w:trPr>
        <w:tc>
          <w:tcPr>
            <w:tcW w:w="1960" w:type="dxa"/>
            <w:vAlign w:val="center"/>
          </w:tcPr>
          <w:p w14:paraId="6F870F47" w14:textId="77777777" w:rsidR="00977B09" w:rsidRDefault="00000000">
            <w:r>
              <w:rPr>
                <w:rFonts w:ascii="Times New Roman" w:hAnsi="Times New Roman"/>
                <w:sz w:val="18"/>
              </w:rPr>
              <w:t>Single-field submission</w:t>
            </w:r>
          </w:p>
        </w:tc>
        <w:tc>
          <w:tcPr>
            <w:tcW w:w="2592" w:type="dxa"/>
            <w:vAlign w:val="center"/>
          </w:tcPr>
          <w:p w14:paraId="2B61FDBF" w14:textId="77777777" w:rsidR="00977B09" w:rsidRDefault="00000000">
            <w:pPr>
              <w:jc w:val="center"/>
            </w:pPr>
            <w:r>
              <w:rPr>
                <w:rFonts w:ascii="Times New Roman" w:hAnsi="Times New Roman"/>
                <w:sz w:val="18"/>
              </w:rPr>
              <w:t>System should reject insufficient evidence</w:t>
            </w:r>
          </w:p>
        </w:tc>
        <w:tc>
          <w:tcPr>
            <w:tcW w:w="2381" w:type="dxa"/>
            <w:vAlign w:val="center"/>
          </w:tcPr>
          <w:p w14:paraId="6950520A" w14:textId="77777777" w:rsidR="00977B09" w:rsidRDefault="00000000">
            <w:pPr>
              <w:jc w:val="center"/>
            </w:pPr>
            <w:r>
              <w:rPr>
                <w:rFonts w:ascii="Times New Roman" w:hAnsi="Times New Roman"/>
                <w:sz w:val="18"/>
              </w:rPr>
              <w:t>Graceful client-facing validation error</w:t>
            </w:r>
          </w:p>
        </w:tc>
        <w:tc>
          <w:tcPr>
            <w:tcW w:w="2448" w:type="dxa"/>
            <w:vAlign w:val="center"/>
          </w:tcPr>
          <w:p w14:paraId="496838AD" w14:textId="77777777" w:rsidR="00977B09" w:rsidRDefault="00000000">
            <w:r>
              <w:rPr>
                <w:rFonts w:ascii="Times New Roman" w:hAnsi="Times New Roman"/>
                <w:sz w:val="18"/>
              </w:rPr>
              <w:t>Prevents misleading estimates from underspecified input</w:t>
            </w:r>
          </w:p>
        </w:tc>
      </w:tr>
      <w:tr w:rsidR="00977B09" w14:paraId="5D9E3AC6" w14:textId="77777777" w:rsidTr="00255787">
        <w:trPr>
          <w:jc w:val="center"/>
        </w:trPr>
        <w:tc>
          <w:tcPr>
            <w:tcW w:w="1960" w:type="dxa"/>
            <w:vAlign w:val="center"/>
          </w:tcPr>
          <w:p w14:paraId="16E6CAF0" w14:textId="77777777" w:rsidR="00977B09" w:rsidRDefault="00000000">
            <w:r>
              <w:rPr>
                <w:rFonts w:ascii="Times New Roman" w:hAnsi="Times New Roman"/>
                <w:sz w:val="18"/>
              </w:rPr>
              <w:t>Dashboard refresh</w:t>
            </w:r>
          </w:p>
        </w:tc>
        <w:tc>
          <w:tcPr>
            <w:tcW w:w="2592" w:type="dxa"/>
            <w:vAlign w:val="center"/>
          </w:tcPr>
          <w:p w14:paraId="2F041E59" w14:textId="77777777" w:rsidR="00977B09" w:rsidRDefault="00000000">
            <w:pPr>
              <w:jc w:val="center"/>
            </w:pPr>
            <w:r>
              <w:rPr>
                <w:rFonts w:ascii="Times New Roman" w:hAnsi="Times New Roman"/>
                <w:sz w:val="18"/>
              </w:rPr>
              <w:t>Latest saved records should remain visible</w:t>
            </w:r>
          </w:p>
        </w:tc>
        <w:tc>
          <w:tcPr>
            <w:tcW w:w="2381" w:type="dxa"/>
            <w:vAlign w:val="center"/>
          </w:tcPr>
          <w:p w14:paraId="4C0D08E9" w14:textId="77777777" w:rsidR="00977B09" w:rsidRDefault="00000000">
            <w:pPr>
              <w:jc w:val="center"/>
            </w:pPr>
            <w:r>
              <w:rPr>
                <w:rFonts w:ascii="Times New Roman" w:hAnsi="Times New Roman"/>
                <w:sz w:val="18"/>
              </w:rPr>
              <w:t>History restored from workbook-backed endpoint</w:t>
            </w:r>
          </w:p>
        </w:tc>
        <w:tc>
          <w:tcPr>
            <w:tcW w:w="2448" w:type="dxa"/>
            <w:vAlign w:val="center"/>
          </w:tcPr>
          <w:p w14:paraId="2B1B9E8C" w14:textId="77777777" w:rsidR="00977B09" w:rsidRDefault="00000000">
            <w:r>
              <w:rPr>
                <w:rFonts w:ascii="Times New Roman" w:hAnsi="Times New Roman"/>
                <w:sz w:val="18"/>
              </w:rPr>
              <w:t>Maintains longitudinal continuity and user trust</w:t>
            </w:r>
          </w:p>
        </w:tc>
      </w:tr>
      <w:tr w:rsidR="00977B09" w14:paraId="5D0403A0" w14:textId="77777777" w:rsidTr="00255787">
        <w:trPr>
          <w:jc w:val="center"/>
        </w:trPr>
        <w:tc>
          <w:tcPr>
            <w:tcW w:w="1960" w:type="dxa"/>
            <w:vAlign w:val="center"/>
          </w:tcPr>
          <w:p w14:paraId="1A419693" w14:textId="77777777" w:rsidR="00977B09" w:rsidRDefault="00000000">
            <w:r>
              <w:rPr>
                <w:rFonts w:ascii="Times New Roman" w:hAnsi="Times New Roman"/>
                <w:sz w:val="18"/>
              </w:rPr>
              <w:t>Backend interruption</w:t>
            </w:r>
          </w:p>
        </w:tc>
        <w:tc>
          <w:tcPr>
            <w:tcW w:w="2592" w:type="dxa"/>
            <w:vAlign w:val="center"/>
          </w:tcPr>
          <w:p w14:paraId="613A344E" w14:textId="77777777" w:rsidR="00977B09" w:rsidRDefault="00000000">
            <w:pPr>
              <w:jc w:val="center"/>
            </w:pPr>
            <w:r>
              <w:rPr>
                <w:rFonts w:ascii="Times New Roman" w:hAnsi="Times New Roman"/>
                <w:sz w:val="18"/>
              </w:rPr>
              <w:t>Frontend should degrade safely</w:t>
            </w:r>
          </w:p>
        </w:tc>
        <w:tc>
          <w:tcPr>
            <w:tcW w:w="2381" w:type="dxa"/>
            <w:vAlign w:val="center"/>
          </w:tcPr>
          <w:p w14:paraId="10F5894D" w14:textId="77777777" w:rsidR="00977B09" w:rsidRDefault="00000000">
            <w:pPr>
              <w:jc w:val="center"/>
            </w:pPr>
            <w:r>
              <w:rPr>
                <w:rFonts w:ascii="Times New Roman" w:hAnsi="Times New Roman"/>
                <w:sz w:val="18"/>
              </w:rPr>
              <w:t>Local fallback estimate remains clearly labeled</w:t>
            </w:r>
          </w:p>
        </w:tc>
        <w:tc>
          <w:tcPr>
            <w:tcW w:w="2448" w:type="dxa"/>
            <w:vAlign w:val="center"/>
          </w:tcPr>
          <w:p w14:paraId="36A11734" w14:textId="77777777" w:rsidR="00977B09" w:rsidRDefault="00000000">
            <w:r>
              <w:rPr>
                <w:rFonts w:ascii="Times New Roman" w:hAnsi="Times New Roman"/>
                <w:sz w:val="18"/>
              </w:rPr>
              <w:t>Preserves educational use without hiding data-source limitations</w:t>
            </w:r>
          </w:p>
        </w:tc>
      </w:tr>
    </w:tbl>
    <w:p w14:paraId="7E0BF3E1" w14:textId="77777777" w:rsidR="00977B09" w:rsidRDefault="00977B09">
      <w:pPr>
        <w:spacing w:after="40" w:line="240" w:lineRule="auto"/>
        <w:jc w:val="both"/>
      </w:pPr>
    </w:p>
    <w:p w14:paraId="2B97E804" w14:textId="77777777" w:rsidR="00977B09" w:rsidRDefault="00000000">
      <w:pPr>
        <w:spacing w:before="80" w:after="80" w:line="240" w:lineRule="auto"/>
        <w:jc w:val="center"/>
      </w:pPr>
      <w:r>
        <w:rPr>
          <w:rFonts w:ascii="Cambria" w:hAnsi="Cambria"/>
          <w:b/>
          <w:sz w:val="24"/>
        </w:rPr>
        <w:t>VI. LIMITATIONS AND FUTURE SCOPE</w:t>
      </w:r>
    </w:p>
    <w:p w14:paraId="7DAC9CDE" w14:textId="77777777" w:rsidR="00977B09" w:rsidRDefault="00000000">
      <w:pPr>
        <w:spacing w:after="80" w:line="252" w:lineRule="auto"/>
        <w:jc w:val="both"/>
      </w:pPr>
      <w:r>
        <w:rPr>
          <w:rFonts w:ascii="Times New Roman" w:hAnsi="Times New Roman"/>
          <w:sz w:val="20"/>
        </w:rPr>
        <w:t xml:space="preserve">The current </w:t>
      </w:r>
      <w:proofErr w:type="spellStart"/>
      <w:r>
        <w:rPr>
          <w:rFonts w:ascii="Times New Roman" w:hAnsi="Times New Roman"/>
          <w:sz w:val="20"/>
        </w:rPr>
        <w:t>HeartGuard</w:t>
      </w:r>
      <w:proofErr w:type="spellEnd"/>
      <w:r>
        <w:rPr>
          <w:rFonts w:ascii="Times New Roman" w:hAnsi="Times New Roman"/>
          <w:sz w:val="20"/>
        </w:rPr>
        <w:t xml:space="preserve"> release should be interpreted as an academic and functional prototype, not a hospital-certified readmission engine. Its strengths lie in explainability, continuity, and preventive usability, while its present limitations include workbook persistence, lack of authenticated multi-user workflows, absence of prospective clinical validation, and simplified deployment assumptions. These limits are typical at the prototype stage, but they should be addressed before the platform is used in a higher-stakes environment.</w:t>
      </w:r>
    </w:p>
    <w:p w14:paraId="620AF26C" w14:textId="77777777" w:rsidR="00977B09" w:rsidRDefault="00000000">
      <w:pPr>
        <w:spacing w:after="80" w:line="252" w:lineRule="auto"/>
        <w:jc w:val="both"/>
      </w:pPr>
      <w:r>
        <w:rPr>
          <w:rFonts w:ascii="Times New Roman" w:hAnsi="Times New Roman"/>
          <w:sz w:val="20"/>
        </w:rPr>
        <w:t>Future work should move in three directions. First, the project should reconnect its deployed interface to a validated model-serving pipeline so that training artifacts, calibration analysis, and prediction-time explanations are aligned end to end. Second, persistence should migrate from Excel storage to a secure database with role-based dashboards for patients, doctors, and administrators. Third, clinical evaluation should expand beyond functional verification to include curated heart-failure follow-up cohorts, threshold calibration, fairness analysis, and outcome-oriented testing that more directly measures readmission forecasting value.</w:t>
      </w:r>
    </w:p>
    <w:p w14:paraId="59030A26" w14:textId="77777777" w:rsidR="00977B09" w:rsidRDefault="00000000">
      <w:pPr>
        <w:spacing w:before="80" w:after="80" w:line="240" w:lineRule="auto"/>
        <w:jc w:val="center"/>
      </w:pPr>
      <w:r>
        <w:rPr>
          <w:rFonts w:ascii="Cambria" w:hAnsi="Cambria"/>
          <w:b/>
          <w:sz w:val="24"/>
        </w:rPr>
        <w:t>VII. CONCLUSION</w:t>
      </w:r>
    </w:p>
    <w:p w14:paraId="64A949BD" w14:textId="77777777" w:rsidR="00977B09" w:rsidRDefault="00000000">
      <w:pPr>
        <w:spacing w:after="80" w:line="252" w:lineRule="auto"/>
        <w:jc w:val="both"/>
      </w:pPr>
      <w:proofErr w:type="spellStart"/>
      <w:r>
        <w:rPr>
          <w:rFonts w:ascii="Times New Roman" w:hAnsi="Times New Roman"/>
          <w:sz w:val="20"/>
        </w:rPr>
        <w:t>HeartGuard</w:t>
      </w:r>
      <w:proofErr w:type="spellEnd"/>
      <w:r>
        <w:rPr>
          <w:rFonts w:ascii="Times New Roman" w:hAnsi="Times New Roman"/>
          <w:sz w:val="20"/>
        </w:rPr>
        <w:t xml:space="preserve"> demonstrates that a preventive heart-support application can go beyond isolated risk scoring by combining explainable forecasting, persistent history, and actionable follow-up modules in one workflow. By integrating multi-source cardiovascular data, accepting incomplete inputs, preserving prior predictions, and translating the latest estimate into practical support, the system provides a credible foundation for readmission-aware preventive care. Its current value lies in transparency, usability, and continuity; its next step is rigorous clinical validation and secure deployment.</w:t>
      </w:r>
    </w:p>
    <w:p w14:paraId="4D7ED41E" w14:textId="77777777" w:rsidR="00977B09" w:rsidRDefault="00000000">
      <w:pPr>
        <w:spacing w:before="80" w:after="80" w:line="240" w:lineRule="auto"/>
        <w:jc w:val="center"/>
      </w:pPr>
      <w:r>
        <w:rPr>
          <w:rFonts w:ascii="Cambria" w:hAnsi="Cambria"/>
          <w:b/>
          <w:sz w:val="24"/>
        </w:rPr>
        <w:t>ACKNOWLEDGEMENTS</w:t>
      </w:r>
    </w:p>
    <w:p w14:paraId="159C516D" w14:textId="77777777" w:rsidR="00977B09" w:rsidRDefault="00000000">
      <w:pPr>
        <w:spacing w:after="80" w:line="252" w:lineRule="auto"/>
        <w:jc w:val="both"/>
      </w:pPr>
      <w:r>
        <w:rPr>
          <w:rFonts w:ascii="Times New Roman" w:hAnsi="Times New Roman"/>
          <w:sz w:val="20"/>
        </w:rPr>
        <w:t xml:space="preserve">The authors acknowledge the project guidance, peer review, and open clinical datasets that supported feature selection, prototyping, and experimentation for the </w:t>
      </w:r>
      <w:proofErr w:type="spellStart"/>
      <w:r>
        <w:rPr>
          <w:rFonts w:ascii="Times New Roman" w:hAnsi="Times New Roman"/>
          <w:sz w:val="20"/>
        </w:rPr>
        <w:t>HeartGuard</w:t>
      </w:r>
      <w:proofErr w:type="spellEnd"/>
      <w:r>
        <w:rPr>
          <w:rFonts w:ascii="Times New Roman" w:hAnsi="Times New Roman"/>
          <w:sz w:val="20"/>
        </w:rPr>
        <w:t xml:space="preserve"> platform.</w:t>
      </w:r>
    </w:p>
    <w:p w14:paraId="28EC83DD" w14:textId="77777777" w:rsidR="00977B09" w:rsidRDefault="00000000">
      <w:pPr>
        <w:spacing w:before="80" w:after="80" w:line="240" w:lineRule="auto"/>
        <w:jc w:val="center"/>
      </w:pPr>
      <w:r>
        <w:rPr>
          <w:rFonts w:ascii="Cambria" w:hAnsi="Cambria"/>
          <w:b/>
          <w:sz w:val="24"/>
        </w:rPr>
        <w:t>REFERENCES</w:t>
      </w:r>
    </w:p>
    <w:p w14:paraId="148B70C8" w14:textId="77777777" w:rsidR="00977B09" w:rsidRDefault="00000000">
      <w:pPr>
        <w:spacing w:after="40" w:line="240" w:lineRule="auto"/>
        <w:jc w:val="both"/>
      </w:pPr>
      <w:r>
        <w:rPr>
          <w:rFonts w:ascii="Times New Roman" w:hAnsi="Times New Roman"/>
          <w:sz w:val="18"/>
        </w:rPr>
        <w:t xml:space="preserve">[1] J.-S. </w:t>
      </w:r>
      <w:proofErr w:type="spellStart"/>
      <w:r>
        <w:rPr>
          <w:rFonts w:ascii="Times New Roman" w:hAnsi="Times New Roman"/>
          <w:sz w:val="18"/>
        </w:rPr>
        <w:t>Rachoin</w:t>
      </w:r>
      <w:proofErr w:type="spellEnd"/>
      <w:r>
        <w:rPr>
          <w:rFonts w:ascii="Times New Roman" w:hAnsi="Times New Roman"/>
          <w:sz w:val="18"/>
        </w:rPr>
        <w:t>, K. Hunter, J. Varallo, and E. Cerceo, "Impact of time from discharge to readmission on outcomes: an observational study from the US National Readmission Database," BMJ Open, vol. 14, 2024, Art. no. e085466.</w:t>
      </w:r>
    </w:p>
    <w:p w14:paraId="447264AD" w14:textId="77777777" w:rsidR="00977B09" w:rsidRDefault="00000000">
      <w:pPr>
        <w:spacing w:after="40" w:line="240" w:lineRule="auto"/>
        <w:jc w:val="both"/>
      </w:pPr>
      <w:r>
        <w:rPr>
          <w:rFonts w:ascii="Times New Roman" w:hAnsi="Times New Roman"/>
          <w:sz w:val="18"/>
        </w:rPr>
        <w:t xml:space="preserve">[2] S. </w:t>
      </w:r>
      <w:proofErr w:type="spellStart"/>
      <w:r>
        <w:rPr>
          <w:rFonts w:ascii="Times New Roman" w:hAnsi="Times New Roman"/>
          <w:sz w:val="18"/>
        </w:rPr>
        <w:t>Alajmani</w:t>
      </w:r>
      <w:proofErr w:type="spellEnd"/>
      <w:r>
        <w:rPr>
          <w:rFonts w:ascii="Times New Roman" w:hAnsi="Times New Roman"/>
          <w:sz w:val="18"/>
        </w:rPr>
        <w:t xml:space="preserve"> and H. </w:t>
      </w:r>
      <w:proofErr w:type="spellStart"/>
      <w:r>
        <w:rPr>
          <w:rFonts w:ascii="Times New Roman" w:hAnsi="Times New Roman"/>
          <w:sz w:val="18"/>
        </w:rPr>
        <w:t>Elazhary</w:t>
      </w:r>
      <w:proofErr w:type="spellEnd"/>
      <w:r>
        <w:rPr>
          <w:rFonts w:ascii="Times New Roman" w:hAnsi="Times New Roman"/>
          <w:sz w:val="18"/>
        </w:rPr>
        <w:t>, "Hospital Readmission Prediction using Machine Learning Techniques: A Comparative Study," International Journal of Advanced Computer Science and Applications, vol. 10, no. 4, pp. 212-220, 2019.</w:t>
      </w:r>
    </w:p>
    <w:p w14:paraId="738D0747" w14:textId="77777777" w:rsidR="00977B09" w:rsidRDefault="00000000">
      <w:pPr>
        <w:spacing w:after="40" w:line="240" w:lineRule="auto"/>
        <w:jc w:val="both"/>
      </w:pPr>
      <w:r>
        <w:rPr>
          <w:rFonts w:ascii="Times New Roman" w:hAnsi="Times New Roman"/>
          <w:sz w:val="18"/>
        </w:rPr>
        <w:t>[3] R. O. Baris and C. E. Tabit, "Heart Failure Readmission Prevention Strategies-A Comparative Review of Medications, Devices, and Other Interventions," Journal of Clinical Medicine, vol. 14, no. 16, 2025, Art. no. 5894.</w:t>
      </w:r>
    </w:p>
    <w:p w14:paraId="045D251C" w14:textId="77777777" w:rsidR="00977B09" w:rsidRDefault="00000000">
      <w:pPr>
        <w:spacing w:after="40" w:line="240" w:lineRule="auto"/>
        <w:jc w:val="both"/>
      </w:pPr>
      <w:r>
        <w:rPr>
          <w:rFonts w:ascii="Times New Roman" w:hAnsi="Times New Roman"/>
          <w:sz w:val="18"/>
        </w:rPr>
        <w:t xml:space="preserve">[4] H. </w:t>
      </w:r>
      <w:proofErr w:type="spellStart"/>
      <w:r>
        <w:rPr>
          <w:rFonts w:ascii="Times New Roman" w:hAnsi="Times New Roman"/>
          <w:sz w:val="18"/>
        </w:rPr>
        <w:t>Hajishah</w:t>
      </w:r>
      <w:proofErr w:type="spellEnd"/>
      <w:r>
        <w:rPr>
          <w:rFonts w:ascii="Times New Roman" w:hAnsi="Times New Roman"/>
          <w:sz w:val="18"/>
        </w:rPr>
        <w:t xml:space="preserve"> et al., "Evaluation of machine learning methods for prediction of heart failure mortality and readmission: meta-analysis," BMC Cardiovascular Disorders, vol. 25, 2025, Art. no. 264.</w:t>
      </w:r>
    </w:p>
    <w:p w14:paraId="3DA5FC64" w14:textId="45F7C1E8" w:rsidR="00977B09" w:rsidRDefault="00000000" w:rsidP="00255787">
      <w:pPr>
        <w:spacing w:after="40" w:line="240" w:lineRule="auto"/>
        <w:jc w:val="both"/>
      </w:pPr>
      <w:r>
        <w:rPr>
          <w:rFonts w:ascii="Times New Roman" w:hAnsi="Times New Roman"/>
          <w:sz w:val="18"/>
        </w:rPr>
        <w:t>[5] R. B. D'Agostino Sr. et al., "General cardiovascular risk profile for use in primary care: the Framingham Heart Study," Circulation, vol. 117, no. 6, pp. 743-753, 2008.</w:t>
      </w:r>
    </w:p>
    <w:p w14:paraId="23D06DB5" w14:textId="77777777" w:rsidR="00977B09" w:rsidRDefault="00000000">
      <w:pPr>
        <w:spacing w:before="80" w:after="80" w:line="240" w:lineRule="auto"/>
        <w:jc w:val="center"/>
      </w:pPr>
      <w:r>
        <w:rPr>
          <w:rFonts w:ascii="Cambria" w:hAnsi="Cambria"/>
          <w:b/>
          <w:sz w:val="24"/>
        </w:rPr>
        <w:t>ANNEXURE: CORE HEARTGUARD VARIABLES</w:t>
      </w:r>
    </w:p>
    <w:p w14:paraId="0E0D8961" w14:textId="77777777" w:rsidR="00977B09" w:rsidRDefault="00000000">
      <w:pPr>
        <w:spacing w:after="80" w:line="252" w:lineRule="auto"/>
        <w:jc w:val="both"/>
      </w:pPr>
      <w:r>
        <w:rPr>
          <w:rFonts w:ascii="Times New Roman" w:hAnsi="Times New Roman"/>
          <w:sz w:val="20"/>
        </w:rPr>
        <w:t xml:space="preserve">The deployed </w:t>
      </w:r>
      <w:proofErr w:type="spellStart"/>
      <w:r>
        <w:rPr>
          <w:rFonts w:ascii="Times New Roman" w:hAnsi="Times New Roman"/>
          <w:sz w:val="20"/>
        </w:rPr>
        <w:t>HeartGuard</w:t>
      </w:r>
      <w:proofErr w:type="spellEnd"/>
      <w:r>
        <w:rPr>
          <w:rFonts w:ascii="Times New Roman" w:hAnsi="Times New Roman"/>
          <w:sz w:val="20"/>
        </w:rPr>
        <w:t xml:space="preserve"> prototype intentionally centers on variables that are understandable to patients, meaningful to clinicians, and resilient under incomplete reporting. Some variables, such as age, cholesterol, and blood pressure, support general cardiovascular screening. Others, such as ejection fraction and serum creatinine, provide stronger sensitivity to post-discharge heart-failure deterioration and therefore strengthen the platform's readmission-aware framing.</w:t>
      </w:r>
    </w:p>
    <w:p w14:paraId="385C12CC" w14:textId="77777777" w:rsidR="00977B09" w:rsidRDefault="00000000">
      <w:pPr>
        <w:spacing w:after="80" w:line="252" w:lineRule="auto"/>
        <w:jc w:val="both"/>
        <w:rPr>
          <w:rFonts w:ascii="Times New Roman" w:hAnsi="Times New Roman"/>
          <w:sz w:val="20"/>
        </w:rPr>
      </w:pPr>
      <w:r>
        <w:rPr>
          <w:rFonts w:ascii="Times New Roman" w:hAnsi="Times New Roman"/>
          <w:sz w:val="20"/>
        </w:rPr>
        <w:t>This annexure summarizes the main variables currently scored by the backend and clarifies how they contribute to preventive interpretation. The list is useful for future teams because it links data collection, model reasoning, and user-facing explanation in one place.</w:t>
      </w:r>
    </w:p>
    <w:p w14:paraId="66350BFD" w14:textId="77777777" w:rsidR="00255787" w:rsidRDefault="00255787">
      <w:pPr>
        <w:spacing w:after="80" w:line="252" w:lineRule="auto"/>
        <w:jc w:val="both"/>
        <w:rPr>
          <w:rFonts w:ascii="Times New Roman" w:hAnsi="Times New Roman"/>
          <w:sz w:val="20"/>
        </w:rPr>
      </w:pPr>
    </w:p>
    <w:p w14:paraId="23F20A2E" w14:textId="77777777" w:rsidR="00255787" w:rsidRDefault="00255787">
      <w:pPr>
        <w:spacing w:after="80" w:line="252" w:lineRule="auto"/>
        <w:jc w:val="both"/>
        <w:rPr>
          <w:rFonts w:ascii="Times New Roman" w:hAnsi="Times New Roman"/>
          <w:sz w:val="20"/>
        </w:rPr>
      </w:pPr>
    </w:p>
    <w:p w14:paraId="4118E384" w14:textId="77777777" w:rsidR="00255787" w:rsidRDefault="00255787">
      <w:pPr>
        <w:spacing w:before="40" w:after="80" w:line="240" w:lineRule="auto"/>
        <w:jc w:val="center"/>
        <w:rPr>
          <w:rFonts w:ascii="Times New Roman" w:hAnsi="Times New Roman"/>
          <w:sz w:val="18"/>
        </w:rPr>
      </w:pPr>
    </w:p>
    <w:p w14:paraId="3F49FDAB" w14:textId="19E6AA1D" w:rsidR="00977B09" w:rsidRDefault="00000000">
      <w:pPr>
        <w:spacing w:before="40" w:after="80" w:line="240" w:lineRule="auto"/>
        <w:jc w:val="center"/>
      </w:pPr>
      <w:r>
        <w:rPr>
          <w:rFonts w:ascii="Times New Roman" w:hAnsi="Times New Roman"/>
          <w:sz w:val="18"/>
        </w:rPr>
        <w:lastRenderedPageBreak/>
        <w:t xml:space="preserve">Table 5. Key variables used by the deployed </w:t>
      </w:r>
      <w:proofErr w:type="spellStart"/>
      <w:r>
        <w:rPr>
          <w:rFonts w:ascii="Times New Roman" w:hAnsi="Times New Roman"/>
          <w:sz w:val="18"/>
        </w:rPr>
        <w:t>HeartGuard</w:t>
      </w:r>
      <w:proofErr w:type="spellEnd"/>
      <w:r>
        <w:rPr>
          <w:rFonts w:ascii="Times New Roman" w:hAnsi="Times New Roman"/>
          <w:sz w:val="18"/>
        </w:rPr>
        <w:t xml:space="preserve"> scoring workflow</w:t>
      </w:r>
    </w:p>
    <w:tbl>
      <w:tblPr>
        <w:tblStyle w:val="TableGrid"/>
        <w:tblW w:w="0" w:type="auto"/>
        <w:jc w:val="center"/>
        <w:tblLayout w:type="fixed"/>
        <w:tblLook w:val="04A0" w:firstRow="1" w:lastRow="0" w:firstColumn="1" w:lastColumn="0" w:noHBand="0" w:noVBand="1"/>
      </w:tblPr>
      <w:tblGrid>
        <w:gridCol w:w="2381"/>
        <w:gridCol w:w="2520"/>
        <w:gridCol w:w="2381"/>
        <w:gridCol w:w="2664"/>
      </w:tblGrid>
      <w:tr w:rsidR="00977B09" w14:paraId="44C20655" w14:textId="77777777">
        <w:trPr>
          <w:jc w:val="center"/>
        </w:trPr>
        <w:tc>
          <w:tcPr>
            <w:tcW w:w="1944" w:type="dxa"/>
            <w:vAlign w:val="center"/>
          </w:tcPr>
          <w:p w14:paraId="14954FA2" w14:textId="77777777" w:rsidR="00977B09" w:rsidRDefault="00000000">
            <w:pPr>
              <w:jc w:val="center"/>
            </w:pPr>
            <w:r>
              <w:rPr>
                <w:rFonts w:ascii="Times New Roman" w:hAnsi="Times New Roman"/>
                <w:b/>
                <w:sz w:val="18"/>
              </w:rPr>
              <w:t>Variable</w:t>
            </w:r>
          </w:p>
        </w:tc>
        <w:tc>
          <w:tcPr>
            <w:tcW w:w="2520" w:type="dxa"/>
            <w:vAlign w:val="center"/>
          </w:tcPr>
          <w:p w14:paraId="3F1CAA68" w14:textId="77777777" w:rsidR="00977B09" w:rsidRDefault="00000000">
            <w:pPr>
              <w:jc w:val="center"/>
            </w:pPr>
            <w:r>
              <w:rPr>
                <w:rFonts w:ascii="Times New Roman" w:hAnsi="Times New Roman"/>
                <w:b/>
                <w:sz w:val="18"/>
              </w:rPr>
              <w:t>Clinical meaning</w:t>
            </w:r>
          </w:p>
        </w:tc>
        <w:tc>
          <w:tcPr>
            <w:tcW w:w="2232" w:type="dxa"/>
            <w:vAlign w:val="center"/>
          </w:tcPr>
          <w:p w14:paraId="49C2263B" w14:textId="77777777" w:rsidR="00977B09" w:rsidRDefault="00000000">
            <w:pPr>
              <w:jc w:val="center"/>
            </w:pPr>
            <w:r>
              <w:rPr>
                <w:rFonts w:ascii="Times New Roman" w:hAnsi="Times New Roman"/>
                <w:b/>
                <w:sz w:val="18"/>
              </w:rPr>
              <w:t>Prototype role</w:t>
            </w:r>
          </w:p>
        </w:tc>
        <w:tc>
          <w:tcPr>
            <w:tcW w:w="2664" w:type="dxa"/>
            <w:vAlign w:val="center"/>
          </w:tcPr>
          <w:p w14:paraId="38418618" w14:textId="77777777" w:rsidR="00977B09" w:rsidRDefault="00000000">
            <w:pPr>
              <w:jc w:val="center"/>
            </w:pPr>
            <w:r>
              <w:rPr>
                <w:rFonts w:ascii="Times New Roman" w:hAnsi="Times New Roman"/>
                <w:b/>
                <w:sz w:val="18"/>
              </w:rPr>
              <w:t>Interpretation in follow-up support</w:t>
            </w:r>
          </w:p>
        </w:tc>
      </w:tr>
      <w:tr w:rsidR="00977B09" w14:paraId="096563E2" w14:textId="77777777">
        <w:trPr>
          <w:jc w:val="center"/>
        </w:trPr>
        <w:tc>
          <w:tcPr>
            <w:tcW w:w="2381" w:type="dxa"/>
            <w:vAlign w:val="center"/>
          </w:tcPr>
          <w:p w14:paraId="6279CCE2" w14:textId="77777777" w:rsidR="00977B09" w:rsidRDefault="00000000">
            <w:r>
              <w:rPr>
                <w:rFonts w:ascii="Times New Roman" w:hAnsi="Times New Roman"/>
                <w:sz w:val="18"/>
              </w:rPr>
              <w:t>Age</w:t>
            </w:r>
          </w:p>
        </w:tc>
        <w:tc>
          <w:tcPr>
            <w:tcW w:w="2381" w:type="dxa"/>
            <w:vAlign w:val="center"/>
          </w:tcPr>
          <w:p w14:paraId="75B5EA6B" w14:textId="77777777" w:rsidR="00977B09" w:rsidRDefault="00000000">
            <w:pPr>
              <w:jc w:val="center"/>
            </w:pPr>
            <w:r>
              <w:rPr>
                <w:rFonts w:ascii="Times New Roman" w:hAnsi="Times New Roman"/>
                <w:sz w:val="18"/>
              </w:rPr>
              <w:t>Baseline cardiovascular vulnerability</w:t>
            </w:r>
          </w:p>
        </w:tc>
        <w:tc>
          <w:tcPr>
            <w:tcW w:w="2381" w:type="dxa"/>
            <w:vAlign w:val="center"/>
          </w:tcPr>
          <w:p w14:paraId="5EEEEF6C" w14:textId="77777777" w:rsidR="00977B09" w:rsidRDefault="00000000">
            <w:pPr>
              <w:jc w:val="center"/>
            </w:pPr>
            <w:r>
              <w:rPr>
                <w:rFonts w:ascii="Times New Roman" w:hAnsi="Times New Roman"/>
                <w:sz w:val="18"/>
              </w:rPr>
              <w:t>General preventive signal</w:t>
            </w:r>
          </w:p>
        </w:tc>
        <w:tc>
          <w:tcPr>
            <w:tcW w:w="2381" w:type="dxa"/>
            <w:vAlign w:val="center"/>
          </w:tcPr>
          <w:p w14:paraId="0F63F973" w14:textId="77777777" w:rsidR="00977B09" w:rsidRDefault="00000000">
            <w:r>
              <w:rPr>
                <w:rFonts w:ascii="Times New Roman" w:hAnsi="Times New Roman"/>
                <w:sz w:val="18"/>
              </w:rPr>
              <w:t>Helps contextualize long-term risk and prioritization</w:t>
            </w:r>
          </w:p>
        </w:tc>
      </w:tr>
      <w:tr w:rsidR="00977B09" w14:paraId="410B1285" w14:textId="77777777">
        <w:trPr>
          <w:jc w:val="center"/>
        </w:trPr>
        <w:tc>
          <w:tcPr>
            <w:tcW w:w="2381" w:type="dxa"/>
            <w:vAlign w:val="center"/>
          </w:tcPr>
          <w:p w14:paraId="11B583EF" w14:textId="77777777" w:rsidR="00977B09" w:rsidRDefault="00000000">
            <w:r>
              <w:rPr>
                <w:rFonts w:ascii="Times New Roman" w:hAnsi="Times New Roman"/>
                <w:sz w:val="18"/>
              </w:rPr>
              <w:t>BMI</w:t>
            </w:r>
          </w:p>
        </w:tc>
        <w:tc>
          <w:tcPr>
            <w:tcW w:w="2381" w:type="dxa"/>
            <w:vAlign w:val="center"/>
          </w:tcPr>
          <w:p w14:paraId="7B932F74" w14:textId="77777777" w:rsidR="00977B09" w:rsidRDefault="00000000">
            <w:pPr>
              <w:jc w:val="center"/>
            </w:pPr>
            <w:r>
              <w:rPr>
                <w:rFonts w:ascii="Times New Roman" w:hAnsi="Times New Roman"/>
                <w:sz w:val="18"/>
              </w:rPr>
              <w:t>Body-weight related cardiometabolic stress</w:t>
            </w:r>
          </w:p>
        </w:tc>
        <w:tc>
          <w:tcPr>
            <w:tcW w:w="2381" w:type="dxa"/>
            <w:vAlign w:val="center"/>
          </w:tcPr>
          <w:p w14:paraId="589067DB" w14:textId="77777777" w:rsidR="00977B09" w:rsidRDefault="00000000">
            <w:pPr>
              <w:jc w:val="center"/>
            </w:pPr>
            <w:r>
              <w:rPr>
                <w:rFonts w:ascii="Times New Roman" w:hAnsi="Times New Roman"/>
                <w:sz w:val="18"/>
              </w:rPr>
              <w:t>Lifestyle-sensitive input</w:t>
            </w:r>
          </w:p>
        </w:tc>
        <w:tc>
          <w:tcPr>
            <w:tcW w:w="2381" w:type="dxa"/>
            <w:vAlign w:val="center"/>
          </w:tcPr>
          <w:p w14:paraId="36ED19FF" w14:textId="77777777" w:rsidR="00977B09" w:rsidRDefault="00000000">
            <w:r>
              <w:rPr>
                <w:rFonts w:ascii="Times New Roman" w:hAnsi="Times New Roman"/>
                <w:sz w:val="18"/>
              </w:rPr>
              <w:t>Supports diet and activity recommendations</w:t>
            </w:r>
          </w:p>
        </w:tc>
      </w:tr>
      <w:tr w:rsidR="00977B09" w14:paraId="2A11FF7E" w14:textId="77777777">
        <w:trPr>
          <w:jc w:val="center"/>
        </w:trPr>
        <w:tc>
          <w:tcPr>
            <w:tcW w:w="2381" w:type="dxa"/>
            <w:vAlign w:val="center"/>
          </w:tcPr>
          <w:p w14:paraId="60D24BB6" w14:textId="77777777" w:rsidR="00977B09" w:rsidRDefault="00000000">
            <w:r>
              <w:rPr>
                <w:rFonts w:ascii="Times New Roman" w:hAnsi="Times New Roman"/>
                <w:sz w:val="18"/>
              </w:rPr>
              <w:t>Systolic and diastolic blood pressure</w:t>
            </w:r>
          </w:p>
        </w:tc>
        <w:tc>
          <w:tcPr>
            <w:tcW w:w="2381" w:type="dxa"/>
            <w:vAlign w:val="center"/>
          </w:tcPr>
          <w:p w14:paraId="7EAF6552" w14:textId="77777777" w:rsidR="00977B09" w:rsidRDefault="00000000">
            <w:pPr>
              <w:jc w:val="center"/>
            </w:pPr>
            <w:r>
              <w:rPr>
                <w:rFonts w:ascii="Times New Roman" w:hAnsi="Times New Roman"/>
                <w:sz w:val="18"/>
              </w:rPr>
              <w:t>Hemodynamic burden and hypertension severity</w:t>
            </w:r>
          </w:p>
        </w:tc>
        <w:tc>
          <w:tcPr>
            <w:tcW w:w="2381" w:type="dxa"/>
            <w:vAlign w:val="center"/>
          </w:tcPr>
          <w:p w14:paraId="29CF03AF" w14:textId="77777777" w:rsidR="00977B09" w:rsidRDefault="00000000">
            <w:pPr>
              <w:jc w:val="center"/>
            </w:pPr>
            <w:r>
              <w:rPr>
                <w:rFonts w:ascii="Times New Roman" w:hAnsi="Times New Roman"/>
                <w:sz w:val="18"/>
              </w:rPr>
              <w:t>High-weight screening factors</w:t>
            </w:r>
          </w:p>
        </w:tc>
        <w:tc>
          <w:tcPr>
            <w:tcW w:w="2381" w:type="dxa"/>
            <w:vAlign w:val="center"/>
          </w:tcPr>
          <w:p w14:paraId="05CD2506" w14:textId="77777777" w:rsidR="00977B09" w:rsidRDefault="00000000">
            <w:r>
              <w:rPr>
                <w:rFonts w:ascii="Times New Roman" w:hAnsi="Times New Roman"/>
                <w:sz w:val="18"/>
              </w:rPr>
              <w:t>Guides caution around elevated cardiac strain</w:t>
            </w:r>
          </w:p>
        </w:tc>
      </w:tr>
      <w:tr w:rsidR="00977B09" w14:paraId="528E41A0" w14:textId="77777777">
        <w:trPr>
          <w:jc w:val="center"/>
        </w:trPr>
        <w:tc>
          <w:tcPr>
            <w:tcW w:w="2381" w:type="dxa"/>
            <w:vAlign w:val="center"/>
          </w:tcPr>
          <w:p w14:paraId="0F8353FA" w14:textId="77777777" w:rsidR="00977B09" w:rsidRDefault="00000000">
            <w:r>
              <w:rPr>
                <w:rFonts w:ascii="Times New Roman" w:hAnsi="Times New Roman"/>
                <w:sz w:val="18"/>
              </w:rPr>
              <w:t>Cholesterol</w:t>
            </w:r>
          </w:p>
        </w:tc>
        <w:tc>
          <w:tcPr>
            <w:tcW w:w="2381" w:type="dxa"/>
            <w:vAlign w:val="center"/>
          </w:tcPr>
          <w:p w14:paraId="3C395112" w14:textId="77777777" w:rsidR="00977B09" w:rsidRDefault="00000000">
            <w:pPr>
              <w:jc w:val="center"/>
            </w:pPr>
            <w:r>
              <w:rPr>
                <w:rFonts w:ascii="Times New Roman" w:hAnsi="Times New Roman"/>
                <w:sz w:val="18"/>
              </w:rPr>
              <w:t>Atherogenic burden</w:t>
            </w:r>
          </w:p>
        </w:tc>
        <w:tc>
          <w:tcPr>
            <w:tcW w:w="2381" w:type="dxa"/>
            <w:vAlign w:val="center"/>
          </w:tcPr>
          <w:p w14:paraId="7DE802AA" w14:textId="77777777" w:rsidR="00977B09" w:rsidRDefault="00000000">
            <w:pPr>
              <w:jc w:val="center"/>
            </w:pPr>
            <w:r>
              <w:rPr>
                <w:rFonts w:ascii="Times New Roman" w:hAnsi="Times New Roman"/>
                <w:sz w:val="18"/>
              </w:rPr>
              <w:t>Preventive screening input</w:t>
            </w:r>
          </w:p>
        </w:tc>
        <w:tc>
          <w:tcPr>
            <w:tcW w:w="2381" w:type="dxa"/>
            <w:vAlign w:val="center"/>
          </w:tcPr>
          <w:p w14:paraId="48BB3FE0" w14:textId="77777777" w:rsidR="00977B09" w:rsidRDefault="00000000">
            <w:r>
              <w:rPr>
                <w:rFonts w:ascii="Times New Roman" w:hAnsi="Times New Roman"/>
                <w:sz w:val="18"/>
              </w:rPr>
              <w:t>Contributes to lifestyle and long-term risk messaging</w:t>
            </w:r>
          </w:p>
        </w:tc>
      </w:tr>
      <w:tr w:rsidR="00977B09" w14:paraId="69D0D9A4" w14:textId="77777777">
        <w:trPr>
          <w:jc w:val="center"/>
        </w:trPr>
        <w:tc>
          <w:tcPr>
            <w:tcW w:w="2381" w:type="dxa"/>
            <w:vAlign w:val="center"/>
          </w:tcPr>
          <w:p w14:paraId="36787B61" w14:textId="77777777" w:rsidR="00977B09" w:rsidRDefault="00000000">
            <w:r>
              <w:rPr>
                <w:rFonts w:ascii="Times New Roman" w:hAnsi="Times New Roman"/>
                <w:sz w:val="18"/>
              </w:rPr>
              <w:t>Glucose and diabetes status</w:t>
            </w:r>
          </w:p>
        </w:tc>
        <w:tc>
          <w:tcPr>
            <w:tcW w:w="2381" w:type="dxa"/>
            <w:vAlign w:val="center"/>
          </w:tcPr>
          <w:p w14:paraId="4722136D" w14:textId="77777777" w:rsidR="00977B09" w:rsidRDefault="00000000">
            <w:pPr>
              <w:jc w:val="center"/>
            </w:pPr>
            <w:r>
              <w:rPr>
                <w:rFonts w:ascii="Times New Roman" w:hAnsi="Times New Roman"/>
                <w:sz w:val="18"/>
              </w:rPr>
              <w:t>Metabolic instability and vascular risk</w:t>
            </w:r>
          </w:p>
        </w:tc>
        <w:tc>
          <w:tcPr>
            <w:tcW w:w="2381" w:type="dxa"/>
            <w:vAlign w:val="center"/>
          </w:tcPr>
          <w:p w14:paraId="0150189D" w14:textId="77777777" w:rsidR="00977B09" w:rsidRDefault="00000000">
            <w:pPr>
              <w:jc w:val="center"/>
            </w:pPr>
            <w:r>
              <w:rPr>
                <w:rFonts w:ascii="Times New Roman" w:hAnsi="Times New Roman"/>
                <w:sz w:val="18"/>
              </w:rPr>
              <w:t>Comorbidity-sensitive input</w:t>
            </w:r>
          </w:p>
        </w:tc>
        <w:tc>
          <w:tcPr>
            <w:tcW w:w="2381" w:type="dxa"/>
            <w:vAlign w:val="center"/>
          </w:tcPr>
          <w:p w14:paraId="78CCF49B" w14:textId="77777777" w:rsidR="00977B09" w:rsidRDefault="00000000">
            <w:r>
              <w:rPr>
                <w:rFonts w:ascii="Times New Roman" w:hAnsi="Times New Roman"/>
                <w:sz w:val="18"/>
              </w:rPr>
              <w:t>Connects prediction to diet and chronic-disease awareness</w:t>
            </w:r>
          </w:p>
        </w:tc>
      </w:tr>
      <w:tr w:rsidR="00977B09" w14:paraId="51F6BA30" w14:textId="77777777">
        <w:trPr>
          <w:jc w:val="center"/>
        </w:trPr>
        <w:tc>
          <w:tcPr>
            <w:tcW w:w="2381" w:type="dxa"/>
            <w:vAlign w:val="center"/>
          </w:tcPr>
          <w:p w14:paraId="0C3A4D36" w14:textId="77777777" w:rsidR="00977B09" w:rsidRDefault="00000000">
            <w:r>
              <w:rPr>
                <w:rFonts w:ascii="Times New Roman" w:hAnsi="Times New Roman"/>
                <w:sz w:val="18"/>
              </w:rPr>
              <w:t>Smoking and physical activity</w:t>
            </w:r>
          </w:p>
        </w:tc>
        <w:tc>
          <w:tcPr>
            <w:tcW w:w="2381" w:type="dxa"/>
            <w:vAlign w:val="center"/>
          </w:tcPr>
          <w:p w14:paraId="33B0C1EC" w14:textId="77777777" w:rsidR="00977B09" w:rsidRDefault="00000000">
            <w:pPr>
              <w:jc w:val="center"/>
            </w:pPr>
            <w:r>
              <w:rPr>
                <w:rFonts w:ascii="Times New Roman" w:hAnsi="Times New Roman"/>
                <w:sz w:val="18"/>
              </w:rPr>
              <w:t>Behavioral exposure and protective habits</w:t>
            </w:r>
          </w:p>
        </w:tc>
        <w:tc>
          <w:tcPr>
            <w:tcW w:w="2381" w:type="dxa"/>
            <w:vAlign w:val="center"/>
          </w:tcPr>
          <w:p w14:paraId="1F0C4225" w14:textId="77777777" w:rsidR="00977B09" w:rsidRDefault="00000000">
            <w:pPr>
              <w:jc w:val="center"/>
            </w:pPr>
            <w:r>
              <w:rPr>
                <w:rFonts w:ascii="Times New Roman" w:hAnsi="Times New Roman"/>
                <w:sz w:val="18"/>
              </w:rPr>
              <w:t>Modifiable lifestyle indicators</w:t>
            </w:r>
          </w:p>
        </w:tc>
        <w:tc>
          <w:tcPr>
            <w:tcW w:w="2381" w:type="dxa"/>
            <w:vAlign w:val="center"/>
          </w:tcPr>
          <w:p w14:paraId="34523CE4" w14:textId="77777777" w:rsidR="00977B09" w:rsidRDefault="00000000">
            <w:r>
              <w:rPr>
                <w:rFonts w:ascii="Times New Roman" w:hAnsi="Times New Roman"/>
                <w:sz w:val="18"/>
              </w:rPr>
              <w:t>Used to personalize preventive guidance</w:t>
            </w:r>
          </w:p>
        </w:tc>
      </w:tr>
      <w:tr w:rsidR="00977B09" w14:paraId="69358B91" w14:textId="77777777">
        <w:trPr>
          <w:jc w:val="center"/>
        </w:trPr>
        <w:tc>
          <w:tcPr>
            <w:tcW w:w="2381" w:type="dxa"/>
            <w:vAlign w:val="center"/>
          </w:tcPr>
          <w:p w14:paraId="0151A898" w14:textId="77777777" w:rsidR="00977B09" w:rsidRDefault="00000000">
            <w:r>
              <w:rPr>
                <w:rFonts w:ascii="Times New Roman" w:hAnsi="Times New Roman"/>
                <w:sz w:val="18"/>
              </w:rPr>
              <w:t>Heart rate</w:t>
            </w:r>
          </w:p>
        </w:tc>
        <w:tc>
          <w:tcPr>
            <w:tcW w:w="2381" w:type="dxa"/>
            <w:vAlign w:val="center"/>
          </w:tcPr>
          <w:p w14:paraId="34BD8AF0" w14:textId="77777777" w:rsidR="00977B09" w:rsidRDefault="00000000">
            <w:pPr>
              <w:jc w:val="center"/>
            </w:pPr>
            <w:r>
              <w:rPr>
                <w:rFonts w:ascii="Times New Roman" w:hAnsi="Times New Roman"/>
                <w:sz w:val="18"/>
              </w:rPr>
              <w:t>Physiologic stress or instability</w:t>
            </w:r>
          </w:p>
        </w:tc>
        <w:tc>
          <w:tcPr>
            <w:tcW w:w="2381" w:type="dxa"/>
            <w:vAlign w:val="center"/>
          </w:tcPr>
          <w:p w14:paraId="6687EA1C" w14:textId="77777777" w:rsidR="00977B09" w:rsidRDefault="00000000">
            <w:pPr>
              <w:jc w:val="center"/>
            </w:pPr>
            <w:r>
              <w:rPr>
                <w:rFonts w:ascii="Times New Roman" w:hAnsi="Times New Roman"/>
                <w:sz w:val="18"/>
              </w:rPr>
              <w:t>Secondary dynamic marker</w:t>
            </w:r>
          </w:p>
        </w:tc>
        <w:tc>
          <w:tcPr>
            <w:tcW w:w="2381" w:type="dxa"/>
            <w:vAlign w:val="center"/>
          </w:tcPr>
          <w:p w14:paraId="072D201C" w14:textId="77777777" w:rsidR="00977B09" w:rsidRDefault="00000000">
            <w:r>
              <w:rPr>
                <w:rFonts w:ascii="Times New Roman" w:hAnsi="Times New Roman"/>
                <w:sz w:val="18"/>
              </w:rPr>
              <w:t>Adds context to overall current-state interpretation</w:t>
            </w:r>
          </w:p>
        </w:tc>
      </w:tr>
      <w:tr w:rsidR="00977B09" w14:paraId="66741D29" w14:textId="77777777">
        <w:trPr>
          <w:jc w:val="center"/>
        </w:trPr>
        <w:tc>
          <w:tcPr>
            <w:tcW w:w="2381" w:type="dxa"/>
            <w:vAlign w:val="center"/>
          </w:tcPr>
          <w:p w14:paraId="463818C2" w14:textId="77777777" w:rsidR="00977B09" w:rsidRDefault="00000000">
            <w:r>
              <w:rPr>
                <w:rFonts w:ascii="Times New Roman" w:hAnsi="Times New Roman"/>
                <w:sz w:val="18"/>
              </w:rPr>
              <w:t>Ejection fraction</w:t>
            </w:r>
          </w:p>
        </w:tc>
        <w:tc>
          <w:tcPr>
            <w:tcW w:w="2381" w:type="dxa"/>
            <w:vAlign w:val="center"/>
          </w:tcPr>
          <w:p w14:paraId="711AB792" w14:textId="77777777" w:rsidR="00977B09" w:rsidRDefault="00000000">
            <w:pPr>
              <w:jc w:val="center"/>
            </w:pPr>
            <w:r>
              <w:rPr>
                <w:rFonts w:ascii="Times New Roman" w:hAnsi="Times New Roman"/>
                <w:sz w:val="18"/>
              </w:rPr>
              <w:t>Cardiac pumping performance</w:t>
            </w:r>
          </w:p>
        </w:tc>
        <w:tc>
          <w:tcPr>
            <w:tcW w:w="2381" w:type="dxa"/>
            <w:vAlign w:val="center"/>
          </w:tcPr>
          <w:p w14:paraId="290147DD" w14:textId="77777777" w:rsidR="00977B09" w:rsidRDefault="00000000">
            <w:pPr>
              <w:jc w:val="center"/>
            </w:pPr>
            <w:r>
              <w:rPr>
                <w:rFonts w:ascii="Times New Roman" w:hAnsi="Times New Roman"/>
                <w:sz w:val="18"/>
              </w:rPr>
              <w:t>Heart-failure-sensitive variable</w:t>
            </w:r>
          </w:p>
        </w:tc>
        <w:tc>
          <w:tcPr>
            <w:tcW w:w="2381" w:type="dxa"/>
            <w:vAlign w:val="center"/>
          </w:tcPr>
          <w:p w14:paraId="312EAB73" w14:textId="77777777" w:rsidR="00977B09" w:rsidRDefault="00000000">
            <w:r>
              <w:rPr>
                <w:rFonts w:ascii="Times New Roman" w:hAnsi="Times New Roman"/>
                <w:sz w:val="18"/>
              </w:rPr>
              <w:t>Important for readmission-aware deterioration assessment</w:t>
            </w:r>
          </w:p>
        </w:tc>
      </w:tr>
      <w:tr w:rsidR="00977B09" w14:paraId="69F0E58F" w14:textId="77777777">
        <w:trPr>
          <w:jc w:val="center"/>
        </w:trPr>
        <w:tc>
          <w:tcPr>
            <w:tcW w:w="2381" w:type="dxa"/>
            <w:vAlign w:val="center"/>
          </w:tcPr>
          <w:p w14:paraId="0F8FAB8D" w14:textId="77777777" w:rsidR="00977B09" w:rsidRDefault="00000000">
            <w:r>
              <w:rPr>
                <w:rFonts w:ascii="Times New Roman" w:hAnsi="Times New Roman"/>
                <w:sz w:val="18"/>
              </w:rPr>
              <w:t>Serum creatinine</w:t>
            </w:r>
          </w:p>
        </w:tc>
        <w:tc>
          <w:tcPr>
            <w:tcW w:w="2381" w:type="dxa"/>
            <w:vAlign w:val="center"/>
          </w:tcPr>
          <w:p w14:paraId="15B50B27" w14:textId="77777777" w:rsidR="00977B09" w:rsidRDefault="00000000">
            <w:pPr>
              <w:jc w:val="center"/>
            </w:pPr>
            <w:r>
              <w:rPr>
                <w:rFonts w:ascii="Times New Roman" w:hAnsi="Times New Roman"/>
                <w:sz w:val="18"/>
              </w:rPr>
              <w:t>Renal function and fluid-management sensitivity</w:t>
            </w:r>
          </w:p>
        </w:tc>
        <w:tc>
          <w:tcPr>
            <w:tcW w:w="2381" w:type="dxa"/>
            <w:vAlign w:val="center"/>
          </w:tcPr>
          <w:p w14:paraId="5D79A338" w14:textId="77777777" w:rsidR="00977B09" w:rsidRDefault="00000000">
            <w:pPr>
              <w:jc w:val="center"/>
            </w:pPr>
            <w:r>
              <w:rPr>
                <w:rFonts w:ascii="Times New Roman" w:hAnsi="Times New Roman"/>
                <w:sz w:val="18"/>
              </w:rPr>
              <w:t>Advanced heart-failure feature</w:t>
            </w:r>
          </w:p>
        </w:tc>
        <w:tc>
          <w:tcPr>
            <w:tcW w:w="2381" w:type="dxa"/>
            <w:vAlign w:val="center"/>
          </w:tcPr>
          <w:p w14:paraId="1E778332" w14:textId="77777777" w:rsidR="00977B09" w:rsidRDefault="00000000">
            <w:r>
              <w:rPr>
                <w:rFonts w:ascii="Times New Roman" w:hAnsi="Times New Roman"/>
                <w:sz w:val="18"/>
              </w:rPr>
              <w:t>Useful for higher-risk post-discharge interpretation</w:t>
            </w:r>
          </w:p>
        </w:tc>
      </w:tr>
    </w:tbl>
    <w:p w14:paraId="59A39B54" w14:textId="77777777" w:rsidR="00977B09" w:rsidRDefault="00977B09">
      <w:pPr>
        <w:spacing w:after="40" w:line="240" w:lineRule="auto"/>
        <w:jc w:val="both"/>
      </w:pPr>
    </w:p>
    <w:sectPr w:rsidR="00977B09" w:rsidSect="00C647C5">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570E" w14:textId="77777777" w:rsidR="00DE75AE" w:rsidRDefault="00DE75AE" w:rsidP="00C556D7">
      <w:pPr>
        <w:spacing w:after="0" w:line="240" w:lineRule="auto"/>
      </w:pPr>
      <w:r>
        <w:separator/>
      </w:r>
    </w:p>
  </w:endnote>
  <w:endnote w:type="continuationSeparator" w:id="0">
    <w:p w14:paraId="6BF33BC6" w14:textId="77777777" w:rsidR="00DE75AE" w:rsidRDefault="00DE75AE"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BA76" w14:textId="77777777" w:rsidR="00977B09" w:rsidRDefault="00977B09">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63A3" w14:textId="77777777" w:rsidR="00977B09" w:rsidRDefault="00977B09">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A36A" w14:textId="77777777" w:rsidR="00977B09" w:rsidRDefault="00977B09">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D611" w14:textId="77777777" w:rsidR="00DE75AE" w:rsidRDefault="00DE75AE" w:rsidP="00C556D7">
      <w:pPr>
        <w:spacing w:after="0" w:line="240" w:lineRule="auto"/>
      </w:pPr>
      <w:r>
        <w:separator/>
      </w:r>
    </w:p>
  </w:footnote>
  <w:footnote w:type="continuationSeparator" w:id="0">
    <w:p w14:paraId="0CE5519B" w14:textId="77777777" w:rsidR="00DE75AE" w:rsidRDefault="00DE75AE"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942B" w14:textId="77777777" w:rsidR="00977B09" w:rsidRDefault="00977B09">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F791" w14:textId="77777777" w:rsidR="00977B09" w:rsidRDefault="00977B09">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5F01" w14:textId="77777777" w:rsidR="00977B09" w:rsidRDefault="00977B09">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55787"/>
    <w:rsid w:val="00263A55"/>
    <w:rsid w:val="002650CA"/>
    <w:rsid w:val="00273038"/>
    <w:rsid w:val="00275ED8"/>
    <w:rsid w:val="002943C1"/>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4B78"/>
    <w:rsid w:val="005256A9"/>
    <w:rsid w:val="00526DDB"/>
    <w:rsid w:val="005338E6"/>
    <w:rsid w:val="005469F5"/>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77B09"/>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E75AE"/>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D1702"/>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3246</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HARSH BANDAL</cp:lastModifiedBy>
  <cp:revision>11</cp:revision>
  <cp:lastPrinted>2020-08-02T14:25:00Z</cp:lastPrinted>
  <dcterms:created xsi:type="dcterms:W3CDTF">2023-09-02T03:39:00Z</dcterms:created>
  <dcterms:modified xsi:type="dcterms:W3CDTF">2026-05-05T12:10:00Z</dcterms:modified>
</cp:coreProperties>
</file>