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11827"/>
          <w:sz w:val="40"/>
        </w:rPr>
        <w:t>HeartGuard Chapter 3 Design Diagrams</w:t>
      </w:r>
    </w:p>
    <w:p>
      <w:pPr>
        <w:jc w:val="center"/>
      </w:pPr>
      <w:r>
        <w:rPr>
          <w:rFonts w:ascii="Calibri" w:hAnsi="Calibri"/>
          <w:color w:val="475569"/>
          <w:sz w:val="22"/>
        </w:rPr>
        <w:t>HEARTGUARD: Preventive Insights for Heart Failure Readmission Forecasting using Machine Learning</w:t>
      </w:r>
    </w:p>
    <w:p>
      <w:pPr>
        <w:jc w:val="both"/>
      </w:pPr>
      <w:r>
        <w:t>The following figures are prepared for Chapter 3: Analysis and Design. Each diagram uses a white background and a formal academic visual style suitable for insertion into the final BE Computer Engineering project report.</w:t>
      </w:r>
    </w:p>
    <w:p>
      <w:pPr>
        <w:spacing w:before="200" w:after="160"/>
      </w:pPr>
      <w:r>
        <w:rPr>
          <w:b/>
          <w:color w:val="2E74B5"/>
        </w:rPr>
        <w:t>Place after Section 3.6: System Architecture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40"/>
        <w:jc w:val="center"/>
      </w:pPr>
      <w:r>
        <w:rPr>
          <w:b/>
          <w:color w:val="475569"/>
          <w:sz w:val="20"/>
        </w:rPr>
        <w:t>Figure 3.1: System Architecture of HeartGuard</w:t>
      </w:r>
    </w:p>
    <w:p>
      <w:r>
        <w:br w:type="page"/>
      </w:r>
    </w:p>
    <w:p>
      <w:pPr>
        <w:spacing w:before="200" w:after="160"/>
      </w:pPr>
      <w:r>
        <w:rPr>
          <w:b/>
          <w:color w:val="2E74B5"/>
        </w:rPr>
        <w:t>Place after Section 3.7: Use Case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2_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40"/>
        <w:jc w:val="center"/>
      </w:pPr>
      <w:r>
        <w:rPr>
          <w:b/>
          <w:color w:val="475569"/>
          <w:sz w:val="20"/>
        </w:rPr>
        <w:t>Figure 3.2: Use Case Diagram of HeartGuard</w:t>
      </w:r>
    </w:p>
    <w:p>
      <w:r>
        <w:br w:type="page"/>
      </w:r>
    </w:p>
    <w:p>
      <w:pPr>
        <w:spacing w:before="200" w:after="160"/>
      </w:pPr>
      <w:r>
        <w:rPr>
          <w:b/>
          <w:color w:val="2E74B5"/>
        </w:rPr>
        <w:t>Place after Section 3.8: Data Flow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3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40"/>
        <w:jc w:val="center"/>
      </w:pPr>
      <w:r>
        <w:rPr>
          <w:b/>
          <w:color w:val="475569"/>
          <w:sz w:val="20"/>
        </w:rPr>
        <w:t>Figure 3.3: Data Flow Diagram of HeartGuard</w:t>
      </w:r>
    </w:p>
    <w:p>
      <w:r>
        <w:br w:type="page"/>
      </w:r>
    </w:p>
    <w:p>
      <w:pPr>
        <w:spacing w:before="200" w:after="160"/>
      </w:pPr>
      <w:r>
        <w:rPr>
          <w:b/>
          <w:color w:val="2E74B5"/>
        </w:rPr>
        <w:t>Place after Section 3.9: Database Design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4_database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40"/>
        <w:jc w:val="center"/>
      </w:pPr>
      <w:r>
        <w:rPr>
          <w:b/>
          <w:color w:val="475569"/>
          <w:sz w:val="20"/>
        </w:rPr>
        <w:t>Figure 3.4: Entity Relationship Diagram of HeartGuard Database</w:t>
      </w:r>
    </w:p>
    <w:p>
      <w:r>
        <w:br w:type="page"/>
      </w:r>
    </w:p>
    <w:p>
      <w:pPr>
        <w:spacing w:before="200" w:after="160"/>
      </w:pPr>
      <w:r>
        <w:rPr>
          <w:b/>
          <w:color w:val="2E74B5"/>
        </w:rPr>
        <w:t>Place after Section 3.10 or 3.11: Prediction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632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5_prediction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40"/>
        <w:jc w:val="center"/>
      </w:pPr>
      <w:r>
        <w:rPr>
          <w:b/>
          <w:color w:val="475569"/>
          <w:sz w:val="20"/>
        </w:rPr>
        <w:t>Figure 3.5: HeartGuard Prediction Workflow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