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YD-2511-H498</w:t>
      </w:r>
    </w:p>
    <w:p>
      <w:r>
        <w:t>Area: Engine Room Access / 대상 구간: Engine Room Access</w:t>
      </w:r>
    </w:p>
    <w:p>
      <w:r>
        <w:t>Due: 2025-11-23 00:31 (KST) (회신 기한)</w:t>
      </w:r>
    </w:p>
    <w:p/>
    <w:p>
      <w:pPr>
        <w:pStyle w:val="ListBullet"/>
      </w:pPr>
      <w:r>
        <w:t>Observation: misalignment found during installation (평행/수평 오차 확인) @ Engine Room Access</w:t>
      </w:r>
    </w:p>
    <w:p>
      <w:pPr>
        <w:pStyle w:val="ListBullet"/>
      </w:pPr>
      <w:r>
        <w:t>Suspected cause: 측정 기준점(Datum) 불일치 (추정 원인)</w:t>
      </w:r>
    </w:p>
    <w:p>
      <w:pPr>
        <w:pStyle w:val="ListBullet"/>
      </w:pPr>
      <w:r>
        <w:t>Temporary action: re-alignment 후 tack welding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