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DHL Logistics Operations Source Document</w:t>
      </w:r>
    </w:p>
    <w:p>
      <w:pPr>
        <w:jc w:val="center"/>
      </w:pPr>
      <w:r>
        <w:rPr>
          <w:rFonts w:ascii="Arial" w:hAnsi="Arial"/>
          <w:b/>
          <w:sz w:val="28"/>
        </w:rPr>
        <w:t>Customs Clearance Delay Handling Notes</w:t>
      </w:r>
    </w:p>
    <w:p>
      <w:r>
        <w:t>Source Type: DOCX</w:t>
      </w:r>
    </w:p>
    <w:p>
      <w:r>
        <w:t>Suggested Tags: Customs, Delivery, Customer Support, SOP</w:t>
      </w:r>
    </w:p>
    <w:p>
      <w:r>
        <w:t>Prepared by: Operations Support Team</w:t>
      </w:r>
    </w:p>
    <w:p>
      <w:pPr>
        <w:pStyle w:val="Heading1"/>
      </w:pPr>
      <w:r>
        <w:t>Raw Notes</w:t>
      </w:r>
    </w:p>
    <w:p>
      <w:r>
        <w:t>Some international shipments are delayed because customs documents are incomplete or pending verification.</w:t>
      </w:r>
    </w:p>
    <w:p>
      <w:r>
        <w:t>Support agents should not immediately promise a delivery date when the parcel is under customs hold.</w:t>
      </w:r>
    </w:p>
    <w:p>
      <w:r>
        <w:t>The agent must check whether the required invoice, identification, or customs declaration is missing.</w:t>
      </w:r>
    </w:p>
    <w:p>
      <w:r>
        <w:t>If the customer needs to provide documents, the agent should explain exactly what is required and record the request in the case notes.</w:t>
      </w:r>
    </w:p>
    <w:p>
      <w:r>
        <w:t>If the delay is caused by internal document submission, the case should be escalated to the customs clearance team.</w:t>
      </w:r>
    </w:p>
    <w:p>
      <w:pPr>
        <w:pStyle w:val="Heading1"/>
      </w:pPr>
      <w:r>
        <w:t>Expected SOP Steps</w:t>
      </w:r>
    </w:p>
    <w:p>
      <w:r>
        <w:t>1. Open the shipment record and confirm that the status is related to customs clearance.</w:t>
      </w:r>
    </w:p>
    <w:p>
      <w:r>
        <w:t>2. Check the shipment notes to identify missing or pending documents.</w:t>
      </w:r>
    </w:p>
    <w:p>
      <w:r>
        <w:t>3. If documents are needed from the customer, send a clear request and record the required document list.</w:t>
      </w:r>
    </w:p>
    <w:p>
      <w:r>
        <w:t>4. If the issue is internal, escalate the case to the customs clearance team.</w:t>
      </w:r>
    </w:p>
    <w:p>
      <w:r>
        <w:t>5. Avoid promising a delivery date until customs clearance is completed.</w:t>
      </w:r>
    </w:p>
    <w:p>
      <w:r>
        <w:t>6. Update the customer with the latest clearance status and next follow-up time.</w:t>
      </w:r>
    </w:p>
    <w:p>
      <w:pPr>
        <w:pStyle w:val="Heading1"/>
      </w:pPr>
      <w:r>
        <w:t>Priority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Missing customer invoice</w:t>
            </w:r>
          </w:p>
        </w:tc>
        <w:tc>
          <w:tcPr>
            <w:tcW w:type="dxa" w:w="2880"/>
          </w:tcPr>
          <w:p>
            <w:r>
              <w:t>Request document from customer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Customs hold over 48 hours</w:t>
            </w:r>
          </w:p>
        </w:tc>
        <w:tc>
          <w:tcPr>
            <w:tcW w:type="dxa" w:w="2880"/>
          </w:tcPr>
          <w:p>
            <w:r>
              <w:t>Escalate to customs team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Incorrect declaration</w:t>
            </w:r>
          </w:p>
        </w:tc>
        <w:tc>
          <w:tcPr>
            <w:tcW w:type="dxa" w:w="2880"/>
          </w:tcPr>
          <w:p>
            <w:r>
              <w:t>Verify and update declaration details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r>
        <w:t>This document is intended to be processed by the DHL KB automation system into a structured Knowledge Base draft article.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