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网文续写流程规划</w:t>
      </w:r>
    </w:p>
    <w:p>
      <w:pPr>
        <w:pStyle w:val="FirstParagraph"/>
      </w:pPr>
      <w:r>
        <w:rPr>
          <w:bCs/>
          <w:b/>
        </w:rPr>
        <w:t xml:space="preserve">一句话结论：质量问题不在文笔，而在动笔前的决策。</w:t>
      </w:r>
      <w:r>
        <w:t xml:space="preserve"> </w:t>
      </w:r>
      <w:r>
        <w:t xml:space="preserve">流程的重心放在三处：从哪里切、守住什么类型、后 2 万字靠什么冲突撑起来。写作线保持全文注入、不阻断；另设一条同步校验线，只自动修正能客观核对的错误。编辑在方向和大纲两处可选介入，不介入时按默认规则继续。</w:t>
      </w:r>
    </w:p>
    <w:bookmarkStart w:id="20" w:name="一问题定义"/>
    <w:p>
      <w:pPr>
        <w:pStyle w:val="Heading1"/>
      </w:pPr>
      <w:r>
        <w:t xml:space="preserve">一、问题定义</w:t>
      </w:r>
    </w:p>
    <w:tbl>
      <w:tblPr>
        <w:tblW w:type="auto" w:w="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项目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一篇约 1 万字、已写完结局的短篇；编辑批量上传，后台自动生成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保留切点之前的原文，删除切点之后的部分，从切点续写约 2 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 万字成品，交编辑审阅、修改、发布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续写，不是扩写。切点之前的原文是既成事实，不改</w:t>
            </w:r>
          </w:p>
        </w:tc>
      </w:tr>
    </w:tbl>
    <w:p>
      <w:pPr>
        <w:pStyle w:val="BodyText"/>
      </w:pPr>
      <w:r>
        <w:t xml:space="preserve">为什么要删掉原文结尾：原文自带结局。从结局之后硬续，只能拖沓、重复同一种情绪。删掉的部分是用来把已经关上的门重新打开。</w:t>
      </w:r>
    </w:p>
    <w:p>
      <w:pPr>
        <w:pStyle w:val="BodyText"/>
      </w:pPr>
      <w:r>
        <w:t xml:space="preserve">核心矛盾：切得早，续写空间大，但删掉的原作高光多，每个都要补回来；切得晚，原作高光都保住，但门快关上了，新冲突只能硬造。</w:t>
      </w:r>
      <w:r>
        <w:t xml:space="preserve">“</w:t>
      </w:r>
      <w:r>
        <w:t xml:space="preserve">从哪里续</w:t>
      </w:r>
      <w:r>
        <w:t xml:space="preserve">”</w:t>
      </w:r>
      <w:r>
        <w:t xml:space="preserve">和”续写后会不会更爽”是同一个问题。</w:t>
      </w:r>
    </w:p>
    <w:bookmarkEnd w:id="20"/>
    <w:bookmarkStart w:id="21" w:name="二产品原则"/>
    <w:p>
      <w:pPr>
        <w:pStyle w:val="Heading1"/>
      </w:pPr>
      <w:r>
        <w:t xml:space="preserve">二、产品原则</w:t>
      </w:r>
    </w:p>
    <w:p>
      <w:pPr>
        <w:pStyle w:val="FirstParagraph"/>
      </w:pPr>
      <w:r>
        <w:t xml:space="preserve">所有流程改动都要能回到这几条。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原则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续写，不是扩写。切点之前的原文不改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类型不能变。</w:t>
            </w:r>
            <w:r>
              <w:t xml:space="preserve">“</w:t>
            </w:r>
            <w:r>
              <w:t xml:space="preserve">爽</w:t>
            </w:r>
            <w:r>
              <w:t xml:space="preserve">”</w:t>
            </w:r>
            <w:r>
              <w:t xml:space="preserve">按书定义（打脸、追悔、甜宠……），由类型契约约束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切点必须落在”门关上”（故事宣告尘埃落定）之前。切点属于每个方向，不是整本书一个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不丢：被删的原作高光（爽点、情感、反转）只能保留或加码，可以挪位置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新高：续写的终局高光至少与原作最强高光持平，目标是超过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万字靠第二个冲突撑起来，冲突必须来自原作的剩余势能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形式贴近原作：章长、对话占比、章尾落在事件上，用代码对照原文量化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若非必要，勿增实体。给写作喂的故事档案、多方向打分先不做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写作与校验分线。质量判断永不触发自动改写，只有可客观核对的错误可以自动处理，且只改局部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方向、大纲两处编辑可选介入，不介入时按默认规则继续，编辑改动记为反馈信号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编辑定义目标，机评放大目标。质量结论以编辑评价为准，上线后以读者数据为准</w:t>
            </w:r>
          </w:p>
        </w:tc>
      </w:tr>
    </w:tbl>
    <w:bookmarkEnd w:id="21"/>
    <w:bookmarkStart w:id="22" w:name="三整体流程"/>
    <w:p>
      <w:pPr>
        <w:pStyle w:val="Heading1"/>
      </w:pPr>
      <w:r>
        <w:t xml:space="preserve">三、整体流程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步骤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节点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做什么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编辑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批量上传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编辑上传多本原文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N1 原文理解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产出类型契约、高光清单、门关上位置、剩余势能、人物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只看不改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N2 方向生成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三条路线，每条自带切点、高光账本、第二冲突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可选：选择或否决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编辑不介入时自动选稳妥路线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N4 大纲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万字的宏观结构与逐章细纲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可选：确认或修改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N6 写作线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逐章写作，全文注入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每章 1 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每章抽取事实、同步比对、分级处理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每章 1 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N7 全文建议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质量层面的批注，不改正文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编辑审阅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阅读、修改、给可发档位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批量模式下，所有书先跑到方向，编辑集中选一遍；再跑到大纲，编辑集中看一遍；然后自动写完。编辑在两个时间点各批量处理一次，不需要逐本跟进。</w:t>
      </w:r>
    </w:p>
    <w:bookmarkEnd w:id="22"/>
    <w:bookmarkStart w:id="31" w:name="四各节点设计"/>
    <w:p>
      <w:pPr>
        <w:pStyle w:val="Heading1"/>
      </w:pPr>
      <w:r>
        <w:t xml:space="preserve">四、各节点设计</w:t>
      </w:r>
    </w:p>
    <w:bookmarkStart w:id="23" w:name="n1-原文理解"/>
    <w:p>
      <w:pPr>
        <w:pStyle w:val="Heading2"/>
      </w:pPr>
      <w:r>
        <w:t xml:space="preserve">4.1 N1 原文理解</w:t>
      </w:r>
    </w:p>
    <w:p>
      <w:pPr>
        <w:pStyle w:val="FirstParagraph"/>
      </w:pPr>
      <w:r>
        <w:t xml:space="preserve">模型直接产出，编辑只看不改。这一步决定后面所有节点的方向，上一轮类型跑偏就是从这里开始的。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输出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内容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类型契约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具体类型、读者要的爽感、读者期待、反派应有下场、禁止的走向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约束方向和写作，防止类型跑偏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高光清单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每个高光的章号、类型（爽点/情感/反转）、强度 1～5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计算切点删掉了什么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低谷清单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主角受压的位置和持续章数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限制续写中主角受压的长度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门关上位置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故事宣告尘埃落定的章号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切点上限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剩余势能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漏网反派、未兑现狠话、未用完的设定或谜团、未展开人物、主角软肋；每条附原文依据和强度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第二冲突的唯一来源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行为特征（附原文依据）、原作结局时的处境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防止人设崩</w:t>
            </w:r>
          </w:p>
        </w:tc>
      </w:tr>
    </w:tbl>
    <w:p>
      <w:pPr>
        <w:pStyle w:val="BodyText"/>
      </w:pPr>
      <w:r>
        <w:t xml:space="preserve">强度有统一标尺：5 为改变主角命运或核心真相揭晓，3 为一次完整的当众打脸，1 为铺垫性小爽点。</w:t>
      </w:r>
    </w:p>
    <w:bookmarkEnd w:id="23"/>
    <w:bookmarkStart w:id="24" w:name="n2-方向生成"/>
    <w:p>
      <w:pPr>
        <w:pStyle w:val="Heading2"/>
      </w:pPr>
      <w:r>
        <w:t xml:space="preserve">4.2 N2 方向生成</w:t>
      </w:r>
    </w:p>
    <w:p>
      <w:pPr>
        <w:pStyle w:val="FirstParagraph"/>
      </w:pPr>
      <w:r>
        <w:t xml:space="preserve">三个方向固定走三条路线，差异在切点、势能和高光处理方式，而不是换三个套路。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路线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做法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不成立时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稳妥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切得较晚，保留原作高潮；用最强的一条势能造出第二冲突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深挖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切在原作高潮之前，把高潮拆成几级逐步兑现，最终清算放到最后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保留比例低于 60% 时不生成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与稳妥同一切点，第二冲突换另一条势能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没有其他强度 ≥ 3 的势能时不生成</w:t>
            </w:r>
          </w:p>
        </w:tc>
      </w:tr>
    </w:tbl>
    <w:p>
      <w:pPr>
        <w:pStyle w:val="BodyText"/>
      </w:pPr>
      <w:r>
        <w:t xml:space="preserve">每个方向必须给出：切点和保留比例、高光账本（每个被删高光的去处和处理方式，加码要写明维度）、需要从被删章节带过去的事实、第二冲突及所用势能、新增人物（只能来自某条势能）、主干升级节点、反派下场、终局高光、续写开头。</w:t>
      </w:r>
    </w:p>
    <w:p>
      <w:pPr>
        <w:pStyle w:val="BodyText"/>
      </w:pPr>
      <w:r>
        <w:t xml:space="preserve">代码可检查项：切点 ≤ 门关上、保留比例 ≥ 60%（代码计算，不信模型填的值）、账本覆盖全部被删高光、势能可在清单中找到且强度 ≥ 3。</w:t>
      </w:r>
    </w:p>
    <w:bookmarkEnd w:id="24"/>
    <w:bookmarkStart w:id="25" w:name="编辑介入与默认规则"/>
    <w:p>
      <w:pPr>
        <w:pStyle w:val="Heading2"/>
      </w:pPr>
      <w:r>
        <w:t xml:space="preserve">4.3 编辑介入与默认规则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设计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介入方式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方向和大纲两处可以介入也可以不介入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默认规则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方向默认选稳妥路线：保留原作高潮，降级风险最小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为什么不用模型打分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模型品味未经验证，容易偏回它自己的默认叙事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系统先按默认规则选好，编辑看到”已选稳妥路线”，不对再改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反馈信号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编辑改选是强信号，跳过视为默认接受（弱信号）；否决时从固定理由中选一个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规则演进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如果某题材编辑总是改选同一路线，默认规则改为按题材区分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评测集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评测集上必选，保证校准数据完整；生产环境可选</w:t>
            </w:r>
          </w:p>
        </w:tc>
      </w:tr>
    </w:tbl>
    <w:bookmarkEnd w:id="25"/>
    <w:bookmarkStart w:id="26" w:name="n4-大纲"/>
    <w:p>
      <w:pPr>
        <w:pStyle w:val="Heading2"/>
      </w:pPr>
      <w:r>
        <w:t xml:space="preserve">4.4 N4 大纲</w:t>
      </w:r>
    </w:p>
    <w:p>
      <w:pPr>
        <w:pStyle w:val="FirstParagraph"/>
      </w:pPr>
      <w:r>
        <w:rPr>
          <w:bCs/>
          <w:b/>
        </w:rPr>
        <w:t xml:space="preserve">这是目前最没有设计的核心决策。</w:t>
      </w:r>
      <w:r>
        <w:t xml:space="preserve"> </w:t>
      </w:r>
      <w:r>
        <w:t xml:space="preserve">编辑评分最低的一项是叙事节奏，而节奏主要由这一步决定。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已定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按原文章长中位数（约 1000 字），2 万字约 20 章，不再写死 2500 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必须覆盖账本里的全部被删高光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爽点密度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在本节点控制，N2 只给主干升级节点</w:t>
            </w:r>
          </w:p>
        </w:tc>
      </w:tr>
    </w:tbl>
    <w:p/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待定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宏观结构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万字中间放几个小高潮；第二冲突最晚在第几章亮出来；付费卡点在哪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节拍模板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是否用套路卡作为节拍模板。网文节奏高度模式化，适合用规则定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节奏规则来源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先请编辑在几本原作上标注爽点位置，归纳出节奏，再定规则</w:t>
            </w:r>
          </w:p>
        </w:tc>
      </w:tr>
    </w:tbl>
    <w:bookmarkEnd w:id="26"/>
    <w:bookmarkStart w:id="27" w:name="n6-写作线"/>
    <w:p>
      <w:pPr>
        <w:pStyle w:val="Heading2"/>
      </w:pPr>
      <w:r>
        <w:t xml:space="preserve">4.5 N6 写作线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设计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切点前原文 + 方向带过来的事实 + 全部已写前章 + 本章细纲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不阻断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写作不等待质量审核，不因质量判断重写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落在事件或对话上，不落在内心感悟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句式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编辑点名的句式写进反例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从原文中摘出最有态度的段落（打脸、狠话、反派嘴脸）作为示例，对抗模型把爽文写成成长文的默认倾向</w:t>
            </w:r>
          </w:p>
        </w:tc>
      </w:tr>
    </w:tbl>
    <w:p>
      <w:pPr>
        <w:pStyle w:val="BodyText"/>
      </w:pPr>
      <w:r>
        <w:t xml:space="preserve">为什么全文注入还会出错：模型并不缺信息，而是写某一章时没有注意到几万字里的那一句。所以一致性不靠给写作喂更多信息解决，而靠独立的校验线。</w:t>
      </w:r>
    </w:p>
    <w:bookmarkEnd w:id="27"/>
    <w:bookmarkStart w:id="28" w:name="校验线"/>
    <w:p>
      <w:pPr>
        <w:pStyle w:val="Heading2"/>
      </w:pPr>
      <w:r>
        <w:t xml:space="preserve">4.6 校验线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设计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每写完一章，用一次小调用只读这一章，抽取它确立的事实，追加进事实日志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日志初始化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由切点前的原文抽取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物品状态、谁在什么时候知道了什么、人物关系、时间、金额与称谓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谁知道了什么</w:t>
            </w:r>
            <w:r>
              <w:t xml:space="preserve">”</w:t>
            </w:r>
            <w:r>
              <w:t xml:space="preserve">的信息差优先做细。打脸类爽点建立在信息不对称上，信息差错位，爽点就塌了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比对方式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只比同一对象的条目，不拿新章比全文；每条冲突附两边章号和原句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与旧故事档案的区别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旧档案喂给写作，压缩写作的上下文；事实日志只给校验用，写作不受影响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N 章校验完再写第 N+1 章。批量模式下并行发生在书与书之间，串行校验几乎不影响吞吐；同步可以避免错误传染给后续章节</w:t>
            </w:r>
          </w:p>
        </w:tc>
      </w:tr>
    </w:tbl>
    <w:p>
      <w:pPr>
        <w:pStyle w:val="BodyText"/>
      </w:pPr>
      <w:r>
        <w:t xml:space="preserve">分级处理：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级别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问题类型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代码硬指标：章长、禁用句式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自动处理。章长超过原文 1.5 倍时优先在自然断点拆章，不让模型压缩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与切点前原文冲突的事实，且该类已验证精确率高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自动局部修改，只改出错的句子，最多 1 次；改不好转成批注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两段续写之间的冲突，或精确率未验证的类别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只批注，交给编辑判断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质量判断：节奏、爽感、AI 语感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永不自动改，由 N7 给建议或交给编辑</w:t>
            </w:r>
          </w:p>
        </w:tc>
      </w:tr>
    </w:tbl>
    <w:p>
      <w:pPr>
        <w:pStyle w:val="BodyText"/>
      </w:pPr>
      <w:r>
        <w:t xml:space="preserve">上线方式：一开始所有类别都按第 3 级只批注；用埋错测试测出每类的精确率，达到阈值（暂定 90%）的类别再升为第 2 级。</w:t>
      </w:r>
    </w:p>
    <w:p>
      <w:pPr>
        <w:pStyle w:val="BodyText"/>
      </w:pPr>
      <w:r>
        <w:t xml:space="preserve">历史教训：此前一版用质量判断触发整章自动重写，重写次数多、不收敛，几乎没有一章通过。标准模糊的判断不能触发自动改写；整章重写会引入新错误和文风漂移。</w:t>
      </w:r>
    </w:p>
    <w:bookmarkEnd w:id="28"/>
    <w:bookmarkStart w:id="29" w:name="n7-全文建议"/>
    <w:p>
      <w:pPr>
        <w:pStyle w:val="Heading2"/>
      </w:pPr>
      <w:r>
        <w:t xml:space="preserve">4.7 N7 全文建议</w:t>
      </w:r>
    </w:p>
    <w:p>
      <w:pPr>
        <w:pStyle w:val="FirstParagraph"/>
      </w:pPr>
      <w:r>
        <w:t xml:space="preserve">只给质量层面的批注（节奏、爽感、人物），不拦截、不改正文。它的价值尚未验证：编辑会不会看批注、批注准不准都还不知道。</w:t>
      </w:r>
    </w:p>
    <w:bookmarkEnd w:id="29"/>
    <w:bookmarkStart w:id="30" w:name="编辑改稿目前的空白"/>
    <w:p>
      <w:pPr>
        <w:pStyle w:val="Heading2"/>
      </w:pPr>
      <w:r>
        <w:t xml:space="preserve">4.8 编辑改稿：目前的空白</w:t>
      </w:r>
    </w:p>
    <w:p>
      <w:pPr>
        <w:pStyle w:val="FirstParagraph"/>
      </w:pPr>
      <w:r>
        <w:t xml:space="preserve">核心命题是改稿成本，但现有流程里编辑只能阅读和打分。面对一份六成能用的 2 万字稿，编辑真正需要的是：选中某几章，用一句话说明问题（例如”节奏拖了，让反派提前出手”），然后局部重新生成。</w:t>
      </w:r>
    </w:p>
    <w:tbl>
      <w:tblPr>
        <w:tblW w:type="auto" w:w="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待定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编辑的角色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审稿人（接受或拒绝）还是导演（指挥模型局部重写）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局部重生成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重写某几章后，校验线如何更新、后续章节是否需要跟着改</w:t>
            </w:r>
          </w:p>
        </w:tc>
      </w:tr>
    </w:tbl>
    <w:p>
      <w:pPr>
        <w:pStyle w:val="BodyText"/>
      </w:pPr>
      <w:r>
        <w:t xml:space="preserve">这一环可能是降低改稿成本杠杆最大的地方，需要单独设计。</w:t>
      </w:r>
    </w:p>
    <w:bookmarkEnd w:id="30"/>
    <w:bookmarkEnd w:id="31"/>
    <w:bookmarkStart w:id="32" w:name="五数据流"/>
    <w:p>
      <w:pPr>
        <w:pStyle w:val="Heading1"/>
      </w:pPr>
      <w:r>
        <w:t xml:space="preserve">五、数据流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数据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产生于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流向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原文理解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N2、N4、N6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类型契约贯穿全流程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切点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选定的方向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N4、N6、N7、校验线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决定后续节点能看到的原文范围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带过去的事实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选定的方向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N4、N6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被删章节里续写要用的事实，在续写前段重新交代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事实日志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只给校验线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不作为写作输入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冲突批注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附两边原句，便于判断真假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编辑操作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选路线、改大纲、改正文、可发档位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评测与策略迭代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投产后是零成本的真实标签</w:t>
            </w:r>
          </w:p>
        </w:tc>
      </w:tr>
    </w:tbl>
    <w:bookmarkEnd w:id="32"/>
    <w:bookmarkStart w:id="33" w:name="六交给模型能力不做工程机制的部分"/>
    <w:p>
      <w:pPr>
        <w:pStyle w:val="Heading1"/>
      </w:pPr>
      <w:r>
        <w:t xml:space="preserve">六、交给模型能力、不做工程机制的部分</w:t>
      </w:r>
    </w:p>
    <w:tbl>
      <w:tblPr>
        <w:tblW w:type="auto" w:w="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部分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文笔、AI 语感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换模型、给原文示例和反例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单章内部的场景写法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交给写作模型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细节层面的连贯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由校验线兜底，不给写作加机制</w:t>
            </w:r>
          </w:p>
        </w:tc>
      </w:tr>
    </w:tbl>
    <w:p>
      <w:pPr>
        <w:pStyle w:val="BodyText"/>
      </w:pPr>
      <w:r>
        <w:t xml:space="preserve">这些在评测中作为”写作模型”一个变量，用方案 × 模型的对照实验来判断瓶颈在哪一层。</w:t>
      </w:r>
    </w:p>
    <w:bookmarkEnd w:id="33"/>
    <w:bookmarkStart w:id="34" w:name="七暂时不做"/>
    <w:p>
      <w:pPr>
        <w:pStyle w:val="Heading1"/>
      </w:pPr>
      <w:r>
        <w:t xml:space="preserve">七、暂时不做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不做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给写作喂故事档案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压缩写作上下文，且未证明必要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多方向模型打分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模型品味未经验证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质量判断触发的自动重写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已证明不收敛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引文超长作废整本批注、改一章重审全文、原文长度上限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等编辑真正用起来遇到时再修</w:t>
            </w:r>
          </w:p>
        </w:tc>
      </w:tr>
    </w:tbl>
    <w:bookmarkEnd w:id="34"/>
    <w:bookmarkStart w:id="35" w:name="八下一步"/>
    <w:p>
      <w:pPr>
        <w:pStyle w:val="Heading1"/>
      </w:pPr>
      <w:r>
        <w:t xml:space="preserve">八、下一步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顺序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事项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把提示词草案（N1、N2）接入流程，章长改为按原文中位数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新版方向与大纲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人工核对上一轮全文审核报出的高严重度问题；做埋错测试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一致性问题的严重程度、校验精确率基线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实现校验线，全部类别先只批注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事实日志与冲突批注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 N4 宏观结构：请编辑标注原作爽点，归纳节奏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节奏规则初版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设计编辑改稿环节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局部重生成方案</w:t>
            </w:r>
          </w:p>
        </w:tc>
      </w:tr>
    </w:tbl>
    <w:bookmarkEnd w:id="35"/>
    <w:bookmarkStart w:id="36" w:name="九待决问题"/>
    <w:p>
      <w:pPr>
        <w:pStyle w:val="Heading1"/>
      </w:pPr>
      <w:r>
        <w:t xml:space="preserve">九、待决问题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问题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为什么重要</w:t>
            </w:r>
          </w:p>
        </w:tc>
        <w:tc>
          <w:tcPr>
            <w:shd w:val="clear" w:fill="EEF1F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谁来定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新高是”持平即达标”还是”必须超过”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决定方向生成的门槛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产品，参考编辑反馈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保留原文比例下限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决定深挖路线何时不成立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产品，用编辑选择校准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付费卡点位置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决定高潮和第二冲突的位置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产品或平台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续写给新读者还是老读者看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老读者已看过前文，续写开头必须立刻抓人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校验线自动修改的精确率阈值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决定哪些类别可以自动修改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用埋错测试数据定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拆章后章数与大纲不对应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影响大纲与成稿的对应关系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实现时定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编辑改稿时的角色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决定改稿环节怎么设计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产品，结合编辑访谈</w:t>
            </w:r>
          </w:p>
        </w:tc>
      </w:tr>
    </w:tbl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PingFang SC" w:hAnsi="PingFang SC" w:eastAsia="PingFang SC" w:cs="PingFang SC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PingFang SC" w:hAnsi="PingFang SC" w:eastAsia="PingFang SC" w:cs="PingFang SC"/>
    </w:rPr>
  </w:style>
  <w:style w:customStyle="1" w:styleId="FirstParagraph" w:type="paragraph">
    <w:name w:val="First Paragraph"/>
    <w:basedOn w:val="BodyText"/>
    <w:next w:val="BodyText"/>
    <w:qFormat/>
    <w:rPr>
      <w:rFonts w:ascii="PingFang SC" w:hAnsi="PingFang SC" w:eastAsia="PingFang SC" w:cs="PingFang SC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PingFang SC" w:hAnsi="PingFang SC" w:eastAsia="PingFang SC" w:cs="PingFang SC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cstheme="majorBidi" w:ascii="PingFang SC" w:hAnsi="PingFang SC" w:eastAsia="PingFang SC" w:cs="PingFang SC"/>
      <w:b/>
      <w:bCs/>
      <w:color w:val="1F2329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PingFang SC" w:hAnsi="PingFang SC" w:eastAsia="PingFang SC" w:cs="PingFang SC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PingFang SC" w:hAnsi="PingFang SC" w:eastAsia="PingFang SC" w:cs="PingFang SC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PingFang SC" w:hAnsi="PingFang SC" w:eastAsia="PingFang SC" w:cs="PingFang SC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PingFang SC" w:hAnsi="PingFang SC" w:eastAsia="PingFang SC" w:cs="PingFang SC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PingFang SC" w:hAnsi="PingFang SC" w:eastAsia="PingFang SC" w:cs="PingFang S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PingFang SC" w:hAnsi="PingFang SC" w:eastAsia="PingFang SC" w:cs="PingFang SC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cstheme="majorBidi" w:ascii="PingFang SC" w:hAnsi="PingFang SC" w:eastAsia="PingFang SC" w:cs="PingFang SC"/>
      <w:b/>
      <w:bCs/>
      <w:color w:val="1F2329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cstheme="majorBidi" w:ascii="PingFang SC" w:hAnsi="PingFang SC" w:eastAsia="PingFang SC" w:cs="PingFang SC"/>
      <w:b/>
      <w:bCs/>
      <w:color w:val="1F2329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cstheme="majorBidi" w:ascii="PingFang SC" w:hAnsi="PingFang SC" w:eastAsia="PingFang SC" w:cs="PingFang SC"/>
      <w:b/>
      <w:bCs/>
      <w:color w:val="1F2329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cstheme="majorBidi" w:ascii="PingFang SC" w:hAnsi="PingFang SC" w:eastAsia="PingFang SC" w:cs="PingFang SC"/>
      <w:i/>
      <w:bCs/>
      <w:color w:val="1F2329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cstheme="majorBidi" w:ascii="PingFang SC" w:hAnsi="PingFang SC" w:eastAsia="PingFang SC" w:cs="PingFang SC"/>
      <w:iCs/>
      <w:color w:val="1F2329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cstheme="majorBidi" w:ascii="PingFang SC" w:hAnsi="PingFang SC" w:eastAsia="PingFang SC" w:cs="PingFang SC"/>
      <w:color w:val="1F2329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cstheme="majorBidi" w:ascii="PingFang SC" w:hAnsi="PingFang SC" w:eastAsia="PingFang SC" w:cs="PingFang SC"/>
      <w:color w:val="1F2329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cstheme="majorBidi" w:ascii="PingFang SC" w:hAnsi="PingFang SC" w:eastAsia="PingFang SC" w:cs="PingFang SC"/>
      <w:color w:val="1F2329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cstheme="majorBidi" w:ascii="PingFang SC" w:hAnsi="PingFang SC" w:eastAsia="PingFang SC" w:cs="PingFang SC"/>
      <w:color w:val="1F2329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PingFang SC" w:hAnsi="PingFang SC" w:eastAsia="PingFang SC" w:cs="PingFang S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PingFang SC" w:hAnsi="PingFang SC" w:eastAsia="PingFang SC" w:cs="PingFang SC"/>
    </w:rPr>
  </w:style>
  <w:style w:default="1" w:styleId="DefaultParagraphFont" w:type="character">
    <w:name w:val="Default Paragraph Font"/>
    <w:semiHidden/>
    <w:unhideWhenUsed/>
    <w:rPr>
      <w:rFonts w:ascii="PingFang SC" w:hAnsi="PingFang SC" w:eastAsia="PingFang SC" w:cs="PingFang SC"/>
    </w:rPr>
  </w:style>
  <w:style w:default="1" w:styleId="Table" w:type="table">
    <w:name w:val="Table"/>
    <w:basedOn w:val="TableNormal"/>
    <w:semiHidden/>
    <w:unhideWhenUsed/>
    <w:qFormat/>
    <w:rPr>
      <w:rFonts w:ascii="PingFang SC" w:hAnsi="PingFang SC" w:eastAsia="PingFang SC" w:cs="PingFang SC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PingFang SC" w:hAnsi="PingFang SC" w:eastAsia="PingFang SC" w:cs="PingFang SC"/>
      <w:b/>
    </w:rPr>
  </w:style>
  <w:style w:customStyle="1" w:styleId="Definition" w:type="paragraph">
    <w:name w:val="Definition"/>
    <w:basedOn w:val="Normal"/>
    <w:rPr>
      <w:rFonts w:ascii="PingFang SC" w:hAnsi="PingFang SC" w:eastAsia="PingFang SC" w:cs="PingFang S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PingFang SC" w:hAnsi="PingFang SC" w:eastAsia="PingFang SC" w:cs="PingFang SC"/>
      <w:i/>
    </w:rPr>
  </w:style>
  <w:style w:customStyle="1" w:styleId="TableCaption" w:type="paragraph">
    <w:name w:val="Table Caption"/>
    <w:basedOn w:val="Caption"/>
    <w:pPr>
      <w:keepNext/>
    </w:pPr>
    <w:rPr>
      <w:rFonts w:ascii="PingFang SC" w:hAnsi="PingFang SC" w:eastAsia="PingFang SC" w:cs="PingFang SC"/>
    </w:rPr>
  </w:style>
  <w:style w:customStyle="1" w:styleId="ImageCaption" w:type="paragraph">
    <w:name w:val="Image Caption"/>
    <w:basedOn w:val="Caption"/>
    <w:rPr>
      <w:rFonts w:ascii="PingFang SC" w:hAnsi="PingFang SC" w:eastAsia="PingFang SC" w:cs="PingFang SC"/>
    </w:rPr>
  </w:style>
  <w:style w:customStyle="1" w:styleId="Figure" w:type="paragraph">
    <w:name w:val="Figure"/>
    <w:basedOn w:val="Normal"/>
    <w:rPr>
      <w:rFonts w:ascii="PingFang SC" w:hAnsi="PingFang SC" w:eastAsia="PingFang SC" w:cs="PingFang SC"/>
    </w:rPr>
  </w:style>
  <w:style w:customStyle="1" w:styleId="CaptionedFigure" w:type="paragraph">
    <w:name w:val="Captioned Figure"/>
    <w:basedOn w:val="Figure"/>
    <w:pPr>
      <w:keepNext/>
    </w:pPr>
    <w:rPr>
      <w:rFonts w:ascii="PingFang SC" w:hAnsi="PingFang SC" w:eastAsia="PingFang SC" w:cs="PingFang SC"/>
    </w:rPr>
  </w:style>
  <w:style w:customStyle="1" w:styleId="BodyTextChar" w:type="character">
    <w:name w:val="Body Text Char"/>
    <w:basedOn w:val="DefaultParagraphFont"/>
    <w:link w:val="BodyText"/>
    <w:rPr>
      <w:rFonts w:ascii="PingFang SC" w:hAnsi="PingFang SC" w:eastAsia="PingFang SC" w:cs="PingFang SC"/>
    </w:rPr>
  </w:style>
  <w:style w:customStyle="1" w:styleId="VerbatimChar" w:type="character">
    <w:name w:val="Verbatim Char"/>
    <w:basedOn w:val="BodyTextChar"/>
    <w:rPr>
      <w:rFonts w:ascii="PingFang SC" w:hAnsi="PingFang SC" w:eastAsia="PingFang SC" w:cs="PingFang SC"/>
      <w:sz w:val="22"/>
    </w:rPr>
  </w:style>
  <w:style w:customStyle="1" w:styleId="SectionNumber" w:type="character">
    <w:name w:val="Section Number"/>
    <w:basedOn w:val="BodyTextChar"/>
    <w:rPr>
      <w:rFonts w:ascii="PingFang SC" w:hAnsi="PingFang SC" w:eastAsia="PingFang SC" w:cs="PingFang SC"/>
    </w:rPr>
  </w:style>
  <w:style w:styleId="FootnoteReference" w:type="character">
    <w:name w:val="Footnote Reference"/>
    <w:basedOn w:val="BodyTextChar"/>
    <w:rPr>
      <w:rFonts w:ascii="PingFang SC" w:hAnsi="PingFang SC" w:eastAsia="PingFang SC" w:cs="PingFang SC"/>
      <w:vertAlign w:val="superscript"/>
    </w:rPr>
  </w:style>
  <w:style w:styleId="Hyperlink" w:type="character">
    <w:name w:val="Hyperlink"/>
    <w:basedOn w:val="BodyTextChar"/>
    <w:rPr>
      <w:rFonts w:ascii="PingFang SC" w:hAnsi="PingFang SC" w:eastAsia="PingFang SC" w:cs="PingFang SC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cstheme="majorBidi" w:ascii="PingFang SC" w:hAnsi="PingFang SC" w:eastAsia="PingFang SC" w:cs="PingFang S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PingFang SC" w:hAnsi="PingFang SC" w:eastAsia="PingFang SC" w:cs="PingFang SC"/>
    </w:rPr>
  </w:style>
  <w:style w:type="character" w:customStyle="1" w:styleId="KeywordTok">
    <w:name w:val="KeywordTok"/>
    <w:basedOn w:val="VerbatimChar"/>
    <w:rPr>
      <w:color w:val="007020"/>
      <w:rFonts w:ascii="PingFang SC" w:hAnsi="PingFang SC" w:eastAsia="PingFang SC" w:cs="PingFang SC"/>
      <w:b/>
    </w:rPr>
  </w:style>
  <w:style w:type="character" w:customStyle="1" w:styleId="DataTypeTok">
    <w:name w:val="DataTypeTok"/>
    <w:basedOn w:val="VerbatimChar"/>
    <w:rPr>
      <w:rFonts w:ascii="PingFang SC" w:hAnsi="PingFang SC" w:eastAsia="PingFang SC" w:cs="PingFang SC"/>
      <w:color w:val="902000"/>
    </w:rPr>
  </w:style>
  <w:style w:type="character" w:customStyle="1" w:styleId="DecValTok">
    <w:name w:val="DecValTok"/>
    <w:basedOn w:val="VerbatimChar"/>
    <w:rPr>
      <w:rFonts w:ascii="PingFang SC" w:hAnsi="PingFang SC" w:eastAsia="PingFang SC" w:cs="PingFang SC"/>
      <w:color w:val="40a070"/>
    </w:rPr>
  </w:style>
  <w:style w:type="character" w:customStyle="1" w:styleId="BaseNTok">
    <w:name w:val="BaseNTok"/>
    <w:basedOn w:val="VerbatimChar"/>
    <w:rPr>
      <w:rFonts w:ascii="PingFang SC" w:hAnsi="PingFang SC" w:eastAsia="PingFang SC" w:cs="PingFang SC"/>
      <w:color w:val="40a070"/>
    </w:rPr>
  </w:style>
  <w:style w:type="character" w:customStyle="1" w:styleId="FloatTok">
    <w:name w:val="FloatTok"/>
    <w:basedOn w:val="VerbatimChar"/>
    <w:rPr>
      <w:rFonts w:ascii="PingFang SC" w:hAnsi="PingFang SC" w:eastAsia="PingFang SC" w:cs="PingFang SC"/>
      <w:color w:val="40a070"/>
    </w:rPr>
  </w:style>
  <w:style w:type="character" w:customStyle="1" w:styleId="ConstantTok">
    <w:name w:val="ConstantTok"/>
    <w:basedOn w:val="VerbatimChar"/>
    <w:rPr>
      <w:rFonts w:ascii="PingFang SC" w:hAnsi="PingFang SC" w:eastAsia="PingFang SC" w:cs="PingFang SC"/>
      <w:color w:val="880000"/>
    </w:rPr>
  </w:style>
  <w:style w:type="character" w:customStyle="1" w:styleId="CharTok">
    <w:name w:val="CharTok"/>
    <w:basedOn w:val="VerbatimChar"/>
    <w:rPr>
      <w:rFonts w:ascii="PingFang SC" w:hAnsi="PingFang SC" w:eastAsia="PingFang SC" w:cs="PingFang SC"/>
      <w:color w:val="4070a0"/>
    </w:rPr>
  </w:style>
  <w:style w:type="character" w:customStyle="1" w:styleId="SpecialCharTok">
    <w:name w:val="SpecialCharTok"/>
    <w:basedOn w:val="VerbatimChar"/>
    <w:rPr>
      <w:rFonts w:ascii="PingFang SC" w:hAnsi="PingFang SC" w:eastAsia="PingFang SC" w:cs="PingFang SC"/>
      <w:color w:val="4070a0"/>
    </w:rPr>
  </w:style>
  <w:style w:type="character" w:customStyle="1" w:styleId="StringTok">
    <w:name w:val="StringTok"/>
    <w:basedOn w:val="VerbatimChar"/>
    <w:rPr>
      <w:rFonts w:ascii="PingFang SC" w:hAnsi="PingFang SC" w:eastAsia="PingFang SC" w:cs="PingFang SC"/>
      <w:color w:val="4070a0"/>
    </w:rPr>
  </w:style>
  <w:style w:type="character" w:customStyle="1" w:styleId="VerbatimStringTok">
    <w:name w:val="VerbatimStringTok"/>
    <w:basedOn w:val="VerbatimChar"/>
    <w:rPr>
      <w:rFonts w:ascii="PingFang SC" w:hAnsi="PingFang SC" w:eastAsia="PingFang SC" w:cs="PingFang SC"/>
      <w:color w:val="4070a0"/>
    </w:rPr>
  </w:style>
  <w:style w:type="character" w:customStyle="1" w:styleId="SpecialStringTok">
    <w:name w:val="SpecialStringTok"/>
    <w:basedOn w:val="VerbatimChar"/>
    <w:rPr>
      <w:rFonts w:ascii="PingFang SC" w:hAnsi="PingFang SC" w:eastAsia="PingFang SC" w:cs="PingFang SC"/>
      <w:color w:val="bb6688"/>
    </w:rPr>
  </w:style>
  <w:style w:type="character" w:customStyle="1" w:styleId="ImportTok">
    <w:name w:val="ImportTok"/>
    <w:basedOn w:val="VerbatimChar"/>
    <w:rPr>
      <w:color w:val="008000"/>
      <w:rFonts w:ascii="PingFang SC" w:hAnsi="PingFang SC" w:eastAsia="PingFang SC" w:cs="PingFang SC"/>
      <w:b/>
    </w:rPr>
  </w:style>
  <w:style w:type="character" w:customStyle="1" w:styleId="CommentTok">
    <w:name w:val="CommentTok"/>
    <w:basedOn w:val="VerbatimChar"/>
    <w:rPr>
      <w:color w:val="60a0b0"/>
      <w:rFonts w:ascii="PingFang SC" w:hAnsi="PingFang SC" w:eastAsia="PingFang SC" w:cs="PingFang SC"/>
      <w:i/>
    </w:rPr>
  </w:style>
  <w:style w:type="character" w:customStyle="1" w:styleId="DocumentationTok">
    <w:name w:val="DocumentationTok"/>
    <w:basedOn w:val="VerbatimChar"/>
    <w:rPr>
      <w:color w:val="ba2121"/>
      <w:rFonts w:ascii="PingFang SC" w:hAnsi="PingFang SC" w:eastAsia="PingFang SC" w:cs="PingFang SC"/>
      <w:i/>
    </w:rPr>
  </w:style>
  <w:style w:type="character" w:customStyle="1" w:styleId="AnnotationTok">
    <w:name w:val="AnnotationTok"/>
    <w:basedOn w:val="VerbatimChar"/>
    <w:rPr>
      <w:color w:val="60a0b0"/>
      <w:rFonts w:ascii="PingFang SC" w:hAnsi="PingFang SC" w:eastAsia="PingFang SC" w:cs="PingFang SC"/>
      <w:b/>
      <w:i/>
    </w:rPr>
  </w:style>
  <w:style w:type="character" w:customStyle="1" w:styleId="CommentVarTok">
    <w:name w:val="CommentVarTok"/>
    <w:basedOn w:val="VerbatimChar"/>
    <w:rPr>
      <w:color w:val="60a0b0"/>
      <w:rFonts w:ascii="PingFang SC" w:hAnsi="PingFang SC" w:eastAsia="PingFang SC" w:cs="PingFang SC"/>
      <w:b/>
      <w:i/>
    </w:rPr>
  </w:style>
  <w:style w:type="character" w:customStyle="1" w:styleId="OtherTok">
    <w:name w:val="OtherTok"/>
    <w:basedOn w:val="VerbatimChar"/>
    <w:rPr>
      <w:rFonts w:ascii="PingFang SC" w:hAnsi="PingFang SC" w:eastAsia="PingFang SC" w:cs="PingFang SC"/>
      <w:color w:val="007020"/>
    </w:rPr>
  </w:style>
  <w:style w:type="character" w:customStyle="1" w:styleId="FunctionTok">
    <w:name w:val="FunctionTok"/>
    <w:basedOn w:val="VerbatimChar"/>
    <w:rPr>
      <w:rFonts w:ascii="PingFang SC" w:hAnsi="PingFang SC" w:eastAsia="PingFang SC" w:cs="PingFang SC"/>
      <w:color w:val="06287e"/>
    </w:rPr>
  </w:style>
  <w:style w:type="character" w:customStyle="1" w:styleId="VariableTok">
    <w:name w:val="VariableTok"/>
    <w:basedOn w:val="VerbatimChar"/>
    <w:rPr>
      <w:rFonts w:ascii="PingFang SC" w:hAnsi="PingFang SC" w:eastAsia="PingFang SC" w:cs="PingFang SC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PingFang SC" w:hAnsi="PingFang SC" w:eastAsia="PingFang SC" w:cs="PingFang SC"/>
      <w:b/>
    </w:rPr>
  </w:style>
  <w:style w:type="character" w:customStyle="1" w:styleId="OperatorTok">
    <w:name w:val="OperatorTok"/>
    <w:basedOn w:val="VerbatimChar"/>
    <w:rPr>
      <w:rFonts w:ascii="PingFang SC" w:hAnsi="PingFang SC" w:eastAsia="PingFang SC" w:cs="PingFang SC"/>
      <w:color w:val="666666"/>
    </w:rPr>
  </w:style>
  <w:style w:type="character" w:customStyle="1" w:styleId="BuiltInTok">
    <w:name w:val="BuiltInTok"/>
    <w:basedOn w:val="VerbatimChar"/>
    <w:rPr>
      <w:rFonts w:ascii="PingFang SC" w:hAnsi="PingFang SC" w:eastAsia="PingFang SC" w:cs="PingFang SC"/>
      <w:color w:val="008000"/>
    </w:rPr>
  </w:style>
  <w:style w:type="character" w:customStyle="1" w:styleId="ExtensionTok">
    <w:name w:val="ExtensionTok"/>
    <w:basedOn w:val="VerbatimChar"/>
    <w:rPr>
      <w:rFonts w:ascii="PingFang SC" w:hAnsi="PingFang SC" w:eastAsia="PingFang SC" w:cs="PingFang SC"/>
    </w:rPr>
  </w:style>
  <w:style w:type="character" w:customStyle="1" w:styleId="PreprocessorTok">
    <w:name w:val="PreprocessorTok"/>
    <w:basedOn w:val="VerbatimChar"/>
    <w:rPr>
      <w:rFonts w:ascii="PingFang SC" w:hAnsi="PingFang SC" w:eastAsia="PingFang SC" w:cs="PingFang SC"/>
      <w:color w:val="bc7a00"/>
    </w:rPr>
  </w:style>
  <w:style w:type="character" w:customStyle="1" w:styleId="AttributeTok">
    <w:name w:val="AttributeTok"/>
    <w:basedOn w:val="VerbatimChar"/>
    <w:rPr>
      <w:rFonts w:ascii="PingFang SC" w:hAnsi="PingFang SC" w:eastAsia="PingFang SC" w:cs="PingFang SC"/>
      <w:color w:val="7d9029"/>
    </w:rPr>
  </w:style>
  <w:style w:type="character" w:customStyle="1" w:styleId="RegionMarkerTok">
    <w:name w:val="RegionMarkerTok"/>
    <w:basedOn w:val="VerbatimChar"/>
    <w:rPr>
      <w:rFonts w:ascii="PingFang SC" w:hAnsi="PingFang SC" w:eastAsia="PingFang SC" w:cs="PingFang SC"/>
    </w:rPr>
  </w:style>
  <w:style w:type="character" w:customStyle="1" w:styleId="InformationTok">
    <w:name w:val="InformationTok"/>
    <w:basedOn w:val="VerbatimChar"/>
    <w:rPr>
      <w:color w:val="60a0b0"/>
      <w:rFonts w:ascii="PingFang SC" w:hAnsi="PingFang SC" w:eastAsia="PingFang SC" w:cs="PingFang SC"/>
      <w:b/>
      <w:i/>
    </w:rPr>
  </w:style>
  <w:style w:type="character" w:customStyle="1" w:styleId="WarningTok">
    <w:name w:val="WarningTok"/>
    <w:basedOn w:val="VerbatimChar"/>
    <w:rPr>
      <w:color w:val="60a0b0"/>
      <w:rFonts w:ascii="PingFang SC" w:hAnsi="PingFang SC" w:eastAsia="PingFang SC" w:cs="PingFang SC"/>
      <w:b/>
      <w:i/>
    </w:rPr>
  </w:style>
  <w:style w:type="character" w:customStyle="1" w:styleId="AlertTok">
    <w:name w:val="AlertTok"/>
    <w:basedOn w:val="VerbatimChar"/>
    <w:rPr>
      <w:color w:val="ff0000"/>
      <w:rFonts w:ascii="PingFang SC" w:hAnsi="PingFang SC" w:eastAsia="PingFang SC" w:cs="PingFang SC"/>
      <w:b/>
    </w:rPr>
  </w:style>
  <w:style w:type="character" w:customStyle="1" w:styleId="ErrorTok">
    <w:name w:val="ErrorTok"/>
    <w:basedOn w:val="VerbatimChar"/>
    <w:rPr>
      <w:color w:val="ff0000"/>
      <w:rFonts w:ascii="PingFang SC" w:hAnsi="PingFang SC" w:eastAsia="PingFang SC" w:cs="PingFang SC"/>
      <w:b/>
    </w:rPr>
  </w:style>
  <w:style w:type="character" w:customStyle="1" w:styleId="NormalTok">
    <w:name w:val="NormalTok"/>
    <w:basedOn w:val="VerbatimChar"/>
    <w:rPr>
      <w:rFonts w:ascii="PingFang SC" w:hAnsi="PingFang SC" w:eastAsia="PingFang SC" w:cs="PingFang S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网文续写流程规划</dc:title>
  <dc:creator/>
  <cp:keywords/>
  <dcterms:created xsi:type="dcterms:W3CDTF">2026-10-28T02:35:43Z</dcterms:created>
  <dcterms:modified xsi:type="dcterms:W3CDTF">2026-10-28T02:35:43Z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