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网文续写测评指标规划</w:t>
      </w:r>
    </w:p>
    <w:p>
      <w:pPr>
        <w:pStyle w:val="FirstParagraph"/>
      </w:pPr>
      <w:r>
        <w:rPr>
          <w:bCs/>
          <w:b/>
        </w:rPr>
        <w:t xml:space="preserve">一句话结论：编辑定义目标，机评放大目标。</w:t>
      </w:r>
      <w:r>
        <w:t xml:space="preserve"> </w:t>
      </w:r>
      <w:r>
        <w:t xml:space="preserve">这一阶段的目标是把续写稿调到”拿得出手”，再上线拿读者数据。编辑负责判断稿子好不好、坏在哪里；机评学习编辑的判断，用来筛稿和快速迭代；机评只有在与编辑校准一致后才能用来下结论。</w:t>
      </w:r>
    </w:p>
    <w:bookmarkStart w:id="23" w:name="一背景与目标"/>
    <w:p>
      <w:pPr>
        <w:pStyle w:val="Heading1"/>
      </w:pPr>
      <w:r>
        <w:t xml:space="preserve">一、背景与目标</w:t>
      </w:r>
    </w:p>
    <w:bookmarkStart w:id="20" w:name="要证明的命题"/>
    <w:p>
      <w:pPr>
        <w:pStyle w:val="Heading2"/>
      </w:pPr>
      <w:r>
        <w:t xml:space="preserve">1.1 要证明的命题</w:t>
      </w:r>
    </w:p>
    <w:p>
      <w:pPr>
        <w:pStyle w:val="FirstParagraph"/>
      </w:pPr>
      <w:r>
        <w:t xml:space="preserve">给定一篇约 1 万字、已写完结局的短篇，系统保留前约 60%～80%，从切点续写约 2 万字。要证明的只有一件事：</w:t>
      </w:r>
    </w:p>
    <w:p>
      <w:pPr>
        <w:pStyle w:val="BlockText"/>
      </w:pPr>
      <w:r>
        <w:t xml:space="preserve">编辑把 AI 续写稿改到能发的成本，低于编辑自己写或外包写的成本。</w:t>
      </w:r>
    </w:p>
    <w:p>
      <w:pPr>
        <w:pStyle w:val="FirstParagraph"/>
      </w:pPr>
      <w:r>
        <w:t xml:space="preserve">“</w:t>
      </w:r>
      <w:r>
        <w:t xml:space="preserve">流程跑通了</w:t>
      </w:r>
      <w:r>
        <w:t xml:space="preserve">”</w:t>
      </w:r>
      <w:r>
        <w:t xml:space="preserve">“</w:t>
      </w:r>
      <w:r>
        <w:t xml:space="preserve">token 下降了</w:t>
      </w:r>
      <w:r>
        <w:t xml:space="preserve">”</w:t>
      </w:r>
      <w:r>
        <w:t xml:space="preserve">都不回答这个问题，不作为质量结论。</w:t>
      </w:r>
    </w:p>
    <w:bookmarkEnd w:id="20"/>
    <w:bookmarkStart w:id="21" w:name="现状"/>
    <w:p>
      <w:pPr>
        <w:pStyle w:val="Heading2"/>
      </w:pPr>
      <w:r>
        <w:t xml:space="preserve">1.2 现状</w:t>
      </w:r>
    </w:p>
    <w:tbl>
      <w:tblPr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项目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质量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第一轮编辑盲评（4 本书 × 2 个版本 × 2 位编辑）结论：两个版本都不能用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切点落在主要矛盾解决之后；类型跑偏（爽文写成成长文）；形式偏离原作（单章长 2～4 倍、章尾落在内心独白）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评测方式的问题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1～5 分六维打分，编辑之间的分歧大于版本之间的差距；六个维度分数几乎一致，实际只是一个整体判断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有价值的部分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编辑的文字评语，三个根因都是从评语里找到的</w:t>
            </w:r>
          </w:p>
        </w:tc>
      </w:tr>
    </w:tbl>
    <w:bookmarkEnd w:id="21"/>
    <w:bookmarkStart w:id="22" w:name="本文要回答的问题"/>
    <w:p>
      <w:pPr>
        <w:pStyle w:val="Heading2"/>
      </w:pPr>
      <w:r>
        <w:t xml:space="preserve">1.3 本文要回答的问题</w:t>
      </w:r>
    </w:p>
    <w:p>
      <w:pPr>
        <w:numPr>
          <w:ilvl w:val="0"/>
          <w:numId w:val="1001"/>
        </w:numPr>
        <w:pStyle w:val="Compact"/>
      </w:pPr>
      <w:r>
        <w:t xml:space="preserve">编辑评测和机评是什么关系。</w:t>
      </w:r>
    </w:p>
    <w:p>
      <w:pPr>
        <w:numPr>
          <w:ilvl w:val="0"/>
          <w:numId w:val="1001"/>
        </w:numPr>
        <w:pStyle w:val="Compact"/>
      </w:pPr>
      <w:r>
        <w:t xml:space="preserve">编辑看什么、怎么看。</w:t>
      </w:r>
    </w:p>
    <w:p>
      <w:pPr>
        <w:numPr>
          <w:ilvl w:val="0"/>
          <w:numId w:val="1001"/>
        </w:numPr>
        <w:pStyle w:val="Compact"/>
      </w:pPr>
      <w:r>
        <w:t xml:space="preserve">机评看什么、怎么校准。</w:t>
      </w:r>
    </w:p>
    <w:p>
      <w:pPr>
        <w:numPr>
          <w:ilvl w:val="0"/>
          <w:numId w:val="1001"/>
        </w:numPr>
        <w:pStyle w:val="Compact"/>
      </w:pPr>
      <w:r>
        <w:t xml:space="preserve">这一阶段做到什么程度算完成。</w:t>
      </w:r>
    </w:p>
    <w:p>
      <w:pPr>
        <w:numPr>
          <w:ilvl w:val="0"/>
          <w:numId w:val="1001"/>
        </w:numPr>
        <w:pStyle w:val="Compact"/>
      </w:pPr>
      <w:r>
        <w:t xml:space="preserve">评测节奏和人力怎么安排。</w:t>
      </w:r>
    </w:p>
    <w:bookmarkEnd w:id="22"/>
    <w:bookmarkEnd w:id="23"/>
    <w:bookmarkStart w:id="28" w:name="二评测架构"/>
    <w:p>
      <w:pPr>
        <w:pStyle w:val="Heading1"/>
      </w:pPr>
      <w:r>
        <w:t xml:space="preserve">二、评测架构</w:t>
      </w:r>
    </w:p>
    <w:bookmarkStart w:id="24" w:name="核心思路编辑定义目标机评放大目标"/>
    <w:p>
      <w:pPr>
        <w:pStyle w:val="Heading2"/>
      </w:pPr>
      <w:r>
        <w:t xml:space="preserve">2.1 核心思路：编辑定义目标，机评放大目标</w:t>
      </w:r>
    </w:p>
    <w:tbl>
      <w:tblPr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角色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负责什么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读者（上线后）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最终标准：完读、付费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最真实，但要上线才有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编辑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定义什么是好：什么叫爽、什么叫跑偏、什么样的稿子拿得出手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准，但贵、慢、人和人有差异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机评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学习编辑的判断，复制到所有稿子上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不懂品味，但便宜、快、稳定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生产流程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把可靠的机评指标变成写作约束或同步校验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在生成时就把问题挡住</w:t>
            </w:r>
          </w:p>
        </w:tc>
      </w:tr>
    </w:tbl>
    <w:p>
      <w:pPr>
        <w:pStyle w:val="BodyText"/>
      </w:pPr>
      <w:r>
        <w:t xml:space="preserve">整条链是：读者 → 编辑 → 机评 → 生产流程。上一级校准下一级。当前没有读者数据，编辑是最高标准；上线后，编辑判断也接受读者数据校准。</w:t>
      </w:r>
    </w:p>
    <w:p>
      <w:pPr>
        <w:pStyle w:val="BodyText"/>
      </w:pPr>
      <w:r>
        <w:t xml:space="preserve">从算法角度看，这是 RLHF 的结构：编辑判断是人类偏好，机评是奖励模型，提示词和工作流是被优化的策略。</w:t>
      </w:r>
    </w:p>
    <w:bookmarkEnd w:id="24"/>
    <w:bookmarkStart w:id="25" w:name="两者如何连接校准循环"/>
    <w:p>
      <w:pPr>
        <w:pStyle w:val="Heading2"/>
      </w:pPr>
      <w:r>
        <w:t xml:space="preserve">2.2 两者如何连接：校准循环</w:t>
      </w:r>
    </w:p>
    <w:p>
      <w:pPr>
        <w:numPr>
          <w:ilvl w:val="0"/>
          <w:numId w:val="1002"/>
        </w:numPr>
        <w:pStyle w:val="Compact"/>
      </w:pPr>
      <w:r>
        <w:t xml:space="preserve">编辑评一批稿子，给出判断和原因。</w:t>
      </w:r>
    </w:p>
    <w:p>
      <w:pPr>
        <w:numPr>
          <w:ilvl w:val="0"/>
          <w:numId w:val="1002"/>
        </w:numPr>
        <w:pStyle w:val="Compact"/>
      </w:pPr>
      <w:r>
        <w:t xml:space="preserve">机评对同一批稿子给出判断，计算与编辑的一致率。</w:t>
      </w:r>
    </w:p>
    <w:p>
      <w:pPr>
        <w:numPr>
          <w:ilvl w:val="0"/>
          <w:numId w:val="1002"/>
        </w:numPr>
        <w:pStyle w:val="Compact"/>
      </w:pPr>
      <w:r>
        <w:t xml:space="preserve">一致率达标后，日常大量稿子交给机评，编辑只抽查。</w:t>
      </w:r>
    </w:p>
    <w:p>
      <w:pPr>
        <w:numPr>
          <w:ilvl w:val="0"/>
          <w:numId w:val="1002"/>
        </w:numPr>
        <w:pStyle w:val="Compact"/>
      </w:pPr>
      <w:r>
        <w:t xml:space="preserve">编辑发现机评判不出的新问题，补进机评。</w:t>
      </w:r>
    </w:p>
    <w:bookmarkEnd w:id="25"/>
    <w:bookmarkStart w:id="26" w:name="按维度性质分工"/>
    <w:p>
      <w:pPr>
        <w:pStyle w:val="Heading2"/>
      </w:pPr>
      <w:r>
        <w:t xml:space="preserve">2.3 按维度性质分工</w:t>
      </w:r>
    </w:p>
    <w:tbl>
      <w:tblPr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维度性质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例子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编辑与机评的关系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可客观计算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章长比、对话占比、章尾类型、事实矛盾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机评完全承担，不占编辑时间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有明确锚点的判断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类型是否跑偏、被删高光是否兑现、反派下场是否降级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先重叠后交接：校准期两边评同一批，可靠后交给机评，编辑定期抽查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品味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爽不爽、想不想往下读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编辑始终是标准；机评只做初筛和排序</w:t>
            </w:r>
          </w:p>
        </w:tc>
      </w:tr>
    </w:tbl>
    <w:bookmarkEnd w:id="26"/>
    <w:bookmarkStart w:id="27" w:name="两条纪律"/>
    <w:p>
      <w:pPr>
        <w:pStyle w:val="Heading2"/>
      </w:pPr>
      <w:r>
        <w:t xml:space="preserve">2.4 两条纪律</w:t>
      </w:r>
    </w:p>
    <w:p>
      <w:pPr>
        <w:pStyle w:val="FirstParagraph"/>
      </w:pPr>
      <w:r>
        <w:rPr>
          <w:bCs/>
          <w:b/>
        </w:rPr>
        <w:t xml:space="preserve">纪律一：编辑评测是测试集，不是开发集。</w:t>
      </w:r>
      <w:r>
        <w:t xml:space="preserve"> </w:t>
      </w:r>
      <w:r>
        <w:t xml:space="preserve">日常可以对着机评反复调提示词，但迭代算不算进步，以没参与调参的编辑评测为准，否则系统学会的只是讨好机评。凡是同时写进提示词作为约束的指标，它的机评分数只说明模型有没有执行，不说明质量。</w:t>
      </w:r>
    </w:p>
    <w:p>
      <w:pPr>
        <w:pStyle w:val="BodyText"/>
      </w:pPr>
      <w:r>
        <w:rPr>
          <w:bCs/>
          <w:b/>
        </w:rPr>
        <w:t xml:space="preserve">纪律二：指标有生命周期。</w:t>
      </w:r>
    </w:p>
    <w:p>
      <w:pPr>
        <w:pStyle w:val="BodyText"/>
      </w:pPr>
      <w:r>
        <w:t xml:space="preserve">编辑发现问题 → 机评量化 → 与编辑校准 → 进入生产流程（提示词约束或同步校验）→ 编辑只做抽查</w:t>
      </w:r>
    </w:p>
    <w:p>
      <w:pPr>
        <w:pStyle w:val="BodyText"/>
      </w:pPr>
      <w:r>
        <w:t xml:space="preserve">控制和评测是同一条流水线的不同阶段。章长是走完这一整圈的例子：编辑点名，代码量化，进入生产。每个指标都应标明当前处在哪个阶段。</w:t>
      </w:r>
    </w:p>
    <w:bookmarkEnd w:id="27"/>
    <w:bookmarkEnd w:id="28"/>
    <w:bookmarkStart w:id="32" w:name="三北极星指标与阶段退出标准"/>
    <w:p>
      <w:pPr>
        <w:pStyle w:val="Heading1"/>
      </w:pPr>
      <w:r>
        <w:t xml:space="preserve">三、北极星指标与阶段退出标准</w:t>
      </w:r>
    </w:p>
    <w:bookmarkStart w:id="29" w:name="北极星指标"/>
    <w:p>
      <w:pPr>
        <w:pStyle w:val="Heading2"/>
      </w:pPr>
      <w:r>
        <w:t xml:space="preserve">3.1 北极星指标</w:t>
      </w:r>
    </w:p>
    <w:tbl>
      <w:tblPr>
        <w:tblW w:type="auto" w:w="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阶段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北极星指标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当前（上线前）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编辑改到能发的成本，用”可发档位”衡量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上线后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读者完读率、付费转化，与原作对比</w:t>
            </w:r>
          </w:p>
        </w:tc>
      </w:tr>
    </w:tbl>
    <w:bookmarkEnd w:id="29"/>
    <w:bookmarkStart w:id="30" w:name="可发档位"/>
    <w:p>
      <w:pPr>
        <w:pStyle w:val="Heading2"/>
      </w:pPr>
      <w:r>
        <w:t xml:space="preserve">3.2 可发档位</w:t>
      </w:r>
    </w:p>
    <w:p>
      <w:pPr>
        <w:pStyle w:val="FirstParagraph"/>
      </w:pPr>
      <w:r>
        <w:t xml:space="preserve">用改稿时间定义，替代 1～5 分的抽象打分：</w:t>
      </w:r>
    </w:p>
    <w:tbl>
      <w:tblPr>
        <w:tblW w:type="auto" w:w="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档位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直接能发，或只改错字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小改，1 小时内能发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大改，1～4 小时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不如重写</w:t>
            </w:r>
          </w:p>
        </w:tc>
      </w:tr>
    </w:tbl>
    <w:p>
      <w:pPr>
        <w:pStyle w:val="BodyText"/>
      </w:pPr>
      <w:r>
        <w:t xml:space="preserve">时间是具体的，编辑之间更容易一致，而且直接对应核心命题。</w:t>
      </w:r>
    </w:p>
    <w:bookmarkEnd w:id="30"/>
    <w:bookmarkStart w:id="31" w:name="阶段退出标准草案待定"/>
    <w:p>
      <w:pPr>
        <w:pStyle w:val="Heading2"/>
      </w:pPr>
      <w:r>
        <w:t xml:space="preserve">3.3 阶段退出标准（草案，待定）</w:t>
      </w:r>
    </w:p>
    <w:p>
      <w:pPr>
        <w:pStyle w:val="FirstParagraph"/>
      </w:pPr>
      <w:r>
        <w:t xml:space="preserve">评测集 8 本书中，至少一半达到 B 档或以上，且没有 D 档。达到后进入线上小流量测试。</w:t>
      </w:r>
    </w:p>
    <w:p>
      <w:pPr>
        <w:pStyle w:val="BodyText"/>
      </w:pPr>
      <w:r>
        <w:t xml:space="preserve">这个标准的松紧决定整套指标的阈值，需要产品和编辑负责人共同确认。</w:t>
      </w:r>
    </w:p>
    <w:bookmarkEnd w:id="31"/>
    <w:bookmarkEnd w:id="32"/>
    <w:bookmarkStart w:id="37" w:name="四编辑评测"/>
    <w:p>
      <w:pPr>
        <w:pStyle w:val="Heading1"/>
      </w:pPr>
      <w:r>
        <w:t xml:space="preserve">四、编辑评测</w:t>
      </w:r>
    </w:p>
    <w:bookmarkStart w:id="33" w:name="编辑交出三样东西"/>
    <w:p>
      <w:pPr>
        <w:pStyle w:val="Heading2"/>
      </w:pPr>
      <w:r>
        <w:t xml:space="preserve">4.1 编辑交出三样东西</w:t>
      </w:r>
    </w:p>
    <w:tbl>
      <w:tblPr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产出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作用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第一轮是否有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判断：哪篇更好、能不能发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有，但六维打分噪声大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原因：为什么输、为什么不能发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机评学习的材料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有，在文字评语里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新问题：现有指标都没覆盖的问题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指标生命周期的起点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有，在文字评语里</w:t>
            </w:r>
          </w:p>
        </w:tc>
      </w:tr>
    </w:tbl>
    <w:p>
      <w:pPr>
        <w:pStyle w:val="BodyText"/>
      </w:pPr>
      <w:r>
        <w:rPr>
          <w:bCs/>
          <w:b/>
        </w:rPr>
        <w:t xml:space="preserve">当前阶段原因比判断更重要。</w:t>
      </w:r>
      <w:r>
        <w:t xml:space="preserve"> </w:t>
      </w:r>
      <w:r>
        <w:t xml:space="preserve">已经知道稿子不好，现在缺的是具体坏在哪里。</w:t>
      </w:r>
    </w:p>
    <w:bookmarkEnd w:id="33"/>
    <w:bookmarkStart w:id="34" w:name="评测形式"/>
    <w:p>
      <w:pPr>
        <w:pStyle w:val="Heading2"/>
      </w:pPr>
      <w:r>
        <w:t xml:space="preserve">4.2 评测形式</w:t>
      </w:r>
    </w:p>
    <w:p>
      <w:pPr>
        <w:pStyle w:val="FirstParagraph"/>
      </w:pPr>
      <w:r>
        <w:t xml:space="preserve">沿用第一轮的文字评语形式，粒度合适，不重新设计。调整两处：</w:t>
      </w:r>
    </w:p>
    <w:p>
      <w:pPr>
        <w:numPr>
          <w:ilvl w:val="0"/>
          <w:numId w:val="1003"/>
        </w:numPr>
        <w:pStyle w:val="Compact"/>
      </w:pPr>
      <w:r>
        <w:t xml:space="preserve">增加可发档位（A～D），用于判断是否达到退出标准。</w:t>
      </w:r>
    </w:p>
    <w:p>
      <w:pPr>
        <w:numPr>
          <w:ilvl w:val="0"/>
          <w:numId w:val="1003"/>
        </w:numPr>
        <w:pStyle w:val="Compact"/>
      </w:pPr>
      <w:r>
        <w:t xml:space="preserve">迭代比较时用成对比较：同一本书的两个版本放在一起，选一篇，再从固定原因标签里勾一个主要输的原因，可以补充评语。不再做六维 1～5 分。</w:t>
      </w:r>
    </w:p>
    <w:p>
      <w:pPr>
        <w:pStyle w:val="FirstParagraph"/>
      </w:pPr>
      <w:r>
        <w:t xml:space="preserve">原因标签（初版，待编辑确认）：类型跑偏、切点不对、第二冲突生硬、不够爽、节奏拖、高光降级、人设崩、文风不像原作或 AI 味重、逻辑错误。</w:t>
      </w:r>
    </w:p>
    <w:p>
      <w:pPr>
        <w:pStyle w:val="BodyText"/>
      </w:pPr>
      <w:r>
        <w:t xml:space="preserve">原因标签是编辑和机评之间的桥梁：</w:t>
      </w:r>
    </w:p>
    <w:p>
      <w:pPr>
        <w:numPr>
          <w:ilvl w:val="0"/>
          <w:numId w:val="1004"/>
        </w:numPr>
        <w:pStyle w:val="Compact"/>
      </w:pPr>
      <w:r>
        <w:t xml:space="preserve">统计出现最多的标签，就是下一轮要改的地方。</w:t>
      </w:r>
    </w:p>
    <w:p>
      <w:pPr>
        <w:numPr>
          <w:ilvl w:val="0"/>
          <w:numId w:val="1004"/>
        </w:numPr>
        <w:pStyle w:val="Compact"/>
      </w:pPr>
      <w:r>
        <w:t xml:space="preserve">每个标签必须对应至少一个机评指标。编辑勾了某个标签而机评没报警，说明机评有漏洞，需要修。</w:t>
      </w:r>
    </w:p>
    <w:bookmarkEnd w:id="34"/>
    <w:bookmarkStart w:id="35" w:name="按材料粒度分层迭代主要在便宜的层上跑"/>
    <w:p>
      <w:pPr>
        <w:pStyle w:val="Heading2"/>
      </w:pPr>
      <w:r>
        <w:t xml:space="preserve">4.3 按材料粒度分层，迭代主要在便宜的层上跑</w:t>
      </w:r>
    </w:p>
    <w:p>
      <w:pPr>
        <w:pStyle w:val="FirstParagraph"/>
      </w:pPr>
      <w:r>
        <w:t xml:space="preserve">速度的瓶颈不是编辑小时数，而是每次判断要读多少字。</w:t>
      </w:r>
    </w:p>
    <w:tbl>
      <w:tblPr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评什么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编辑读多少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单次耗时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一天约能做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验证什么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方向/路线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1500 字梗概和高光账本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分钟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50～80 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切点、类型、第二冲突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大纲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3000 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分钟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节奏结构、高潮位置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关键片段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续写前 3 章或终局 3 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10～15 分钟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开头是否抓人、新高是否成立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万字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分钟以上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阶段性确认、可发档位</w:t>
            </w:r>
          </w:p>
        </w:tc>
      </w:tr>
    </w:tbl>
    <w:p>
      <w:pPr>
        <w:pStyle w:val="BodyText"/>
      </w:pPr>
      <w:r>
        <w:t xml:space="preserve">前提需要验证：方向、大纲、片段上的判断能否预测全文判断。在第一次全文评测时顺带检验；如果预测不了，就只能更多依赖全文评测。</w:t>
      </w:r>
    </w:p>
    <w:bookmarkEnd w:id="35"/>
    <w:bookmarkStart w:id="36" w:name="人力与防疲劳"/>
    <w:p>
      <w:pPr>
        <w:pStyle w:val="Heading2"/>
      </w:pPr>
      <w:r>
        <w:t xml:space="preserve">4.4 人力与防疲劳</w:t>
      </w:r>
    </w:p>
    <w:p>
      <w:pPr>
        <w:pStyle w:val="FirstParagraph"/>
      </w:pPr>
      <w:r>
        <w:t xml:space="preserve">人力预算：1～2 位编辑，每周共 1～2 人天。</w:t>
      </w:r>
    </w:p>
    <w:tbl>
      <w:tblPr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措施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大部分样本两位编辑分开评，约 20% 两人都评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吞吐量翻倍，同时持续监测两人一致性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定期重复几组固定的锚点对比（含明显好、明显跑偏的样本）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检测编辑标准是否漂移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混入人写的稿子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检验盲评是否有效，避免编辑只是在识别 AI 痕迹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单次评测不超过 2 小时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防止疲劳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全程盲评，打乱顺序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消除对 AI 稿和位置的偏差</w:t>
            </w:r>
          </w:p>
        </w:tc>
      </w:tr>
    </w:tbl>
    <w:bookmarkEnd w:id="36"/>
    <w:bookmarkEnd w:id="37"/>
    <w:bookmarkStart w:id="42" w:name="五机评指标"/>
    <w:p>
      <w:pPr>
        <w:pStyle w:val="Heading1"/>
      </w:pPr>
      <w:r>
        <w:t xml:space="preserve">五、机评指标</w:t>
      </w:r>
    </w:p>
    <w:p>
      <w:pPr>
        <w:pStyle w:val="FirstParagraph"/>
      </w:pPr>
      <w:r>
        <w:t xml:space="preserve">机评指标从两个来源推导：编辑点名的失败原因，以及产品原则。不照搬外部 benchmark。</w:t>
      </w:r>
    </w:p>
    <w:bookmarkStart w:id="38" w:name="送审门槛不达标不送编辑"/>
    <w:p>
      <w:pPr>
        <w:pStyle w:val="Heading2"/>
      </w:pPr>
      <w:r>
        <w:t xml:space="preserve">5.1 送审门槛：不达标不送编辑</w:t>
      </w:r>
    </w:p>
    <w:tbl>
      <w:tblPr>
        <w:tblW w:type="auto" w:w="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层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指标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定义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初始阈值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切点合规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切点在”门关上”之前，保留原文 ≥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必须满足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高光账本覆盖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被删的原作高光在方案里都有去处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势能强度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第二冲突所用势能强度 ≥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必须满足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形式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章长比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续写章长中位数 ÷ 原文章长中位数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0.8～1.3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形式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对话占比差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续写与原文对话占比之差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 个百分点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形式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段落长度比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续写段落平均字数 ÷ 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0.8～1.3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形式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章尾事件率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章尾落在事件或对话上的章节占比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形式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套话密度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每千字套话数（中文套话表）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不超过原文的 2 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形式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复述率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续写与前文的重复比例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待定</w:t>
            </w:r>
          </w:p>
        </w:tc>
      </w:tr>
    </w:tbl>
    <w:p>
      <w:pPr>
        <w:pStyle w:val="BodyText"/>
      </w:pPr>
      <w:r>
        <w:t xml:space="preserve">阈值均为初值，用第一轮已评稿子回测校准：被编辑批评的稿子应落在阈值外，未被批评的应落在阈值内。</w:t>
      </w:r>
    </w:p>
    <w:bookmarkEnd w:id="38"/>
    <w:bookmarkStart w:id="39" w:name="诊断指标不拦稿解释编辑的结果"/>
    <w:p>
      <w:pPr>
        <w:pStyle w:val="Heading2"/>
      </w:pPr>
      <w:r>
        <w:t xml:space="preserve">5.2 诊断指标：不拦稿，解释编辑的结果</w:t>
      </w:r>
    </w:p>
    <w:tbl>
      <w:tblPr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指标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对应原因标签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怎么测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类型跑偏违规数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类型跑偏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评审模型逐条核对类型契约中的禁止走向，目标为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反派下场达标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不够爽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是非题：是否达到读者期待的程度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高光兑现率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高光降级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高光账本中每条在正文里是否兑现，强度不低于原作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新高胜率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不够爽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续写终局高光与原作最强高光成对比较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节奏指标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节奏拖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爽点或反转的间隔，规则待定（先请编辑在原作上标注爽点位置，归纳后定）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每万字矛盾数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逻辑错误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独立的全文一致性检查，只统计续写部分；</w:t>
            </w:r>
            <w:r>
              <w:t xml:space="preserve">“</w:t>
            </w:r>
            <w:r>
              <w:t xml:space="preserve">谁知道了什么</w:t>
            </w:r>
            <w:r>
              <w:t xml:space="preserve">”</w:t>
            </w:r>
            <w:r>
              <w:t xml:space="preserve">的信息差类单列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大纲兑现率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用于归因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按已确认大纲逐章核对：节拍覆盖、爽点兑现、钩子成立、没有提前写后面的剧情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机评成对胜率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编辑成对胜率的替身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评审模型成对比较，交换顺序各判一次；校准达标前只做初筛</w:t>
            </w:r>
          </w:p>
        </w:tc>
      </w:tr>
    </w:tbl>
    <w:bookmarkEnd w:id="39"/>
    <w:bookmarkStart w:id="40" w:name="有意不测"/>
    <w:p>
      <w:pPr>
        <w:pStyle w:val="Heading2"/>
      </w:pPr>
      <w:r>
        <w:t xml:space="preserve">5.3 有意不测</w:t>
      </w:r>
    </w:p>
    <w:tbl>
      <w:tblPr>
        <w:tblW w:type="auto" w:w="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不测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修辞、感官描写等文学性维度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对爽文没有区分力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字数达成率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编辑没批评过，保留为合格性检查，不作为指标</w:t>
            </w:r>
          </w:p>
        </w:tc>
      </w:tr>
    </w:tbl>
    <w:bookmarkEnd w:id="40"/>
    <w:bookmarkStart w:id="41" w:name="评测用检查器与生产校验分开"/>
    <w:p>
      <w:pPr>
        <w:pStyle w:val="Heading2"/>
      </w:pPr>
      <w:r>
        <w:t xml:space="preserve">5.4 评测用检查器与生产校验分开</w:t>
      </w:r>
    </w:p>
    <w:p>
      <w:pPr>
        <w:pStyle w:val="FirstParagraph"/>
      </w:pPr>
      <w:r>
        <w:t xml:space="preserve">生产流程中的同步校验用事实日志做局部比对；评测用的一致性检查用全文读法，两者独立，避免自己审自己。两者共用同一套埋错校准，评测因此也能测出生产校验线的召回率。</w:t>
      </w:r>
    </w:p>
    <w:bookmarkEnd w:id="41"/>
    <w:bookmarkEnd w:id="42"/>
    <w:bookmarkStart w:id="43" w:name="六校准"/>
    <w:p>
      <w:pPr>
        <w:pStyle w:val="Heading1"/>
      </w:pPr>
      <w:r>
        <w:t xml:space="preserve">六、校准</w:t>
      </w:r>
    </w:p>
    <w:tbl>
      <w:tblPr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对象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方法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达标标准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送审门槛阈值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用第一轮已评稿子回测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与编辑批评基本吻合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第一批编辑反馈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16 条评语拆成问题清单，每个问题对应一个机评指标，在原稿上回测能否测出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第一批反馈即第一个校准集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一致性检查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在真实稿中人工埋 5～10 处矛盾，测召回和误报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召回率低时只用于相对比较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判断类机评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与编辑在同一批样本上做成对比较，计算一致率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以两位编辑之间的一致率为上限，接近上限才可用于迭代判断</w:t>
            </w:r>
          </w:p>
        </w:tc>
      </w:tr>
    </w:tbl>
    <w:p>
      <w:pPr>
        <w:pStyle w:val="BodyText"/>
      </w:pPr>
      <w:r>
        <w:t xml:space="preserve">注意事项：</w:t>
      </w:r>
    </w:p>
    <w:p>
      <w:pPr>
        <w:numPr>
          <w:ilvl w:val="0"/>
          <w:numId w:val="1005"/>
        </w:numPr>
        <w:pStyle w:val="Compact"/>
      </w:pPr>
      <w:r>
        <w:t xml:space="preserve">样本量：20～30 组对比时，一致率的 95% 置信区间约为正负 17 个百分点，分不出 60% 和 90%。至少需要 80～100 组判断，可以由多位编辑 × 多组累积。</w:t>
      </w:r>
    </w:p>
    <w:p>
      <w:pPr>
        <w:numPr>
          <w:ilvl w:val="0"/>
          <w:numId w:val="1005"/>
        </w:numPr>
        <w:pStyle w:val="Compact"/>
      </w:pPr>
      <w:r>
        <w:t xml:space="preserve">校准集必须包含类型跑偏的样本。评审模型和写作模型有相同的默认倾向，容易把”故作深沉”判为”写得好”。</w:t>
      </w:r>
    </w:p>
    <w:p>
      <w:pPr>
        <w:numPr>
          <w:ilvl w:val="0"/>
          <w:numId w:val="1005"/>
        </w:numPr>
        <w:pStyle w:val="Compact"/>
      </w:pPr>
      <w:r>
        <w:t xml:space="preserve">评审模型尽量与写作模型不同；每次评测记录评审模型和提示词版本，换了就重新校准。</w:t>
      </w:r>
    </w:p>
    <w:bookmarkEnd w:id="43"/>
    <w:bookmarkStart w:id="44" w:name="七归因设计"/>
    <w:p>
      <w:pPr>
        <w:pStyle w:val="Heading1"/>
      </w:pPr>
      <w:r>
        <w:t xml:space="preserve">七、归因设计</w:t>
      </w:r>
    </w:p>
    <w:p>
      <w:pPr>
        <w:pStyle w:val="FirstParagraph"/>
      </w:pPr>
      <w:r>
        <w:t xml:space="preserve">成稿质量由两件事共同决定：方案（路线和大纲）和文笔（写作模型）。只看成稿无法区分是哪一层的问题。</w:t>
      </w:r>
    </w:p>
    <w:tbl>
      <w:tblPr>
        <w:tblW w:type="auto" w:w="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EF1F5"/>
          </w:tcPr>
          <w:p>
            <w:pPr>
              <w:pStyle w:val="Compact"/>
            </w:pP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写作模型 A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写作模型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人工方案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系统方案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</w:tr>
    </w:tbl>
    <w:p>
      <w:pPr>
        <w:pStyle w:val="BodyText"/>
      </w:pPr>
      <w:r>
        <w:t xml:space="preserve">在 2～3 本书上跑四种组合，即可定位瓶颈：①② 好而 ③④ 差，问题在方案；①③ 好而 ②④ 差，问题在写作模型。之后每一轮迭代只改一个变量。</w:t>
      </w:r>
    </w:p>
    <w:p>
      <w:pPr>
        <w:pStyle w:val="BodyText"/>
      </w:pPr>
      <w:r>
        <w:t xml:space="preserve">大纲兑现率与编辑判断结合，也能辅助归因：兑现率低，说明写作没执行好；兑现率高但不好看，说明方案本身有问题。</w:t>
      </w:r>
    </w:p>
    <w:bookmarkEnd w:id="44"/>
    <w:bookmarkStart w:id="47" w:name="八评测节奏"/>
    <w:p>
      <w:pPr>
        <w:pStyle w:val="Heading1"/>
      </w:pPr>
      <w:r>
        <w:t xml:space="preserve">八、评测节奏</w:t>
      </w:r>
    </w:p>
    <w:bookmarkStart w:id="45" w:name="每周节奏"/>
    <w:p>
      <w:pPr>
        <w:pStyle w:val="Heading2"/>
      </w:pPr>
      <w:r>
        <w:t xml:space="preserve">8.1 每周节奏</w:t>
      </w:r>
    </w:p>
    <w:tbl>
      <w:tblPr>
        <w:tblW w:type="auto" w:w="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时间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周一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写下本周要回答的一两个问题，只改一个变量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周一至周二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在固定样本上生成，机评筛掉不达标的稿子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周三至周四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编辑成对比较，标原因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周五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统计结果，更新指标状态，定下周问题</w:t>
            </w:r>
          </w:p>
        </w:tc>
      </w:tr>
    </w:tbl>
    <w:bookmarkEnd w:id="45"/>
    <w:bookmarkStart w:id="46" w:name="里程碑"/>
    <w:p>
      <w:pPr>
        <w:pStyle w:val="Heading2"/>
      </w:pPr>
      <w:r>
        <w:t xml:space="preserve">8.2 里程碑</w:t>
      </w:r>
    </w:p>
    <w:tbl>
      <w:tblPr>
        <w:tblW w:type="auto" w:w="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里程碑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第一批反馈拆成问题清单，送审门槛阈值完成回测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归因实验完成，定位主要瓶颈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判断类机评与编辑一致率达标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全文评测达到阶段退出标准，进入线上小流量测试</w:t>
            </w:r>
          </w:p>
        </w:tc>
      </w:tr>
    </w:tbl>
    <w:p>
      <w:pPr>
        <w:pStyle w:val="BodyText"/>
      </w:pPr>
      <w:r>
        <w:t xml:space="preserve">全文评测每两三周做一次，作为里程碑检验。</w:t>
      </w:r>
    </w:p>
    <w:bookmarkEnd w:id="46"/>
    <w:bookmarkEnd w:id="47"/>
    <w:bookmarkStart w:id="48" w:name="九待决问题"/>
    <w:p>
      <w:pPr>
        <w:pStyle w:val="Heading1"/>
      </w:pPr>
      <w:r>
        <w:t xml:space="preserve">九、待决问题</w:t>
      </w:r>
    </w:p>
    <w:tbl>
      <w:tblPr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问题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为什么重要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谁来定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阶段退出标准是否合适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决定整套指标的松紧和何时上线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产品、编辑负责人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原因标签清单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编辑和机评之间的桥梁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编辑确认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编辑之间不一致时以谁为准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决定机评校准的靶子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产品，参考主编意见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方向、大纲、片段判断能否预测全文判断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决定分层评测是否成立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第一次全文评测时检验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节奏指标怎么定义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编辑评分最低的一项，目前没有好的量化方式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编辑标注原作爽点后归纳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评审模型用哪个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需与写作模型不同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确认公司内可用模型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线上测试看哪个指标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读者数据成为最终标准后的北极星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产品、平台</w:t>
            </w:r>
          </w:p>
        </w:tc>
      </w:tr>
    </w:tbl>
    <w:bookmarkEnd w:id="48"/>
    <w:bookmarkStart w:id="49" w:name="附外部-benchmark-借鉴"/>
    <w:p>
      <w:pPr>
        <w:pStyle w:val="Heading1"/>
      </w:pPr>
      <w:r>
        <w:t xml:space="preserve">附：外部 benchmark 借鉴</w:t>
      </w:r>
    </w:p>
    <w:p>
      <w:pPr>
        <w:pStyle w:val="FirstParagraph"/>
      </w:pPr>
      <w:r>
        <w:t xml:space="preserve">没有现成 benchmark 能直接用。借鉴的是方法，而不是指标本身。</w:t>
      </w:r>
    </w:p>
    <w:tbl>
      <w:tblPr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名称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借鉴什么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为什么不能直接用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ConStory-Bench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一致性错误分类；</w:t>
            </w:r>
            <w:r>
              <w:t xml:space="preserve">“</w:t>
            </w:r>
            <w:r>
              <w:t xml:space="preserve">前文怎么写、后文怎么矛盾</w:t>
            </w:r>
            <w:r>
              <w:t xml:space="preserve">”</w:t>
            </w:r>
            <w:r>
              <w:t xml:space="preserve">两段对照的输出格式；埋错校准；每万字矛盾数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英文为主，不是真正的续写，只测一致性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WebNovelBench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中文网文评分提示词；用真人文本做参照系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维度偏文学性，不测爽点、钩子、节奏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SoloEnt 网文评测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按细纲执行好</w:t>
            </w:r>
            <w:r>
              <w:t xml:space="preserve">”</w:t>
            </w:r>
            <w:r>
              <w:t xml:space="preserve">不等于”好看”，两者分开测；编辑常见批评可转成检查项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单一题材，样本少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EQ-Bench 创意写作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成对比较在高分段比细则打分更能拉开差距；AI 套话分的构造方法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英文，套话表需重建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LitBench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提醒校准的重要性：最强模型当评审，与人类偏好一致率约 73%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英文短篇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WritingBench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每个任务生成专属检查清单，对应到我们就是用每版大纲做清单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不是小说专用</w:t>
            </w:r>
          </w:p>
        </w:tc>
      </w:tr>
    </w:tbl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PingFang SC" w:hAnsi="PingFang SC" w:eastAsia="PingFang SC" w:cs="PingFang SC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PingFang SC" w:hAnsi="PingFang SC" w:eastAsia="PingFang SC" w:cs="PingFang SC"/>
    </w:rPr>
  </w:style>
  <w:style w:customStyle="1" w:styleId="FirstParagraph" w:type="paragraph">
    <w:name w:val="First Paragraph"/>
    <w:basedOn w:val="BodyText"/>
    <w:next w:val="BodyText"/>
    <w:qFormat/>
    <w:rPr>
      <w:rFonts w:ascii="PingFang SC" w:hAnsi="PingFang SC" w:eastAsia="PingFang SC" w:cs="PingFang SC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PingFang SC" w:hAnsi="PingFang SC" w:eastAsia="PingFang SC" w:cs="PingFang SC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cstheme="majorBidi" w:ascii="PingFang SC" w:hAnsi="PingFang SC" w:eastAsia="PingFang SC" w:cs="PingFang SC"/>
      <w:b/>
      <w:bCs/>
      <w:color w:val="1F2329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PingFang SC" w:hAnsi="PingFang SC" w:eastAsia="PingFang SC" w:cs="PingFang SC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PingFang SC" w:hAnsi="PingFang SC" w:eastAsia="PingFang SC" w:cs="PingFang SC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PingFang SC" w:hAnsi="PingFang SC" w:eastAsia="PingFang SC" w:cs="PingFang SC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PingFang SC" w:hAnsi="PingFang SC" w:eastAsia="PingFang SC" w:cs="PingFang SC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PingFang SC" w:hAnsi="PingFang SC" w:eastAsia="PingFang SC" w:cs="PingFang SC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PingFang SC" w:hAnsi="PingFang SC" w:eastAsia="PingFang SC" w:cs="PingFang SC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cstheme="majorBidi" w:ascii="PingFang SC" w:hAnsi="PingFang SC" w:eastAsia="PingFang SC" w:cs="PingFang SC"/>
      <w:b/>
      <w:bCs/>
      <w:color w:val="1F2329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cstheme="majorBidi" w:ascii="PingFang SC" w:hAnsi="PingFang SC" w:eastAsia="PingFang SC" w:cs="PingFang SC"/>
      <w:b/>
      <w:bCs/>
      <w:color w:val="1F2329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cstheme="majorBidi" w:ascii="PingFang SC" w:hAnsi="PingFang SC" w:eastAsia="PingFang SC" w:cs="PingFang SC"/>
      <w:b/>
      <w:bCs/>
      <w:color w:val="1F2329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cstheme="majorBidi" w:ascii="PingFang SC" w:hAnsi="PingFang SC" w:eastAsia="PingFang SC" w:cs="PingFang SC"/>
      <w:i/>
      <w:bCs/>
      <w:color w:val="1F2329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cstheme="majorBidi" w:ascii="PingFang SC" w:hAnsi="PingFang SC" w:eastAsia="PingFang SC" w:cs="PingFang SC"/>
      <w:iCs/>
      <w:color w:val="1F2329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cstheme="majorBidi" w:ascii="PingFang SC" w:hAnsi="PingFang SC" w:eastAsia="PingFang SC" w:cs="PingFang SC"/>
      <w:color w:val="1F2329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cstheme="majorBidi" w:ascii="PingFang SC" w:hAnsi="PingFang SC" w:eastAsia="PingFang SC" w:cs="PingFang SC"/>
      <w:color w:val="1F2329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cstheme="majorBidi" w:ascii="PingFang SC" w:hAnsi="PingFang SC" w:eastAsia="PingFang SC" w:cs="PingFang SC"/>
      <w:color w:val="1F2329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cstheme="majorBidi" w:ascii="PingFang SC" w:hAnsi="PingFang SC" w:eastAsia="PingFang SC" w:cs="PingFang SC"/>
      <w:color w:val="1F2329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PingFang SC" w:hAnsi="PingFang SC" w:eastAsia="PingFang SC" w:cs="PingFang SC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PingFang SC" w:hAnsi="PingFang SC" w:eastAsia="PingFang SC" w:cs="PingFang SC"/>
    </w:rPr>
  </w:style>
  <w:style w:default="1" w:styleId="DefaultParagraphFont" w:type="character">
    <w:name w:val="Default Paragraph Font"/>
    <w:semiHidden/>
    <w:unhideWhenUsed/>
    <w:rPr>
      <w:rFonts w:ascii="PingFang SC" w:hAnsi="PingFang SC" w:eastAsia="PingFang SC" w:cs="PingFang SC"/>
    </w:rPr>
  </w:style>
  <w:style w:default="1" w:styleId="Table" w:type="table">
    <w:name w:val="Table"/>
    <w:basedOn w:val="TableNormal"/>
    <w:semiHidden/>
    <w:unhideWhenUsed/>
    <w:qFormat/>
    <w:rPr>
      <w:rFonts w:ascii="PingFang SC" w:hAnsi="PingFang SC" w:eastAsia="PingFang SC" w:cs="PingFang SC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PingFang SC" w:hAnsi="PingFang SC" w:eastAsia="PingFang SC" w:cs="PingFang SC"/>
      <w:b/>
    </w:rPr>
  </w:style>
  <w:style w:customStyle="1" w:styleId="Definition" w:type="paragraph">
    <w:name w:val="Definition"/>
    <w:basedOn w:val="Normal"/>
    <w:rPr>
      <w:rFonts w:ascii="PingFang SC" w:hAnsi="PingFang SC" w:eastAsia="PingFang SC" w:cs="PingFang SC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PingFang SC" w:hAnsi="PingFang SC" w:eastAsia="PingFang SC" w:cs="PingFang SC"/>
      <w:i/>
    </w:rPr>
  </w:style>
  <w:style w:customStyle="1" w:styleId="TableCaption" w:type="paragraph">
    <w:name w:val="Table Caption"/>
    <w:basedOn w:val="Caption"/>
    <w:pPr>
      <w:keepNext/>
    </w:pPr>
    <w:rPr>
      <w:rFonts w:ascii="PingFang SC" w:hAnsi="PingFang SC" w:eastAsia="PingFang SC" w:cs="PingFang SC"/>
    </w:rPr>
  </w:style>
  <w:style w:customStyle="1" w:styleId="ImageCaption" w:type="paragraph">
    <w:name w:val="Image Caption"/>
    <w:basedOn w:val="Caption"/>
    <w:rPr>
      <w:rFonts w:ascii="PingFang SC" w:hAnsi="PingFang SC" w:eastAsia="PingFang SC" w:cs="PingFang SC"/>
    </w:rPr>
  </w:style>
  <w:style w:customStyle="1" w:styleId="Figure" w:type="paragraph">
    <w:name w:val="Figure"/>
    <w:basedOn w:val="Normal"/>
    <w:rPr>
      <w:rFonts w:ascii="PingFang SC" w:hAnsi="PingFang SC" w:eastAsia="PingFang SC" w:cs="PingFang SC"/>
    </w:rPr>
  </w:style>
  <w:style w:customStyle="1" w:styleId="CaptionedFigure" w:type="paragraph">
    <w:name w:val="Captioned Figure"/>
    <w:basedOn w:val="Figure"/>
    <w:pPr>
      <w:keepNext/>
    </w:pPr>
    <w:rPr>
      <w:rFonts w:ascii="PingFang SC" w:hAnsi="PingFang SC" w:eastAsia="PingFang SC" w:cs="PingFang SC"/>
    </w:rPr>
  </w:style>
  <w:style w:customStyle="1" w:styleId="BodyTextChar" w:type="character">
    <w:name w:val="Body Text Char"/>
    <w:basedOn w:val="DefaultParagraphFont"/>
    <w:link w:val="BodyText"/>
    <w:rPr>
      <w:rFonts w:ascii="PingFang SC" w:hAnsi="PingFang SC" w:eastAsia="PingFang SC" w:cs="PingFang SC"/>
    </w:rPr>
  </w:style>
  <w:style w:customStyle="1" w:styleId="VerbatimChar" w:type="character">
    <w:name w:val="Verbatim Char"/>
    <w:basedOn w:val="BodyTextChar"/>
    <w:rPr>
      <w:rFonts w:ascii="PingFang SC" w:hAnsi="PingFang SC" w:eastAsia="PingFang SC" w:cs="PingFang SC"/>
      <w:sz w:val="22"/>
    </w:rPr>
  </w:style>
  <w:style w:customStyle="1" w:styleId="SectionNumber" w:type="character">
    <w:name w:val="Section Number"/>
    <w:basedOn w:val="BodyTextChar"/>
    <w:rPr>
      <w:rFonts w:ascii="PingFang SC" w:hAnsi="PingFang SC" w:eastAsia="PingFang SC" w:cs="PingFang SC"/>
    </w:rPr>
  </w:style>
  <w:style w:styleId="FootnoteReference" w:type="character">
    <w:name w:val="Footnote Reference"/>
    <w:basedOn w:val="BodyTextChar"/>
    <w:rPr>
      <w:rFonts w:ascii="PingFang SC" w:hAnsi="PingFang SC" w:eastAsia="PingFang SC" w:cs="PingFang SC"/>
      <w:vertAlign w:val="superscript"/>
    </w:rPr>
  </w:style>
  <w:style w:styleId="Hyperlink" w:type="character">
    <w:name w:val="Hyperlink"/>
    <w:basedOn w:val="BodyTextChar"/>
    <w:rPr>
      <w:rFonts w:ascii="PingFang SC" w:hAnsi="PingFang SC" w:eastAsia="PingFang SC" w:cs="PingFang SC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cstheme="majorBidi" w:ascii="PingFang SC" w:hAnsi="PingFang SC" w:eastAsia="PingFang SC" w:cs="PingFang SC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PingFang SC" w:hAnsi="PingFang SC" w:eastAsia="PingFang SC" w:cs="PingFang SC"/>
    </w:rPr>
  </w:style>
  <w:style w:type="character" w:customStyle="1" w:styleId="KeywordTok">
    <w:name w:val="KeywordTok"/>
    <w:basedOn w:val="VerbatimChar"/>
    <w:rPr>
      <w:color w:val="007020"/>
      <w:rFonts w:ascii="PingFang SC" w:hAnsi="PingFang SC" w:eastAsia="PingFang SC" w:cs="PingFang SC"/>
      <w:b/>
    </w:rPr>
  </w:style>
  <w:style w:type="character" w:customStyle="1" w:styleId="DataTypeTok">
    <w:name w:val="DataTypeTok"/>
    <w:basedOn w:val="VerbatimChar"/>
    <w:rPr>
      <w:rFonts w:ascii="PingFang SC" w:hAnsi="PingFang SC" w:eastAsia="PingFang SC" w:cs="PingFang SC"/>
      <w:color w:val="902000"/>
    </w:rPr>
  </w:style>
  <w:style w:type="character" w:customStyle="1" w:styleId="DecValTok">
    <w:name w:val="DecValTok"/>
    <w:basedOn w:val="VerbatimChar"/>
    <w:rPr>
      <w:rFonts w:ascii="PingFang SC" w:hAnsi="PingFang SC" w:eastAsia="PingFang SC" w:cs="PingFang SC"/>
      <w:color w:val="40a070"/>
    </w:rPr>
  </w:style>
  <w:style w:type="character" w:customStyle="1" w:styleId="BaseNTok">
    <w:name w:val="BaseNTok"/>
    <w:basedOn w:val="VerbatimChar"/>
    <w:rPr>
      <w:rFonts w:ascii="PingFang SC" w:hAnsi="PingFang SC" w:eastAsia="PingFang SC" w:cs="PingFang SC"/>
      <w:color w:val="40a070"/>
    </w:rPr>
  </w:style>
  <w:style w:type="character" w:customStyle="1" w:styleId="FloatTok">
    <w:name w:val="FloatTok"/>
    <w:basedOn w:val="VerbatimChar"/>
    <w:rPr>
      <w:rFonts w:ascii="PingFang SC" w:hAnsi="PingFang SC" w:eastAsia="PingFang SC" w:cs="PingFang SC"/>
      <w:color w:val="40a070"/>
    </w:rPr>
  </w:style>
  <w:style w:type="character" w:customStyle="1" w:styleId="ConstantTok">
    <w:name w:val="ConstantTok"/>
    <w:basedOn w:val="VerbatimChar"/>
    <w:rPr>
      <w:rFonts w:ascii="PingFang SC" w:hAnsi="PingFang SC" w:eastAsia="PingFang SC" w:cs="PingFang SC"/>
      <w:color w:val="880000"/>
    </w:rPr>
  </w:style>
  <w:style w:type="character" w:customStyle="1" w:styleId="CharTok">
    <w:name w:val="CharTok"/>
    <w:basedOn w:val="VerbatimChar"/>
    <w:rPr>
      <w:rFonts w:ascii="PingFang SC" w:hAnsi="PingFang SC" w:eastAsia="PingFang SC" w:cs="PingFang SC"/>
      <w:color w:val="4070a0"/>
    </w:rPr>
  </w:style>
  <w:style w:type="character" w:customStyle="1" w:styleId="SpecialCharTok">
    <w:name w:val="SpecialCharTok"/>
    <w:basedOn w:val="VerbatimChar"/>
    <w:rPr>
      <w:rFonts w:ascii="PingFang SC" w:hAnsi="PingFang SC" w:eastAsia="PingFang SC" w:cs="PingFang SC"/>
      <w:color w:val="4070a0"/>
    </w:rPr>
  </w:style>
  <w:style w:type="character" w:customStyle="1" w:styleId="StringTok">
    <w:name w:val="StringTok"/>
    <w:basedOn w:val="VerbatimChar"/>
    <w:rPr>
      <w:rFonts w:ascii="PingFang SC" w:hAnsi="PingFang SC" w:eastAsia="PingFang SC" w:cs="PingFang SC"/>
      <w:color w:val="4070a0"/>
    </w:rPr>
  </w:style>
  <w:style w:type="character" w:customStyle="1" w:styleId="VerbatimStringTok">
    <w:name w:val="VerbatimStringTok"/>
    <w:basedOn w:val="VerbatimChar"/>
    <w:rPr>
      <w:rFonts w:ascii="PingFang SC" w:hAnsi="PingFang SC" w:eastAsia="PingFang SC" w:cs="PingFang SC"/>
      <w:color w:val="4070a0"/>
    </w:rPr>
  </w:style>
  <w:style w:type="character" w:customStyle="1" w:styleId="SpecialStringTok">
    <w:name w:val="SpecialStringTok"/>
    <w:basedOn w:val="VerbatimChar"/>
    <w:rPr>
      <w:rFonts w:ascii="PingFang SC" w:hAnsi="PingFang SC" w:eastAsia="PingFang SC" w:cs="PingFang SC"/>
      <w:color w:val="bb6688"/>
    </w:rPr>
  </w:style>
  <w:style w:type="character" w:customStyle="1" w:styleId="ImportTok">
    <w:name w:val="ImportTok"/>
    <w:basedOn w:val="VerbatimChar"/>
    <w:rPr>
      <w:color w:val="008000"/>
      <w:rFonts w:ascii="PingFang SC" w:hAnsi="PingFang SC" w:eastAsia="PingFang SC" w:cs="PingFang SC"/>
      <w:b/>
    </w:rPr>
  </w:style>
  <w:style w:type="character" w:customStyle="1" w:styleId="CommentTok">
    <w:name w:val="CommentTok"/>
    <w:basedOn w:val="VerbatimChar"/>
    <w:rPr>
      <w:color w:val="60a0b0"/>
      <w:rFonts w:ascii="PingFang SC" w:hAnsi="PingFang SC" w:eastAsia="PingFang SC" w:cs="PingFang SC"/>
      <w:i/>
    </w:rPr>
  </w:style>
  <w:style w:type="character" w:customStyle="1" w:styleId="DocumentationTok">
    <w:name w:val="DocumentationTok"/>
    <w:basedOn w:val="VerbatimChar"/>
    <w:rPr>
      <w:color w:val="ba2121"/>
      <w:rFonts w:ascii="PingFang SC" w:hAnsi="PingFang SC" w:eastAsia="PingFang SC" w:cs="PingFang SC"/>
      <w:i/>
    </w:rPr>
  </w:style>
  <w:style w:type="character" w:customStyle="1" w:styleId="AnnotationTok">
    <w:name w:val="AnnotationTok"/>
    <w:basedOn w:val="VerbatimChar"/>
    <w:rPr>
      <w:color w:val="60a0b0"/>
      <w:rFonts w:ascii="PingFang SC" w:hAnsi="PingFang SC" w:eastAsia="PingFang SC" w:cs="PingFang SC"/>
      <w:b/>
      <w:i/>
    </w:rPr>
  </w:style>
  <w:style w:type="character" w:customStyle="1" w:styleId="CommentVarTok">
    <w:name w:val="CommentVarTok"/>
    <w:basedOn w:val="VerbatimChar"/>
    <w:rPr>
      <w:color w:val="60a0b0"/>
      <w:rFonts w:ascii="PingFang SC" w:hAnsi="PingFang SC" w:eastAsia="PingFang SC" w:cs="PingFang SC"/>
      <w:b/>
      <w:i/>
    </w:rPr>
  </w:style>
  <w:style w:type="character" w:customStyle="1" w:styleId="OtherTok">
    <w:name w:val="OtherTok"/>
    <w:basedOn w:val="VerbatimChar"/>
    <w:rPr>
      <w:rFonts w:ascii="PingFang SC" w:hAnsi="PingFang SC" w:eastAsia="PingFang SC" w:cs="PingFang SC"/>
      <w:color w:val="007020"/>
    </w:rPr>
  </w:style>
  <w:style w:type="character" w:customStyle="1" w:styleId="FunctionTok">
    <w:name w:val="FunctionTok"/>
    <w:basedOn w:val="VerbatimChar"/>
    <w:rPr>
      <w:rFonts w:ascii="PingFang SC" w:hAnsi="PingFang SC" w:eastAsia="PingFang SC" w:cs="PingFang SC"/>
      <w:color w:val="06287e"/>
    </w:rPr>
  </w:style>
  <w:style w:type="character" w:customStyle="1" w:styleId="VariableTok">
    <w:name w:val="VariableTok"/>
    <w:basedOn w:val="VerbatimChar"/>
    <w:rPr>
      <w:rFonts w:ascii="PingFang SC" w:hAnsi="PingFang SC" w:eastAsia="PingFang SC" w:cs="PingFang SC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PingFang SC" w:hAnsi="PingFang SC" w:eastAsia="PingFang SC" w:cs="PingFang SC"/>
      <w:b/>
    </w:rPr>
  </w:style>
  <w:style w:type="character" w:customStyle="1" w:styleId="OperatorTok">
    <w:name w:val="OperatorTok"/>
    <w:basedOn w:val="VerbatimChar"/>
    <w:rPr>
      <w:rFonts w:ascii="PingFang SC" w:hAnsi="PingFang SC" w:eastAsia="PingFang SC" w:cs="PingFang SC"/>
      <w:color w:val="666666"/>
    </w:rPr>
  </w:style>
  <w:style w:type="character" w:customStyle="1" w:styleId="BuiltInTok">
    <w:name w:val="BuiltInTok"/>
    <w:basedOn w:val="VerbatimChar"/>
    <w:rPr>
      <w:rFonts w:ascii="PingFang SC" w:hAnsi="PingFang SC" w:eastAsia="PingFang SC" w:cs="PingFang SC"/>
      <w:color w:val="008000"/>
    </w:rPr>
  </w:style>
  <w:style w:type="character" w:customStyle="1" w:styleId="ExtensionTok">
    <w:name w:val="ExtensionTok"/>
    <w:basedOn w:val="VerbatimChar"/>
    <w:rPr>
      <w:rFonts w:ascii="PingFang SC" w:hAnsi="PingFang SC" w:eastAsia="PingFang SC" w:cs="PingFang SC"/>
    </w:rPr>
  </w:style>
  <w:style w:type="character" w:customStyle="1" w:styleId="PreprocessorTok">
    <w:name w:val="PreprocessorTok"/>
    <w:basedOn w:val="VerbatimChar"/>
    <w:rPr>
      <w:rFonts w:ascii="PingFang SC" w:hAnsi="PingFang SC" w:eastAsia="PingFang SC" w:cs="PingFang SC"/>
      <w:color w:val="bc7a00"/>
    </w:rPr>
  </w:style>
  <w:style w:type="character" w:customStyle="1" w:styleId="AttributeTok">
    <w:name w:val="AttributeTok"/>
    <w:basedOn w:val="VerbatimChar"/>
    <w:rPr>
      <w:rFonts w:ascii="PingFang SC" w:hAnsi="PingFang SC" w:eastAsia="PingFang SC" w:cs="PingFang SC"/>
      <w:color w:val="7d9029"/>
    </w:rPr>
  </w:style>
  <w:style w:type="character" w:customStyle="1" w:styleId="RegionMarkerTok">
    <w:name w:val="RegionMarkerTok"/>
    <w:basedOn w:val="VerbatimChar"/>
    <w:rPr>
      <w:rFonts w:ascii="PingFang SC" w:hAnsi="PingFang SC" w:eastAsia="PingFang SC" w:cs="PingFang SC"/>
    </w:rPr>
  </w:style>
  <w:style w:type="character" w:customStyle="1" w:styleId="InformationTok">
    <w:name w:val="InformationTok"/>
    <w:basedOn w:val="VerbatimChar"/>
    <w:rPr>
      <w:color w:val="60a0b0"/>
      <w:rFonts w:ascii="PingFang SC" w:hAnsi="PingFang SC" w:eastAsia="PingFang SC" w:cs="PingFang SC"/>
      <w:b/>
      <w:i/>
    </w:rPr>
  </w:style>
  <w:style w:type="character" w:customStyle="1" w:styleId="WarningTok">
    <w:name w:val="WarningTok"/>
    <w:basedOn w:val="VerbatimChar"/>
    <w:rPr>
      <w:color w:val="60a0b0"/>
      <w:rFonts w:ascii="PingFang SC" w:hAnsi="PingFang SC" w:eastAsia="PingFang SC" w:cs="PingFang SC"/>
      <w:b/>
      <w:i/>
    </w:rPr>
  </w:style>
  <w:style w:type="character" w:customStyle="1" w:styleId="AlertTok">
    <w:name w:val="AlertTok"/>
    <w:basedOn w:val="VerbatimChar"/>
    <w:rPr>
      <w:color w:val="ff0000"/>
      <w:rFonts w:ascii="PingFang SC" w:hAnsi="PingFang SC" w:eastAsia="PingFang SC" w:cs="PingFang SC"/>
      <w:b/>
    </w:rPr>
  </w:style>
  <w:style w:type="character" w:customStyle="1" w:styleId="ErrorTok">
    <w:name w:val="ErrorTok"/>
    <w:basedOn w:val="VerbatimChar"/>
    <w:rPr>
      <w:color w:val="ff0000"/>
      <w:rFonts w:ascii="PingFang SC" w:hAnsi="PingFang SC" w:eastAsia="PingFang SC" w:cs="PingFang SC"/>
      <w:b/>
    </w:rPr>
  </w:style>
  <w:style w:type="character" w:customStyle="1" w:styleId="NormalTok">
    <w:name w:val="NormalTok"/>
    <w:basedOn w:val="VerbatimChar"/>
    <w:rPr>
      <w:rFonts w:ascii="PingFang SC" w:hAnsi="PingFang SC" w:eastAsia="PingFang SC" w:cs="PingFang SC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网文续写测评指标规划</dc:title>
  <dc:creator/>
  <cp:keywords/>
  <dcterms:created xsi:type="dcterms:W3CDTF">2026-10-28T02:35:42Z</dcterms:created>
  <dcterms:modified xsi:type="dcterms:W3CDTF">2026-10-28T02:35:42Z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