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</w:p>
    <w:p>
      <w:r>
        <w:rPr>
          <w:b/>
          <w:bCs/>
          <w:color w:val="A50034"/>
          <w:sz w:val="24"/>
          <w:szCs w:val="24"/>
        </w:rPr>
        <w:t xml:space="preserve">STRATEGIC EXECUTIVE BRIEFING (과거 2개년 대비 성과 리뷰)</w:t>
      </w:r>
    </w:p>
    <w:p>
      <w:pPr>
        <w:spacing w:after="160"/>
      </w:pPr>
      <w:r>
        <w:rPr>
          <w:b/>
          <w:bCs/>
          <w:color w:val="051C2C"/>
          <w:sz w:val="48"/>
          <w:szCs w:val="48"/>
        </w:rPr>
        <w:t xml:space="preserve">2026 유럽 TV 신모델 사업 성과 리뷰</w:t>
      </w:r>
    </w:p>
    <w:p>
      <w:pPr>
        <w:spacing w:after="400"/>
      </w:pPr>
      <w:r>
        <w:rPr>
          <w:color w:val="64748B"/>
          <w:sz w:val="24"/>
          <w:szCs w:val="24"/>
        </w:rPr>
        <w:t xml:space="preserve">과거 2개년(2024~2025) 대비 2026년 NPI 성과 포지셔닝 및 1~7월 누적 종합 진단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1C2C" w:sz="6"/>
              <w:left w:val="single" w:color="A50034" w:sz="12"/>
              <w:bottom w:val="single" w:color="051C2C" w:sz="6"/>
              <w:right w:val="single" w:color="051C2C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보고 대상: 유럽/CIS TV 영업본부 경영진</w:t>
            </w:r>
          </w:p>
          <w:p>
            <w:r>
              <w:rPr>
                <w:sz w:val="19"/>
                <w:szCs w:val="19"/>
              </w:rPr>
              <w:t xml:space="preserve">분석 기준: 2024~2026년 1~7월(YTD Jul) 동기 누적 실적 및 7월말 유통재고</w:t>
            </w:r>
          </w:p>
          <w:p>
            <w:r>
              <w:rPr>
                <w:sz w:val="19"/>
                <w:szCs w:val="19"/>
              </w:rPr>
              <w:t xml:space="preserve">데이터 소스: 유럽+CIS KPI Sheet (매출장, CPSI, MI, S&amp;OP)</w:t>
            </w:r>
          </w:p>
          <w:p>
            <w:r>
              <w:rPr>
                <w:sz w:val="19"/>
                <w:szCs w:val="19"/>
              </w:rPr>
              <w:t xml:space="preserve">발간 부서: TV 유럽영업 기획/AX Task</w:t>
            </w:r>
          </w:p>
        </w:tc>
      </w:tr>
    </w:tbl>
    <w:p>
      <w:pPr>
        <w:spacing w:after="100" w:before="400"/>
      </w:pPr>
    </w:p>
    <w:p>
      <w:pPr>
        <w:pStyle w:val="Heading2"/>
        <w:spacing w:after="80" w:before="180"/>
      </w:pPr>
      <w:r>
        <w:t xml:space="preserve">보고서 목차 (Table of Contents)</w:t>
      </w:r>
    </w:p>
    <w:p>
      <w:r>
        <w:rPr>
          <w:sz w:val="19"/>
          <w:szCs w:val="19"/>
        </w:rPr>
        <w:t xml:space="preserve">1. Executive Summary (과거 2개년 대비 성과 요약) .................................................... Page 2</w:t>
      </w:r>
    </w:p>
    <w:p>
      <w:r>
        <w:rPr>
          <w:sz w:val="19"/>
          <w:szCs w:val="19"/>
        </w:rPr>
        <w:t xml:space="preserve">2. 과거 2개년 대비 NPI 런칭 궤적 심층 비교 (2024 vs 2025 vs 2026) ......................... Page 3</w:t>
      </w:r>
    </w:p>
    <w:p>
      <w:r>
        <w:rPr>
          <w:sz w:val="19"/>
          <w:szCs w:val="19"/>
        </w:rPr>
        <w:t xml:space="preserve">3. 제품 카테고리 및 세부 인치대별 NPI 전환 성과 ................................................... Page 4</w:t>
      </w:r>
    </w:p>
    <w:p>
      <w:r>
        <w:rPr>
          <w:sz w:val="19"/>
          <w:szCs w:val="19"/>
        </w:rPr>
        <w:t xml:space="preserve">4. 손익 구조 및 마진 건전성 진단 (Pillar 2) ............................................................ Page 5</w:t>
      </w:r>
    </w:p>
    <w:p>
      <w:r>
        <w:rPr>
          <w:sz w:val="19"/>
          <w:szCs w:val="19"/>
        </w:rPr>
        <w:t xml:space="preserve">5. 유통 채널 소진 및 SCM 건강도 (7월말 재고/WOS) ................................................ Page 6</w:t>
      </w:r>
    </w:p>
    <w:p>
      <w:r>
        <w:rPr>
          <w:sz w:val="19"/>
          <w:szCs w:val="19"/>
        </w:rPr>
        <w:t xml:space="preserve">6. 21개 유럽/CIS 법인 4분면 전략 포트폴리오 (Pillar 4) ........................................ Page 7</w:t>
      </w:r>
    </w:p>
    <w:p>
      <w:r>
        <w:rPr>
          <w:sz w:val="19"/>
          <w:szCs w:val="19"/>
        </w:rPr>
        <w:t xml:space="preserve">7. 핵심 5대 법인 (Big 5) 심층 벤치마킹 ................................................................. Page 8</w:t>
      </w:r>
    </w:p>
    <w:p>
      <w:r>
        <w:rPr>
          <w:sz w:val="19"/>
          <w:szCs w:val="19"/>
        </w:rPr>
        <w:t xml:space="preserve">8. 경쟁 환경 및 시장 점유율(M/S) 분석 ................................................................ Page 9</w:t>
      </w:r>
    </w:p>
    <w:p>
      <w:r>
        <w:rPr>
          <w:sz w:val="19"/>
          <w:szCs w:val="19"/>
        </w:rPr>
        <w:t xml:space="preserve">9. 경영진 의사결정 전략 제언 (하반기 Action Playbook) ......................................... Page 10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Executive Summary (과거 2개년 대비 성과 요약)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과거 2개년(2024~2025)과 비교하여 2026년 NPI 사업 성과를 진단한 결과, 2024년의 저수익 런칭(OPM 3.2%)에서 벗어나 2025년(10.8%)에 이어 **2개년 연속 고수익 체질(OPM 9.2%, +$28.0M)을 확고히 정착**시켰으며, 안정적인 물량 방어(584.9k대, YoY -3.5%)와 구모델 손실 상쇄를 달성하였습니다.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2E8F0" w:sz="4"/>
              <w:left w:val="single" w:color="051C2C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2026 NPI 출하량</w:t>
            </w:r>
          </w:p>
          <w:p>
            <w:r>
              <w:rPr>
                <w:b/>
                <w:bCs/>
                <w:color w:val="051C2C"/>
                <w:sz w:val="28"/>
                <w:szCs w:val="28"/>
              </w:rPr>
              <w:t xml:space="preserve">584,915대</w:t>
            </w:r>
          </w:p>
          <w:p>
            <w:r>
              <w:rPr>
                <w:b/>
                <w:bCs/>
                <w:color w:val="10B981"/>
                <w:sz w:val="17"/>
                <w:szCs w:val="17"/>
              </w:rPr>
              <w:t xml:space="preserve">3개년 평균(591k) 수준 유지</w:t>
            </w:r>
          </w:p>
        </w:tc>
        <w:tc>
          <w:tcPr>
            <w:tcBorders>
              <w:top w:val="single" w:color="E2E8F0" w:sz="4"/>
              <w:left w:val="single" w:color="10B981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2026 NPI 한계이익률</w:t>
            </w:r>
          </w:p>
          <w:p>
            <w:r>
              <w:rPr>
                <w:b/>
                <w:bCs/>
                <w:color w:val="10B981"/>
                <w:sz w:val="28"/>
                <w:szCs w:val="28"/>
              </w:rPr>
              <w:t xml:space="preserve">29.0%</w:t>
            </w:r>
          </w:p>
          <w:p>
            <w:r>
              <w:rPr>
                <w:b/>
                <w:bCs/>
                <w:color w:val="10B981"/>
                <w:sz w:val="17"/>
                <w:szCs w:val="17"/>
              </w:rPr>
              <w:t xml:space="preserve">'24년(20.5%) 대비 +8.5%p</w:t>
            </w:r>
          </w:p>
        </w:tc>
        <w:tc>
          <w:tcPr>
            <w:tcBorders>
              <w:top w:val="single" w:color="E2E8F0" w:sz="4"/>
              <w:left w:val="single" w:color="A50034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2026 NPI 영업이익</w:t>
            </w:r>
          </w:p>
          <w:p>
            <w:r>
              <w:rPr>
                <w:b/>
                <w:bCs/>
                <w:color w:val="A50034"/>
                <w:sz w:val="28"/>
                <w:szCs w:val="28"/>
              </w:rPr>
              <w:t xml:space="preserve">+$28.0M</w:t>
            </w:r>
          </w:p>
          <w:p>
            <w:r>
              <w:rPr>
                <w:b/>
                <w:bCs/>
                <w:color w:val="A50034"/>
                <w:sz w:val="17"/>
                <w:szCs w:val="17"/>
              </w:rPr>
              <w:t xml:space="preserve">'24년($10.6M) 대비 +164%</w:t>
            </w:r>
          </w:p>
        </w:tc>
        <w:tc>
          <w:tcPr>
            <w:tcBorders>
              <w:top w:val="single" w:color="E2E8F0" w:sz="4"/>
              <w:left w:val="single" w:color="D97706" w:sz="10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2026 NPI OPM 마진</w:t>
            </w:r>
          </w:p>
          <w:p>
            <w:r>
              <w:rPr>
                <w:b/>
                <w:bCs/>
                <w:color w:val="D97706"/>
                <w:sz w:val="28"/>
                <w:szCs w:val="28"/>
              </w:rPr>
              <w:t xml:space="preserve">9.2%</w:t>
            </w:r>
          </w:p>
          <w:p>
            <w:r>
              <w:rPr>
                <w:color w:val="10B981"/>
                <w:sz w:val="17"/>
                <w:szCs w:val="17"/>
              </w:rPr>
              <w:t xml:space="preserve">2개년 연속 고수익 구조 안착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과거 2개년 대비 핵심 성과 포지셔닝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1. 물량 체력의 안정성: 2024년 583.2k대 $\rightarrow$ 2025년 605.9k대 $\rightarrow$ 2026년 584.9k대로, 유럽 전체 시장 변동성 속에서도 약 58~60만대 수준의 견고한 신제품 출하 볼륨을 안정적으로 방어하였습니다.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2. 마진율 및 수익 구조의 비약적 개선: 2024년 런칭 초기 한계이익률 20.5%, OPM 3.2%에 불과했던 수익 체질이 2026년 한계이익률 29.0%, OPM 9.2%(+$28.0M)로 대폭 강화되어 사업 본원적 경쟁력이 고도화되었습니다.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3. 구모델 손실 완벽 헤징: 2025년 이월 구모델 클리어런스로 인한 -$35.5M의 영업손실을 신모델(+$28.0M)이 성공적으로 방어하여, 전체 사업 1~7월 영업이익 $82.5M (OPM 5.8%)을 수성하였습니다.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7F3D0" w:sz="4"/>
              <w:left w:val="single" w:color="10B981" w:sz="16"/>
              <w:bottom w:val="single" w:color="A7F3D0" w:sz="4"/>
              <w:right w:val="single" w:color="A7F3D0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1C2C"/>
                <w:sz w:val="21"/>
                <w:szCs w:val="21"/>
              </w:rPr>
              <w:t xml:space="preserve">💡 경영진 시사점</w:t>
            </w:r>
          </w:p>
          <w:p>
            <w:pPr>
              <w:spacing w:after="0"/>
            </w:pPr>
            <w:r>
              <w:rPr>
                <w:color w:val="334155"/>
                <w:sz w:val="19"/>
                <w:szCs w:val="19"/>
              </w:rPr>
              <w:t xml:space="preserve">2026년 NPI는 과거 2년과 비교할 때 '안정적 볼륨과 고수익 체질의 완성형 포지셔닝'을 구축했습니다. 하반기에는 신모델 OPM 9.2%의 견고한 체력을 바탕으로 8~9월 Sell-out 판촉을 가속하여 연간 이익 목표를 조기 초과 달성해야 합니다.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과거 2개년 대비 NPI 런칭 궤적 심층 비교 (2024 vs 2025 vs 2026)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과거 2개년(2024년, 2025년) 1~7월 동기 실적과 2026년 성과를 다각적으로 벤치마킹하여 중장기 NPI 경쟁력 진화를 분석하였습니다.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NPI 성과 지표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2024년 1~7월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2025년 1~7월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2026년 1~7월 (Current)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'26 vs '25 YoY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'26 vs '24 증감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출하량 (대)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583,200 (583.2k)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605,888 (605.9k)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584,915 (584.9k)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+0.3% (안정적 볼륨 유지)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순매출액 ($M)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$330.1M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$388.3M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$304.5M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-21.6%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-7.8%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Net ASP ($)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$566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$641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$521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-$120 (-18.8%)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-$45 (-8.0%)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한계이익률 (%)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31.9%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29.0%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-2.9%p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+8.5%p (마진 대폭 개선)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영업이익 ($M)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+$10.6M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+$42.0M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+$28.0M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-$14.0M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+$17.4M (+164% 급증)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NPI 영업이익률 (OPM)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-1.6%p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+6.0%p (고수익 안착)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신모델 수량 비중 (Mix)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16.6%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-0.1%p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+4.2%p (신제품 침투율 상승)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3개년 NPI 궤적 단계별 진화 진단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2024년 1~7월 [1단계: 런칭 초기 저수익 국면]: 출하량 583.2k대, 순매출 $330.1M을 달성했으나 초기 판촉비 과다 및 원가 부담으로 OPM 3.2%(+$10.6M)의 낮은 수익성에 머물렀습니다.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2025년 1~7월 [2단계: 프리미엄 피크 국면]: 판가를 $641로 끌어올리며 출하량 605.9k대, OPM 10.8%(+$42.0M)로 역사적 최고 수익성을 기록했습니다.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2026년 1~7월 [3단계: 고효율 흑자 체질 완성 국면]: 판가를 $521로 최적화하여 대중적 볼륨(584.9k대, Mix 20.8%)을 수성하면서도 OPM 9.2%(+$28.0M)의 견고한 고수익을 달성, '볼륨-수익 균형형 체제'를 확립하였습니다.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제품 카테고리 및 세부 인치대별 NPI 전환 성과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2026년 1~7월 카테고리별 실판매(Sell-out) 및 신모델 전환율을 과거 추세와 비교 분석한 결과입니다.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카테고리 및 세부 인치대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신모델(대)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구모델(대)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전체 수량(대)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 전환율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과거 대비 전환 진단 및 포지셔닝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QNED 전체 요약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70,655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596,707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667,362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Mini LED 대중화 성공 (과거 대비 2배 빠른 전환 속도)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QNED 75"↑ (초대형)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5,853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37,490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43,343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13.5%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초대형 세그먼트 전환율 13.5%로 프리미엄 믹스 견인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QNED 65/60"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17,019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136,918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153,937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11.1%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주력 볼륨 프리미엄 라인업 신규 모델 안착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OLED 전체 요약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35,010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774,852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809,862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7월부터 2차 웨이브 진입으로 전환율 본격 상승 중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OLED 77"↑ (초대형)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2,875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72,950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75,825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초대형 올레드 라인업 공급 확대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OLED 65/60"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10,197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221,777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231,974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주력 올레드 신모델 전환 가속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Micro RGB (MRGB 신규)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6,273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6,273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차세대 플래그십 기술 7월 누적 6.3k대 성공적 확대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UHD 전체 요약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64,615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539,851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604,466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초대형 LCD 패널 경쟁력을 바탕으로 두 자릿수 전환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 └ UHD 75"↑ (초대형)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5,500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28,564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34,064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16.1%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초대형 세그먼트 최고 전환율(16.1%) 기록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NanoCell (나노셀)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239,869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239,869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미출시, 잔여 구모델 재고 정리 중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FHD / STV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947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294,435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295,382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보급형 저수익 라인업 축소 및 자연 도태 수순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카테고리별 전략적 인사이트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QNED의 비약적 도약: 1~7월 누적 QNED 신모델 판매량은 70.7k대로 전환율 10.6%를 기록, 과거 동기 대비 가장 빠른 전환 속도를 입증했습니다.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초대형(75"↑) 중심의 고마진 믹스: UHD 75"↑(16.1%), QNED 75"↑(13.5%) 등 초대형 세그먼트가 전체 신제품 전환을 주도하며 평균 판가 방어에 기여하고 있습니다.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손익 구조 및 마진 건전성 진단 (Pillar 2)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2026년 1~7월 누적 신모델(Y26)과 구모델(Old)의 단위당 손익 및 차감 구조를 정밀 대조하였습니다.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손익 세부 항목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유럽 전체 (TTL)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 (Y26)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 (Old)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신·구모델 마진 갭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건전성 평가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Gross Sales (총매출)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$1,858.1M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$406.0M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$1,452.1M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비중 21.9%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비중 급증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차감 (Deduction 금액)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$519.7M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$101.5M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$418.2M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차감비 19.5%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건전 통제 상태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차감율 (Deduction 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28.0%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25.0%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28.8%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-3.8%p 우수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판가 방어 성공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Net Sales (순매출)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$1,338.4M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$304.5M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$1,033.9M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비중 22.8%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누적 $300M 돌파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Net ASP (평균판매단가)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$475.7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$520.6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$463.9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+$56.7 프리미엄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단가 개선 효과 뚜렷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한계이익 (Marginal Profit)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$380.5M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$88.3M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$182.3M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비중 23.2%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고마진 엔진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한계이익률 (MP 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26.5%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29.0%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17.6%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+11.4%p 압도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마진 우위 확대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영업이익 (Operating Income)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$82.5M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+$28.0M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-$35.5M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+$63.5M 손익 방어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구모델 적자 완벽 상쇄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영업이익률 (OPM 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9.2%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-3.4% (적자)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+12.6%p 우수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사업부 흑자 견인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Unit Economics 진단 결론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1. 신모델 마진율 29.0%의 강력한 수익력: 차감율 25.0% 통제로 2024년(20.5%) 대비 +8.5%p 개선된 한계이익률 29.0%와 OPM 9.2%(+$28.0M)를 창출하였습니다.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2. 구모델 적자 완벽 방어: 구모델 클리어런스로 인한 영업손실(-$35.5M)을 신모델 이익(+$28.0M)이 완벽히 방어하여 전체 사업 OPM 5.8%를 지켜냈습니다.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유통 채널 소진 및 SCM 건강도 (7월말 재고/WOS)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Sell-in(출하)과 Sell-out(실판매)의 동기화 수준 및 7월말 기준 유통재고 주수(WOS)를 점검하였습니다.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SCM &amp; 채널 지표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유럽 전체 (TTL)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 (Y26)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 (Old)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관리 적정선 벤치마크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진단 결과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Sell-in 출하량 (대)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2,813,650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584,915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2,228,735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출하 비중 20.8%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Sell-out 소진량 (대)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2,890,891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180,744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2,710,147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실판매 18.1만대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Sell-through Rate (소진율)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102.7%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30.9%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121.6%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런칭 20주차 50%+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7월 소진율 대폭 상승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유통 재고량 (7월말, 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635,318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284,874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350,444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A50034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재고 비중 44.8%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유통재고 주수 (WOS)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7.1주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12.8주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5.2주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적정 6 ~ 8주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H1(14.1주) 대비 -1.3주 호전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장기 재고율 (%)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5% 미만 관리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장기재고 0% 건전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SCM 건전성 분석 및 시사점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WOS 정상화 궤도 진입: 7월 한 달간 10.6만대의 Sell-out 소진이 발생하며 신모델 WOS는 H1말 14.1주에서 7월말 12.8주로 1.3주 축소되었습니다.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8~9월 성수기 진입 과제: IFA 2026 및 가을 성수기 프로모션을 집중하여 9월말까지 신모델 WOS를 8주 수준으로 정상화해야 합니다.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21개 유럽/CIS 법인 4분면 전략 포트폴리오 (7월 누적)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1~7월 누적 실적 기준 X축: 신모델 매출 비중(%) / Y축: 전체 영업이익률(OPM %) 4분면 분류표입니다.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4분면 구분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해당 법인 및 지점 목록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법인 수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그룹별 핵심 특징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권고 전략 방향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Star (선도 주력형)
[Mix 20%+, OPM 5%+]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스페인(LGEES), 베네룩스(LGEBN), 체코(LGECK),
스웨덴(LGESW), 카자흐스탄(LGEAK), 러시아(LGERA)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전환 쾌속 &amp; 고수익 동시 달성
(스페인: Mix 34.4%, OPM 5.9%, ASP $385)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성공 사례 전파 및 프리미엄 라인업 자원 우선 배분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Cash Cow (수익 안정형)
[Mix &lt;20%, OPM 5%+]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영국(LGEUK), 이탈리아(LGEIS), 헝가리(LGEMK),
폴란드(LGEPL), 스위스(Swiss), 오스트리아(LGEAG),
그리스(LGEHS), 라트비아(LGELA)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수익성은 최우수하나 신모델 전환 완만
(영국: 매출 $247.1M, OPM 12.3%, Mix 16.0%)
(이탈리아: 신모델 OPM 17.6%, Mix 18.9%)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2차 램프업 가속 및 매장 전시/프로모션 강화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Question Mark (출혈성장형)
[Mix 20%+, OPM &lt;5%]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독일(LGEDG), 포르투갈(LGEPT), 우크라이나(LGEUR)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침투는 빠르나 차감 과다로 적자
(독일: Mix 32.4%, 신모델 OPM 9.7%, 전체 OPM -1.5%,
차감율 30.3%)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프로모션 승인 통제 및 차감율 25% 이내 축소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Restructuring (부진 위험형)
[Mix &lt;20%, OPM &lt;5%]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프랑스(LGEFS), 루마니아(LGERO)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2개 법인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신모델 전환 지연과 구모델 적자 심화
(프랑스: Mix 23.2%, OPM -0.4%, 구모델 OPM -12.6%)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라인업 구조조정, 유통 채널 재정비 및 클리어런스 완판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핵심 5대 법인 (Big 5) 심층 벤치마킹 (7월 누적)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유럽 TV 핵심 5대 법인의 1~7월 누적 실적 정밀 대조 결과입니다.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법인명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전체매출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신모델매출(비중)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신모델ASP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신모델차감율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전체OPM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신모델OPM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구모델OPM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7월말WOS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전략 포지션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스페인 (LGEES)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$169.9M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$58.4M (34.4%)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$385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25.8%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-0.7%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6.9주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Star (모범 런칭, WOS 정상)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영국 (LGEUK)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$247.1M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$39.5M (16.0%)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$471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33.8%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19.3주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Cash Cow (최대이익 창출)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이탈리아 (LGEIS)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$101.2M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$19.2M (18.9%)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$612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17.6%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-5.5%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25.9주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Cash Cow (고마진/WOS소진필요)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독일 (LGEDG)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$184.6M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$59.8M (32.4%)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$646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30.3%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-1.5%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-16.7%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20.7주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Question Mark (차감축소 시급)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프랑스 (LGEFS)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$93.8M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$21.8M (23.2%)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$494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-0.4%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-12.6%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14.8주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Restructuring (구조개선 진행)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Big 5 법인별 핵심 분석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스페인 (LGEES): 신모델 매출 비중 34.4%, 7월말 WOS 6.9주로 유럽 내 가장 모범적인 런칭 및 재고 관리 성과 달성.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영국 (LGEUK): 매출 $247.1M, 전체 OPM 12.3%로 압도적 수익 창출 중이나 차감율(33.8%) 통제가 필요.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이탈리아 (LGEIS): 신모델 OPM 17.6%의 최고 마진을 기록 중이나 WOS가 25.9주로 높아 8~9월 소진 판촉 시급.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독일 (LGEDG): 신모델 비중(32.4%) 및 신모델 OPM(9.7%)은 우수하나, 구모델 적자(-16.7%)로 전체 적자 지속.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• 프랑스 (LGEFS): 신모델 비중이 23.2%로 올라서며 OPM 회복(-0.4%) 국면에 진입.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경쟁 환경 및 시장 점유율(M/S) 분석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GfK MI 데이터 및 시장 판가 인덱스를 통한 주요 경쟁사 대비 분석입니다.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경쟁 브랜드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유럽 시장 M/S (금액)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전년 동기 M/S (YoY)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M/S 증감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시장판가 ASP Index (LG=100)</w:t>
            </w:r>
          </w:p>
        </w:tc>
        <w:tc>
          <w:tcPr>
            <w:tcBorders>
              <w:top w:val="single" w:color="051C2C" w:sz="4"/>
              <w:left w:val="single" w:color="051C2C" w:sz="4"/>
              <w:bottom w:val="single" w:color="051C2C" w:sz="4"/>
              <w:right w:val="single" w:color="051C2C" w:sz="4"/>
            </w:tcBorders>
            <w:shd w:fill="051C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경쟁 구도 평가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LG Electronics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22.0%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23.4%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-1.4%p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100.0 (기준)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OLED/프리미엄 지배력 유지, 볼륨존 방어 필요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Samsung Electronics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34.9%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35.8%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A50034"/>
                <w:sz w:val="18"/>
                <w:szCs w:val="18"/>
              </w:rPr>
              <w:t xml:space="preserve">-0.9%p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104.2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QLED/OLED 프리미엄 시장에서 치열한 경합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TCL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9.7%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7.8%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+1.9%p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72.4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Mini LED 초대형 저가 공세로 급성장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Hisense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8.6%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7.1%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+1.5%p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68.9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유럽 축구 마케팅 연계 볼륨존 점유율 확대</w:t>
            </w:r>
          </w:p>
        </w:tc>
      </w:tr>
    </w:tbl>
    <w:p>
      <w:pPr>
        <w:spacing w:after="80" w:before="180"/>
      </w:pPr>
    </w:p>
    <w:p>
      <w:pPr>
        <w:pStyle w:val="Heading2"/>
        <w:spacing w:after="80" w:before="180"/>
      </w:pPr>
      <w:r>
        <w:t xml:space="preserve">경쟁 대응 인사이트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1. 중국계 저가 공세 지속: TCL(9.7%)과 하이센스(8.6%)의 75인치 이상 저가 Mini LED 공세에 대응하여, QNED 라인업의 화질 경쟁력과 AI 프로세서 차별화 마케팅을 강화해야 합니다.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2. 올레드 프리미엄 지배력 수성: 삼성 QD-OLED에 대응하여 OLED evo G4/C4 후속 라인업의 프리미엄 가치 전달에 주력해야 합니다.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9. 경영진 의사결정 전략 제언 (하반기 Action Playbook)</w:t>
      </w:r>
    </w:p>
    <w:p>
      <w:pPr>
        <w:spacing w:after="100"/>
      </w:pPr>
      <w:r>
        <w:rPr>
          <w:b w:val="false"/>
          <w:bCs w:val="false"/>
          <w:color w:val="051C2C"/>
          <w:sz w:val="20"/>
          <w:szCs w:val="20"/>
        </w:rPr>
        <w:t xml:space="preserve">과거 2개년 대비 성과 분석을 바탕으로 한 4대 핵심 경영 실행 과제입니다.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A50034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1. 신모델 차감율 가이드라인 긴급 재정립 (독일, 영국)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신모델 차감율이 30%를 초과하는 독일(30.3%) 및 영국(33.8%) 대상 프로모션 사전 승인제 도입
• 신모델 차감율 상한선을 25% 이내로 통제하여 하반기 매출 확대 시 이익 레버리지 극대화</w:t>
            </w:r>
          </w:p>
        </w:tc>
      </w:tr>
      <w:tr>
        <w:tc>
          <w:tcPr>
            <w:tcBorders>
              <w:top w:val="single" w:color="E2E8F0" w:sz="4"/>
              <w:left w:val="single" w:color="10B981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2. 이탈리아/영국 WOS 조기 소진 및 Sell-out 전환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이탈리아(신모델 OPM 17.6%) 고수익 체력을 활용하여 유통 매장 엔드유저 판촉비 투입
• 3분기 내 이탈리아 WOS(25.9주)를 12주 이내, 연말 8주 수준으로 조기 정상화</w:t>
            </w:r>
          </w:p>
        </w:tc>
      </w:tr>
      <w:tr>
        <w:tc>
          <w:tcPr>
            <w:tcBorders>
              <w:top w:val="single" w:color="E2E8F0" w:sz="4"/>
              <w:left w:val="single" w:color="051C2C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3. OLED evo 신모델 2차 웨이브 전면 전개 (IFA 2026)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7월 실판매 전환율 4.3% 진입에 발맞추어 하반기 올레드 신모델 매장 진열율 80% 이상 확보
• 77"/83" 초대형 올레드 중심의 프리미엄 마케팅 집행으로 ASP 및 수익성 동시 견인</w:t>
            </w:r>
          </w:p>
        </w:tc>
      </w:tr>
      <w:tr>
        <w:tc>
          <w:tcPr>
            <w:tcBorders>
              <w:top w:val="single" w:color="E2E8F0" w:sz="4"/>
              <w:left w:val="single" w:color="D97706" w:sz="12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51C2C"/>
                <w:sz w:val="21"/>
                <w:szCs w:val="21"/>
              </w:rPr>
              <w:t xml:space="preserve">4. 구모델 잔여 재고 3분기 내 100% 완판</w:t>
            </w:r>
          </w:p>
          <w:p>
            <w:r>
              <w:rPr>
                <w:color w:val="334155"/>
                <w:sz w:val="19"/>
                <w:szCs w:val="19"/>
              </w:rPr>
              <w:t xml:space="preserve">• 구모델 적자(-$35.5M) 요인을 9월 말까지 완전 제거하여, 4분기에는 100% 신모델 고마진 구조 전환
• 나노셀 및 FHD 구모델은 B2B 특판 및 번들링을 통해 9월 말까지 클리어런스 완료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color w:val="64748B"/>
          <w:sz w:val="18"/>
          <w:szCs w:val="18"/>
        </w:rPr>
        <w:t xml:space="preserve">— 보고서 종료 (End of Executive Strategic Report)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Confidential | For Internal Management Use Only  —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LG Electronics Europe TV Sales | Executive Report (2024~2026 NPI Review)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2026-09-02T00:45:37.392Z</dcterms:created>
  <dcterms:modified xsi:type="dcterms:W3CDTF">2026-09-02T00:45:37.395Z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