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</w:p>
    <w:p>
      <w:r>
        <w:rPr>
          <w:b/>
          <w:bCs/>
          <w:color w:val="A50034"/>
          <w:sz w:val="24"/>
          <w:szCs w:val="24"/>
        </w:rPr>
        <w:t xml:space="preserve">STRATEGIC EXECUTIVE BRIEFING (상반기 실적)</w:t>
      </w:r>
    </w:p>
    <w:p>
      <w:pPr>
        <w:spacing w:after="160"/>
      </w:pPr>
      <w:r>
        <w:rPr>
          <w:b/>
          <w:bCs/>
          <w:color w:val="051C2C"/>
          <w:sz w:val="48"/>
          <w:szCs w:val="48"/>
        </w:rPr>
        <w:t xml:space="preserve">2026 유럽 TV 신모델 사업 성과 리뷰 (상반기)</w:t>
      </w:r>
    </w:p>
    <w:p>
      <w:pPr>
        <w:spacing w:after="400"/>
      </w:pPr>
      <w:r>
        <w:rPr>
          <w:color w:val="64748B"/>
          <w:sz w:val="24"/>
          <w:szCs w:val="24"/>
        </w:rPr>
        <w:t xml:space="preserve">과거 2개년 대비 상반기 NPI 런칭 성과 진단 및 손익/포트폴리오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1C2C" w:sz="6"/>
              <w:left w:val="single" w:color="A50034" w:sz="12"/>
              <w:bottom w:val="single" w:color="051C2C" w:sz="6"/>
              <w:right w:val="single" w:color="051C2C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보고 대상: 유럽/CIS TV 영업본부 경영진</w:t>
            </w:r>
          </w:p>
          <w:p>
            <w:r>
              <w:rPr>
                <w:sz w:val="19"/>
                <w:szCs w:val="19"/>
              </w:rPr>
              <w:t xml:space="preserve">분석 기준: 2026년 상반기(H1) 누적 실적 및 6월말 유통재고</w:t>
            </w:r>
          </w:p>
          <w:p>
            <w:r>
              <w:rPr>
                <w:sz w:val="19"/>
                <w:szCs w:val="19"/>
              </w:rPr>
              <w:t xml:space="preserve">데이터 소스: 유럽+CIS KPI Sheet (매출장, CPSI, MI, S&amp;OP)</w:t>
            </w:r>
          </w:p>
          <w:p>
            <w:r>
              <w:rPr>
                <w:sz w:val="19"/>
                <w:szCs w:val="19"/>
              </w:rPr>
              <w:t xml:space="preserve">발간 부서: TV 유럽영업 기획/AX Task</w:t>
            </w:r>
          </w:p>
        </w:tc>
      </w:tr>
    </w:tbl>
    <w:p>
      <w:pPr>
        <w:spacing w:after="100" w:before="400"/>
      </w:pPr>
    </w:p>
    <w:p>
      <w:pPr>
        <w:pStyle w:val="Heading2"/>
        <w:spacing w:after="80" w:before="180"/>
      </w:pPr>
      <w:r>
        <w:t xml:space="preserve">보고서 목차 (Table of Contents)</w:t>
      </w:r>
    </w:p>
    <w:p>
      <w:r>
        <w:rPr>
          <w:sz w:val="19"/>
          <w:szCs w:val="19"/>
        </w:rPr>
        <w:t xml:space="preserve">1. Executive Summary (상반기 핵심 요약) ................................................................ Page 2</w:t>
      </w:r>
    </w:p>
    <w:p>
      <w:r>
        <w:rPr>
          <w:sz w:val="19"/>
          <w:szCs w:val="19"/>
        </w:rPr>
        <w:t xml:space="preserve">2. 과거 2개년 대비 NPI 런칭 궤적 비교 (2024 vs 2025 vs 2026 H1) ............................... Page 3</w:t>
      </w:r>
    </w:p>
    <w:p>
      <w:r>
        <w:rPr>
          <w:sz w:val="19"/>
          <w:szCs w:val="19"/>
        </w:rPr>
        <w:t xml:space="preserve">3. 제품 카테고리 및 인치대별 NPI 전환 성과 .......................................................... Page 4</w:t>
      </w:r>
    </w:p>
    <w:p>
      <w:r>
        <w:rPr>
          <w:sz w:val="19"/>
          <w:szCs w:val="19"/>
        </w:rPr>
        <w:t xml:space="preserve">4. 손익 구조 및 마진 건전성 진단 (Pillar 2) ............................................................ Page 5</w:t>
      </w:r>
    </w:p>
    <w:p>
      <w:r>
        <w:rPr>
          <w:sz w:val="19"/>
          <w:szCs w:val="19"/>
        </w:rPr>
        <w:t xml:space="preserve">5. 유통 채널 소진 및 SCM 건강도 (6월말 재고/WOS) ................................................ Page 6</w:t>
      </w:r>
    </w:p>
    <w:p>
      <w:r>
        <w:rPr>
          <w:sz w:val="19"/>
          <w:szCs w:val="19"/>
        </w:rPr>
        <w:t xml:space="preserve">6. 21개 유럽/CIS 법인 4분면 전략 포트폴리오 (Pillar 4) ........................................ Page 7</w:t>
      </w:r>
    </w:p>
    <w:p>
      <w:r>
        <w:rPr>
          <w:sz w:val="19"/>
          <w:szCs w:val="19"/>
        </w:rPr>
        <w:t xml:space="preserve">7. 핵심 5대 법인 (Big 5) 심층 벤치마킹 ................................................................. Page 8</w:t>
      </w:r>
    </w:p>
    <w:p>
      <w:r>
        <w:rPr>
          <w:sz w:val="19"/>
          <w:szCs w:val="19"/>
        </w:rPr>
        <w:t xml:space="preserve">8. 경쟁 환경 및 시장 점유율(M/S) 분석 ................................................................ Page 9</w:t>
      </w:r>
    </w:p>
    <w:p>
      <w:r>
        <w:rPr>
          <w:sz w:val="19"/>
          <w:szCs w:val="19"/>
        </w:rPr>
        <w:t xml:space="preserve">9. 경영진 의사결정 전략 제언 (Action Plan) ............................................................ Page 10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Executive Summary (상반기 핵심 요약)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2026년 상반기 유럽 TV 사업 실적을 과거 2개년과 비교 분석한 결과, 신모델(Y26) 출하량은 375,522대(비중 15.1%)를 기록하며 안정적인 라인업 런칭을 완료하였고, 순매출액 $181.7M(비중 15.4%) 및 OPM 7.9%(영업이익 +$14.4M)를 달성하여 사업부 손익 체질을 성공적으로 견인하였습니다.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2E8F0" w:sz="4"/>
              <w:left w:val="single" w:color="051C2C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신모델 상반기 출하량</w:t>
            </w:r>
          </w:p>
          <w:p>
            <w:r>
              <w:rPr>
                <w:b/>
                <w:bCs/>
                <w:color w:val="051C2C"/>
                <w:sz w:val="28"/>
                <w:szCs w:val="28"/>
              </w:rPr>
              <w:t xml:space="preserve">375,522대</w:t>
            </w:r>
          </w:p>
          <w:p>
            <w:r>
              <w:rPr>
                <w:b/>
                <w:bCs/>
                <w:color w:val="10B981"/>
                <w:sz w:val="17"/>
                <w:szCs w:val="17"/>
              </w:rPr>
              <w:t xml:space="preserve">수량 비중 15.1% ($181.7M)</w:t>
            </w:r>
          </w:p>
        </w:tc>
        <w:tc>
          <w:tcPr>
            <w:tcBorders>
              <w:top w:val="single" w:color="E2E8F0" w:sz="4"/>
              <w:left w:val="single" w:color="10B981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신모델 한계이익률</w:t>
            </w:r>
          </w:p>
          <w:p>
            <w:r>
              <w:rPr>
                <w:b/>
                <w:bCs/>
                <w:color w:val="10B981"/>
                <w:sz w:val="28"/>
                <w:szCs w:val="28"/>
              </w:rPr>
              <w:t xml:space="preserve">27.5%</w:t>
            </w:r>
          </w:p>
          <w:p>
            <w:r>
              <w:rPr>
                <w:b/>
                <w:bCs/>
                <w:color w:val="10B981"/>
                <w:sz w:val="17"/>
                <w:szCs w:val="17"/>
              </w:rPr>
              <w:t xml:space="preserve">구모델(18.7%) 대비 +8.8%p</w:t>
            </w:r>
          </w:p>
        </w:tc>
        <w:tc>
          <w:tcPr>
            <w:tcBorders>
              <w:top w:val="single" w:color="E2E8F0" w:sz="4"/>
              <w:left w:val="single" w:color="A50034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신모델 영업이익</w:t>
            </w:r>
          </w:p>
          <w:p>
            <w:r>
              <w:rPr>
                <w:b/>
                <w:bCs/>
                <w:color w:val="A50034"/>
                <w:sz w:val="28"/>
                <w:szCs w:val="28"/>
              </w:rPr>
              <w:t xml:space="preserve">+$14.4M</w:t>
            </w:r>
          </w:p>
          <w:p>
            <w:r>
              <w:rPr>
                <w:b/>
                <w:bCs/>
                <w:color w:val="A50034"/>
                <w:sz w:val="17"/>
                <w:szCs w:val="17"/>
              </w:rPr>
              <w:t xml:space="preserve">신모델 OPM 7.9%</w:t>
            </w:r>
          </w:p>
        </w:tc>
        <w:tc>
          <w:tcPr>
            <w:tcBorders>
              <w:top w:val="single" w:color="E2E8F0" w:sz="4"/>
              <w:left w:val="single" w:color="D97706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신모델 6월말 WOS</w:t>
            </w:r>
          </w:p>
          <w:p>
            <w:r>
              <w:rPr>
                <w:b/>
                <w:bCs/>
                <w:color w:val="D97706"/>
                <w:sz w:val="28"/>
                <w:szCs w:val="28"/>
              </w:rPr>
              <w:t xml:space="preserve">14.1주</w:t>
            </w:r>
          </w:p>
          <w:p>
            <w:r>
              <w:rPr>
                <w:color w:val="D97706"/>
                <w:sz w:val="17"/>
                <w:szCs w:val="17"/>
              </w:rPr>
              <w:t xml:space="preserve">초기 매장 진열 파이프라인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과거 2개년 대비 성과 평가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2024년(OPM -13.0% 초기 적자) 대비 완전한 흑자 체질로 탈바꿈하여, 2개년 연속 고수익(2025년 11.3%, 2026년 7.9%)을 확립하였습니다.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신모델 차감율은 24.9%로 구모델(28.1%) 대비 -3.2%p 우수하여 출시 초기 판가 프리미엄을 성공적으로 수성했습니다.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구모델 재고 정리 영업손실(-$17.8M)을 신모델 이익(+$14.4M)이 상쇄하여 전체 사업 상반기 영업이익 $71.7M (OPM 5.7%)을 달성했습니다.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과거 2개년 대비 NPI 런칭 궤적 비교 (2024 vs 2025 vs 2026 H1)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과거 2개년 상반기 실적과 2026년 상반기 성과를 비교 분석하여 NPI의 중장기 진화 궤적을 평가하였습니다.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NPI 성과 지표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2024년 H1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2025년 H1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2026년 H1 (Current)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'26 vs '25 YoY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'26 vs '24 증감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출하량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544,507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399,723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375,522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-6.1%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-31.0% (수익중심 정예화)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순매출액 ($M)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$345.0M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$262.2M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$181.7M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-30.7%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-47.3%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Net ASP ($)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$634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$656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$484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-$172 (-26.2%)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-$150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한계이익률 (%)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31.7%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27.5%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-4.2%p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+5.5%p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영업이익률 (OPM)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-13.0% (적자)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11.3%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-3.4%p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+20.9%p (흑자전환)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신모델 수량 비중 (Mix)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17.4%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-0.2%p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-2.3%p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3개년 NPI 궤적 시사점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2024년 H1: 초기 프로모션 비용 과다로 -13.0%의 극심한 런칭 적자 기록.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2025년 H1: 프리미엄 고가 라인업 집중으로 OPM 11.3%의 수익성 피크 달성.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2026년 H1: Net ASP $484로 가격 접근성을 확대하면서도 OPM 7.9%로 2개년 연속 견고한 흑자 체질 안착.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제품 카테고리 및 인치대별 NPI 성과 (상반기)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2026년 상반기 제품 카테고리별 실판매(Sell-out) 및 전환율 분석 결과입니다.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카테고리 및 세부 인치대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신모델(대)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구모델(대)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전체 수량(대)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 전환율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전략적 진단 및 포지셔닝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QNED 전체 요약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28,143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527,940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556,083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Mini LED 프리미엄 대중화 선도 (OLED 대비 2배 속도)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QNED 75"↑ (초대형)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2,381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33,460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35,841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세그먼트 고속 침투 (프리미엄 믹스 견인)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QNED 65/60"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7,236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122,322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129,558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유럽 주력 프리미엄 볼륨 라인업 교체 가속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OLED 전체 요약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14,813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669,867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684,680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상반기 구모델 클리어런스 집중 후 하반기 2차 웨이브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OLED 77"↑ (초대형)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1,666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65,465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67,131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올레드 수요 선점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OLED 65/60"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4,235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192,561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196,796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주력 올레드 신규 라인업 교체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Micro RGB (MRGB 신규)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2,299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2,299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차세대 플래그십 기술 라인업 성공적 최초 런칭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UHD 전체 요약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26,798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485,550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512,348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대형 패널 가격 경쟁력을 바탕으로 빠른 교체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UHD 75"↑ (초대형)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2,640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26,350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28,990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LCD 부문 최고 전환율 달성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NanoCell (나노셀)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218,028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218,028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미출시, 구모델 잔여 재고 정리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FHD / 일반 STV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251,598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251,598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보급형 저수익 라인업 축소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손익 구조 및 마진 건전성 진단 (상반기)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신모델(Y26)과 구모델(Old)의 단위당 손익 및 차감 구조 분석 결과입니다.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손익 세부 항목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유럽 전체 (TTL)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 (Y26)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 (Old)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신·구모델 마진 갭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건전성 평가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Gross Sales (총매출)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$1,625.4M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$242.1M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$1,383.3M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14.9%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진입 초기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차감 (Deduction 금액)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$653.1M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$64.5M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$588.6M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차감비 9.9%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건전 통제 상태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차감율 (Deduction 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27.6%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24.9%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-3.2%p 우수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판가 방어 성공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Net Sales (순매출)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$1,176.4M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$181.7M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$994.7M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15.4%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상반기 목표 부합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Net ASP (평균판매단가)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$472.7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$483.9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$470.7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+$13.2 프리미엄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단가 개선 효과 발휘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한계이익 (Marginal Profit)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$326.3M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$50.0M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$186.0M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15.3%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고마진 기여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한계이익률 (MP 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26.0%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27.5%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+8.8%p 압도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마진 우위 입증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영업이익 (Operating Income)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$71.7M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+$14.4M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-$17.8M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+$32.2M 손익 방어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구모델 적자 완벽 상쇄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영업이익률 (OPM 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-1.8% (적자)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+9.7%p 우수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사업부 흑자 견인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유통 채널 소진 및 SCM 건강도 (6월말 기준)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상반기 Sell-in과 Sell-out 동기화 및 유통재고 주수(WOS) 점검 결과입니다.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SCM &amp; 채널 지표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유럽 전체 (TTL)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 (Y26)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 (Old)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관리 적정선 벤치마크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진단 결과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Sell-in 출하량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2,488,659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375,522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2,113,137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출하 비중 15.1%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Sell-out 소진량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2,433,140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74,601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2,358,539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실판매 비중 3.1%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Sell-through Rate (소진율)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97.8%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19.9%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111.6%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런칭 12주차 70%+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상반기 파이프라인 진입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유통 재고량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711,415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187,144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524,271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재고 비중 26.3%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유통재고 주수 (WOS)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7.1주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14.1주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6.0주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적정 6 ~ 8주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초기 WOS 상승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장기 재고율 (%)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5% 미만 관리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장기재고 0% 건전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21개 유럽/CIS 법인 4분면 전략 포트폴리오 (상반기)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X축: 신모델 매출 비중(%) / Y축: 전체 영업이익률(OPM %) 4분면 분류표입니다.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4분면 구분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해당 법인 및 지점 목록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법인 수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그룹별 핵심 특징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권고 전략 방향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Star (선도 주력형)
[Mix 15%+, OPM 5%+]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스페인(LGEES), 베네룩스(LGEBN), 체코(LGECK),
스웨덴(LGESW), 카자흐스탄(LGEAK), 러시아(LGERA)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전환 쾌속 &amp; 고수익 동시 달성
(스페인: Mix 26.0%, OPM 5.3%, M/S 28.8%)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성공 사례 전파 및 프리미엄 라인업 자원 우선 배분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Cash Cow (수익 안정형)
[Mix &lt;15%, OPM 5%+]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영국(LGEUK), 이탈리아(LGEIS), 헝가리(LGEMK),
폴란드(LGEPL), 스위스(Swiss), 오스트리아(LGEAG),
그리스(LGEHS), 라트비아(LGELA)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수익성은 우수하나 신모델 전환 완만
(영국: 매출 $217.3M, OPM 10.8%, Mix 9.0%)
(이탈리아: 신모델 OPM 15.1%, WOS 37.3주)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2차 램프업 가속 및 매장 전시/프로모션 강화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Question Mark (출혈성장형)
[Mix 15%+, OPM &lt;5%]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독일(LGEDG), 포르투갈(LGEPT), 우크라이나(LGEUR)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침투는 빠르나 차감 과다로 적자
(독일: Mix 23.9%, 신모델 OPM 8.3%, 전체 OPM -1.6%,
차감율 30.4%)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프로모션 승인 통제 및 차감율 25% 이내 축소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Restructuring (부진 위험형)
[Mix &lt;15%, OPM &lt;5%]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프랑스(LGEFS), 루마니아(LGERO)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전환 지연과 구모델 적자 심화
(프랑스: Mix 11.7%, OPM -0.4%, 구모델 OPM -9.9%)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라인업 구조조정, 유통 채널 재정비 및 클리어런스 완판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핵심 5대 법인 (Big 5) 심층 벤치마킹 (상반기)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유럽 TV 핵심 5대 법인의 상반기 실적 정밀 대조 결과입니다.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법인명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전체매출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신모델매출(비중)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신모델ASP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신모델차감율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전체OPM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신모델OPM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구모델OPM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신모델WOS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전략 포지션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스페인 (LGEES)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$145.3M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$37.8M (26.0%)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$366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9.0주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Star (모범 런칭)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영국 (LGEUK)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$217.3M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$19.6M (9.0%)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$453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35.6%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16.9주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Cash Cow (최대수익)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이탈리아 (LGEIS)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$90.0M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$11.2M (12.4%)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$548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25.3%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37.3주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Cash Cow (고마진/WOS)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독일 (LGEDG)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$166.0M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$39.6M (23.9%)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$582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30.4%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-10.2%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23.0주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Question Mark (차감축소)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프랑스 (LGEFS)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$81.0M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$9.5M (11.7%)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$424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-9.9%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18.9주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Restructuring (구조개선)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8. 경쟁 환경 및 시장 점유율(M/S) 분석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GfK MI 데이터 및 시장 판가 인덱스를 통한 주요 경쟁사 대비 분석입니다.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경쟁 브랜드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유럽 시장 M/S (금액)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전년 동기 M/S (YoY)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M/S 증감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시장판가 ASP Index (LG=100)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경쟁 구도 평가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LG Electronics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-1.4%p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100.0 (기준)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OLED/프리미엄 지배력 유지, 볼륨존 방어 필요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Samsung Electronics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34.9%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35.8%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-0.9%p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104.2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QLED/OLED 프리미엄 시장에서 치열한 경합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TCL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+1.9%p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72.4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Mini LED 초대형 저가 공세로 급성장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Hisense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+1.5%p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68.9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유럽 축구 마케팅 연계 볼륨존 점유율 확대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9. 경영진 의사결정 전략 제언 (상반기 기준 Action Plan)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상반기 진단 결과를 바탕으로 한 4대 핵심 경영 실행 과제입니다.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A50034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1. 신모델 차감율 가이드라인 긴급 재정립 (독일, 영국)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신모델 차감율이 30%를 초과하는 독일(30.4%) 및 영국(35.6%) 대상 프로모션 사전 승인제 도입
• 신모델 차감율 상한선을 25% 이내로 통제하여 하반기 매출 확대 시 이익 레버리지 극대화</w:t>
            </w:r>
          </w:p>
        </w:tc>
      </w:tr>
      <w:tr>
        <w:tc>
          <w:tcPr>
            <w:tcBorders>
              <w:top w:val="single" w:color="E2E8F0" w:sz="4"/>
              <w:left w:val="single" w:color="10B981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2. 이탈리아 WOS(37.3주) 조기 소진 및 Sell-out 전환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이탈리아의 신모델 OPM(15.1%) 고수익 체력을 활용하여 유통 매장 엔드유저 판촉비 투입
• 3분기 내 신모델 WOS를 12주 이내, 연말 8주 수준으로 조기 정상화</w:t>
            </w:r>
          </w:p>
        </w:tc>
      </w:tr>
      <w:tr>
        <w:tc>
          <w:tcPr>
            <w:tcBorders>
              <w:top w:val="single" w:color="E2E8F0" w:sz="4"/>
              <w:left w:val="single" w:color="051C2C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3. OLED evo 신모델 2차 웨이브 전면 전개 (IFA 2026)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상반기 구모델(670k) 클리어런스 종료에 발맞추어 하반기 올레드 신모델 전시율 80% 이상 확보
• 77"/83" 초대형 올레드 중심의 프리미엄 마케팅 집행으로 ASP 및 수익성 동시 견인</w:t>
            </w:r>
          </w:p>
        </w:tc>
      </w:tr>
      <w:tr>
        <w:tc>
          <w:tcPr>
            <w:tcBorders>
              <w:top w:val="single" w:color="E2E8F0" w:sz="4"/>
              <w:left w:val="single" w:color="D97706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4. 구모델 잔여 재고 3분기 내 100% 완판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구모델 적자(-$17.8M) 요인을 9월 말까지 완전 제거하여, 4분기에는 100% 신모델 고마진 구조 전환
• 나노셀 및 FHD 구모델은 B2B 특판 및 번들링을 통해 9월 말까지 클리어런스 완료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color w:val="64748B"/>
          <w:sz w:val="18"/>
          <w:szCs w:val="18"/>
        </w:rPr>
        <w:t xml:space="preserve">— 상반기 보고서 종료 (End of H1 Executive Report)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Confidential | For Internal Management Use Only  —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LG Electronics Europe TV Sales | Executive Report (H1 Basis)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2026-09-02T00:45:00.577Z</dcterms:created>
  <dcterms:modified xsi:type="dcterms:W3CDTF">2026-09-02T00:45:00.580Z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