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algun Gothic" w:hAnsi="Malgun Gothic"/>
          <w:b/>
          <w:color w:val="A50034"/>
          <w:sz w:val="22"/>
        </w:rPr>
        <w:t>[경영진 전략 보고]</w:t>
        <w:br/>
      </w:r>
      <w:r>
        <w:rPr>
          <w:rFonts w:ascii="Malgun Gothic" w:hAnsi="Malgun Gothic"/>
          <w:b/>
          <w:color w:val="0F172A"/>
          <w:sz w:val="40"/>
        </w:rPr>
        <w:t>스위스 법인 TV 손익(P&amp;L) 심층 분석 및</w:t>
        <w:br/>
        <w:t>4P 관점의 수익성 혁신 개선 과제</w:t>
      </w:r>
    </w:p>
    <w:p>
      <w:pPr>
        <w:spacing w:before="40" w:after="320"/>
      </w:pPr>
      <w:r>
        <w:rPr>
          <w:rFonts w:ascii="Malgun Gothic" w:hAnsi="Malgun Gothic"/>
          <w:color w:val="64748B"/>
          <w:sz w:val="18"/>
        </w:rPr>
        <w:t>• 보고 대상: TV 유럽영업담당 및 경영진   |   • 분석 기간: 2024년 ~ 2026년 8월 누적 (Jan-Aug YTD 동기 비교)</w:t>
        <w:br/>
        <w:t>• 회계 기준: Standard P&amp;L (공식 결산 실적)   |   • 작성 부서: TV 유럽영업 AX 추진 태스크</w:t>
      </w:r>
    </w:p>
    <w:p>
      <w:pPr>
        <w:spacing w:before="0" w:after="280"/>
      </w:pPr>
      <w:r>
        <w:rPr>
          <w:color w:val="E2E8F0"/>
          <w:sz w:val="18"/>
        </w:rPr>
        <w:t>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A50034"/>
          <w:sz w:val="28"/>
        </w:rPr>
        <w:t>1. 경영진 핵심 요약 (Executive Summary)</w:t>
      </w:r>
    </w:p>
    <w:p>
      <w:pPr>
        <w:spacing w:line="312" w:lineRule="auto" w:after="160"/>
      </w:pPr>
      <w:r>
        <w:rPr>
          <w:rFonts w:ascii="Malgun Gothic" w:hAnsi="Malgun Gothic"/>
          <w:sz w:val="20"/>
        </w:rPr>
        <w:t>스위스 법인(Swiss Branch) TV 사업은 2024년 영업이익률 2.27%($711K)의 저수익 국면에서 2025년 10.91%($3,675K), 2026년 8월 누적 기준 13.78%($4,972K)로 3개년 만에 7배에 달하는 비약적인 영업이익 성장을 달성하며 유럽 내 최고 수준의 고수익 거점으로 부상했습니다. 그러나 장부상 호실적의 이면을 정밀 분해한 결과, 구조적 마진 침하와 채널 왜곡이 심화되는 중대한 리스크가 포착되었습니다.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75"/>
      </w:tblGrid>
      <w:tr>
        <w:tc>
          <w:tcPr>
            <w:tcW w:type="dxa" w:w="9360"/>
            <w:shd w:val="clear" w:color="auto" w:fill="FFF5F5"/>
            <w:tcBorders>
              <w:left w:val="single" w:sz="28" w:space="0" w:color="A50034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A50034"/>
                <w:sz w:val="21"/>
              </w:rPr>
              <w:t>■ 경영진 주목 핵심 리스크 (Key Strategic Alerts)</w:t>
            </w:r>
          </w:p>
          <w:p>
            <w:pPr>
              <w:spacing w:before="40" w:after="40" w:line="288" w:lineRule="auto"/>
            </w:pPr>
            <w:r>
              <w:rPr>
                <w:rFonts w:ascii="Malgun Gothic" w:hAnsi="Malgun Gothic"/>
                <w:color w:val="1E293B"/>
                <w:sz w:val="19"/>
              </w:rPr>
              <w:t>1. 원가 절감 의존 마진 방어의 한계: '26년 영업이익 증가분(+$1,297K) 중 변동원가 절감 효과가 +$1,615K로 이익 성장을 전담했습니다. 반면 순수 판가 효과(Price Effect)는 -$653K로 훼손되었으며 출하 ASP도 $893.2에서 $874.8로 -$18.3 하락했습니다. 향후 원가 절감 여력이 소진될 경우 판가 침하가 이익률 급락으로 직결될 위험이 상존합니다.</w:t>
            </w:r>
          </w:p>
          <w:p>
            <w:pPr>
              <w:spacing w:before="40" w:after="40" w:line="288" w:lineRule="auto"/>
            </w:pPr>
            <w:r>
              <w:rPr>
                <w:rFonts w:ascii="Malgun Gothic" w:hAnsi="Malgun Gothic"/>
                <w:color w:val="1E293B"/>
                <w:sz w:val="19"/>
              </w:rPr>
              <w:t>2. 대형 양판 유통(MSH / FUST) 적자 고착화: 매출 2위 유통인 MSH(MediaMarkt, 비중 18.5%)는 매출차감률(S/D%)이 38.0%에 달해 COI -6.5%(-$430K 적자)를 기록하고 있으며, FUST(비중 6.5%) 역시 S/D% 38.3%, COI -4.3%(-$100K 적자)로 만성 적자 상태입니다. 단 2개 채널에서만 8개월간 -$530K의 마진 누수가 발생하여 Alltron, EP 등 전문 총판이 벌어들인 고수익을 갉아먹고 있습니다.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Malgun Gothic" w:hAnsi="Malgun Gothic"/>
          <w:b/>
          <w:color w:val="A50034"/>
          <w:sz w:val="28"/>
        </w:rPr>
        <w:t>2. 3개년(2024~2026.08) 누적 손익 실적 비교 및 분해</w:t>
      </w:r>
    </w:p>
    <w:p>
      <w:pPr>
        <w:pStyle w:val="Heading2"/>
        <w:spacing w:before="120" w:after="80"/>
      </w:pPr>
      <w:r>
        <w:rPr>
          <w:rFonts w:ascii="Malgun Gothic" w:hAnsi="Malgun Gothic"/>
          <w:b/>
          <w:color w:val="1E293B"/>
          <w:sz w:val="22"/>
        </w:rPr>
        <w:t>2.1 표준 손익계산서 비교 (Standard P&amp;L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2"/>
        <w:gridCol w:w="1562"/>
        <w:gridCol w:w="1562"/>
        <w:gridCol w:w="1562"/>
        <w:gridCol w:w="1562"/>
        <w:gridCol w:w="1562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손익 계정 항목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2024년 1~8월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2025년 1~8월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2026년 1~8월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YoY 증감 ('26 vs '25)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A50034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2개년 증감 ('26 vs '24)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판매 수량 (Qty, 대)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41,510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37,697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41,239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+3,542 (+9.4%)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-271 (-0.7%)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Gross Sales (총매출)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$42,278K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$44,332K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$47,425K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+$3,093K (+7.0%)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+$5,147K (+12.2%)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(-) Sales Deduction (할인/공제)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$11,005K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$10,662K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$11,348K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+$686K (+6.4%)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+$343K (+3.1%)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 xml:space="preserve">    └ 매출차감률 (S/D%)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26.03%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24.05%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23.93%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-0.12%p 개선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-2.10%p 개선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Net Sales (순매출액)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$31,273K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$33,670K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$36,077K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+$2,407K (+7.1%)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+$4,804K (+15.4%)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출하 단가 (ASP, $)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$753.4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$893.2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$874.8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-$18.3 (-2.1%)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+$121.5 (+16.1%)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(-) 재료비 (Material Cost)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$20,225K (64.7%)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$19,375K (57.5%)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$20,368K (56.5%)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-1.08%p 개선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-8.21%p 개선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(-) COGS (매출원가 합계)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$22,096K (70.7%)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$21,204K (63.0%)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$20,922K (58.0%)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-4.99%p 개선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-12.67%p 개선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Marginal Profit (한계이익, MP)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$9,409K (30.1%)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$12,656K (37.6%)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$14,354K (39.8%)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+$1,698K (+2.2%p)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+$4,945K (+9.7%p)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color w:val="334155"/>
                <w:sz w:val="16"/>
              </w:rPr>
              <w:t>(-) SG&amp;A (판관비 합계)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$8,466K (27.1%)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$8,791K (26.1%)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$10,183K (28.2%)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+$1,392K (+2.1%p)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color w:val="334155"/>
                <w:sz w:val="16"/>
              </w:rPr>
              <w:t>+$1,717K (+1.1%p)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Operating Income (영업이익, COI)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$711K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$3,675K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$4,972K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+$1,297K (+35.3%)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A50034"/>
                <w:sz w:val="17"/>
              </w:rPr>
              <w:t>+$4,261K (7.0배)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 xml:space="preserve">    └ 영업이익률 (COI%)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2.27%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10.91%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13.78%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+2.87%p 상승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+11.51%p 상승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Malgun Gothic" w:hAnsi="Malgun Gothic"/>
          <w:b/>
          <w:color w:val="1E293B"/>
          <w:sz w:val="22"/>
        </w:rPr>
        <w:t>2.2 YoY 영업이익 변동 요인 Waterfall Bridge ('25년 누적 vs '26년 누적)</w:t>
      </w:r>
    </w:p>
    <w:p>
      <w:pPr>
        <w:spacing w:line="312" w:lineRule="auto" w:after="120"/>
      </w:pPr>
      <w:r>
        <w:rPr>
          <w:rFonts w:ascii="Malgun Gothic" w:hAnsi="Malgun Gothic"/>
          <w:sz w:val="19"/>
        </w:rPr>
        <w:t>2025년 8월 누적 영업이익 $3,675K에서 2026년 $4,972K로의 +$1,297K 증가 요인을 브릿지 분석한 결과는 다음과 같습니다:</w:t>
        <w:br/>
        <w:t>• 2025년 8월 누적 영업이익 기저: $3,674.7K</w:t>
        <w:br/>
        <w:t xml:space="preserve">  [+] 판매량 효과 (Volume Effect): +$345.3K (수량 37.7K대 → 41.2K대로 +9.4% 증가 기여)</w:t>
        <w:br/>
        <w:t xml:space="preserve">  [-] 순수 판가 효과 (Price Effect): -$653.5K (OLED/QNED 출하 단가 침하에 따른 직접 마진 훼손)</w:t>
        <w:br/>
        <w:t xml:space="preserve">  [+] 매출차감률 개선 (S/D Effect): +$213.4K (전체 S/D% 24.05% → 23.93%로 -0.12%p 축소 효과)</w:t>
        <w:br/>
        <w:t xml:space="preserve">  [+] 변동 제조원가 절감 (Var COGS Effect): +$1,614.6K (패널가 및 재료비 개선의 압도적 마진 방어)</w:t>
        <w:br/>
        <w:t xml:space="preserve">  [-] 고정비/기타 경비 증가 (Fixed O/H Effect): -$400.5K (물류비 및 고정 판매관리비 증가 부담)</w:t>
        <w:br/>
        <w:t xml:space="preserve">  [+] 결산 보정/기타 Gap: +$178.1K</w:t>
        <w:br/>
        <w:t>• 2026년 8월 누적 영업이익 달성액: $4,972.2K (최종 +$1,297.5K 성장)</w:t>
      </w:r>
    </w:p>
    <w:p>
      <w:pPr>
        <w:pStyle w:val="Heading1"/>
        <w:spacing w:before="280" w:after="120"/>
      </w:pPr>
      <w:r>
        <w:rPr>
          <w:rFonts w:ascii="Malgun Gothic" w:hAnsi="Malgun Gothic"/>
          <w:b/>
          <w:color w:val="A50034"/>
          <w:sz w:val="28"/>
        </w:rPr>
        <w:t>3. 4P 영역별 심층 데이터 진단 (Data-driven 4P Diagnostics)</w:t>
      </w:r>
    </w:p>
    <w:p>
      <w:pPr>
        <w:pStyle w:val="Heading2"/>
        <w:spacing w:before="80" w:after="80"/>
      </w:pPr>
      <w:r>
        <w:rPr>
          <w:rFonts w:ascii="Malgun Gothic" w:hAnsi="Malgun Gothic"/>
          <w:b/>
          <w:color w:val="1E293B"/>
          <w:sz w:val="22"/>
        </w:rPr>
        <w:t>3.1 [Product] 제품 세그먼트별 실적 및 인치대별 믹스 진단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세그먼트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2024 수량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2025 수량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2026 수량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2026 매출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매출 비중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2026 ASP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2026 S/D%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2026 COI% (금액)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5"/>
              </w:rPr>
              <w:t>OLED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17,930대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18,443대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20,940대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sz w:val="15"/>
              </w:rPr>
              <w:t>$24.10M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66.8%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$1,150.8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24.4%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AF5FF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sz w:val="15"/>
              </w:rPr>
              <w:t>9.4% ($2,272K)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5"/>
              </w:rPr>
              <w:t>QNED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4,162대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7,536대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9,695대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$5.63M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15.6%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$580.9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26.2%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7.7% ($436K)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5"/>
              </w:rPr>
              <w:t>MRGB (신규)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-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-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647대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$0.58M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1.6%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$890.2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5"/>
              </w:rPr>
              <w:t>22.5%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sz w:val="15"/>
              </w:rPr>
              <w:t>17.9% ($103K)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5"/>
              </w:rPr>
              <w:t>UHD (엔트리)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17,207대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10,003대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7,709대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$3.79M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10.5%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$491.2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17.6%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11.6% ($441K)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5"/>
              </w:rPr>
              <w:t>FHD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2,211대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1,715대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2,248대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$0.97M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2.7%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$430.0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22.3%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3.2% ($31K)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5"/>
              </w:rPr>
              <w:t>Others(정산)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$1.02M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2.8%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5"/>
              </w:rPr>
              <w:t>- ($1,690K)</w:t>
            </w:r>
          </w:p>
        </w:tc>
      </w:tr>
    </w:tbl>
    <w:p>
      <w:pPr>
        <w:spacing w:line="300" w:lineRule="auto" w:before="80" w:after="160"/>
      </w:pPr>
      <w:r>
        <w:rPr>
          <w:rFonts w:ascii="Malgun Gothic" w:hAnsi="Malgun Gothic"/>
          <w:color w:val="475569"/>
          <w:sz w:val="17"/>
        </w:rPr>
        <w:t>• 진단 시사점: OLED는 지점 매출의 66.8%와 영업이익의 46%를 견인하는 핵심 기둥이나, 55형 이하 볼륨 확대로 ASP가 전년 $1,227에서 $1,151로 하락했습니다. QNED는 9.7K대로 수량이 급증했으나 ASP $581, S/D% 26.2%로 엔트리급 과다 프로모션이 전개되었습니다. 반면 2026년 런칭한 MRGB는 647대 판매, COI% 17.9%로 초고수익 모델로서의 확장 가능성을 입증했습니다.</w:t>
      </w:r>
    </w:p>
    <w:p>
      <w:pPr>
        <w:pStyle w:val="Heading2"/>
        <w:spacing w:before="120" w:after="80"/>
      </w:pPr>
      <w:r>
        <w:rPr>
          <w:rFonts w:ascii="Malgun Gothic" w:hAnsi="Malgun Gothic"/>
          <w:b/>
          <w:color w:val="1E293B"/>
          <w:sz w:val="22"/>
        </w:rPr>
        <w:t>3.2 [Place &amp; Promotion] 주요 유통 거래선별 손익 성적표 및 리베이트 편차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유통 거래선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채널 유형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2026 판매량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매출액 (Net)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매출 비중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출하 ASP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S/D% (할인율)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한계이익률 (MP%)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영업이익률 (COI%)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영업이익 금액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334155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진단 등급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Conforama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대형 양판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13,124대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$8,681K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24.1%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$662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21.6%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38.9%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12.9%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+$1,122K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4"/>
              </w:rPr>
              <w:t>우량 볼륨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4"/>
              </w:rPr>
              <w:t>MSH (MediaMarkt)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 w:val="0"/>
                <w:sz w:val="14"/>
              </w:rPr>
              <w:t>대형 가전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8,722대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$6,657K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18.5%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$763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38.0%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26.2%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-6.5%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-$430K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sz w:val="14"/>
              </w:rPr>
              <w:t>심각 적자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4"/>
              </w:rPr>
              <w:t>Alltron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 w:val="0"/>
                <w:sz w:val="14"/>
              </w:rPr>
              <w:t>전문 총판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4,416대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$5,136K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14.2%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$1,163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4.0%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46.5%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26.3%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+$1,351K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sz w:val="14"/>
              </w:rPr>
              <w:t>최고 효자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4"/>
              </w:rPr>
              <w:t>EP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 w:val="0"/>
                <w:sz w:val="14"/>
              </w:rPr>
              <w:t>전문점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3,981대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$4,885K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13.5%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$1,227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5.9%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44.7%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23.8%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059669"/>
                <w:sz w:val="14"/>
              </w:rPr>
              <w:t>+$1,163K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ECFDF5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sz w:val="14"/>
              </w:rPr>
              <w:t>최고 효자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Online (자사몰)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D2C 온라인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2,999대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$3,428K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9.5%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$1,143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21.8%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41.3%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15.4%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+$527K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4"/>
              </w:rPr>
              <w:t>고수익 D2C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Interdiscount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4"/>
              </w:rPr>
              <w:t>전자 양판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3,375대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$2,670K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7.4%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$791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32.9%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33.4%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2.8%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sz w:val="14"/>
              </w:rPr>
              <w:t>+$74K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4"/>
              </w:rPr>
              <w:t>저마진 경계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sz w:val="14"/>
              </w:rPr>
              <w:t>FUST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 w:val="0"/>
                <w:sz w:val="14"/>
              </w:rPr>
              <w:t>주방/가전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3,228대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$2,343K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6.5%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$726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38.3%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 w:val="0"/>
                <w:sz w:val="14"/>
              </w:rPr>
              <w:t>28.8%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-4.3%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/>
                <w:b/>
                <w:color w:val="DC2626"/>
                <w:sz w:val="14"/>
              </w:rPr>
              <w:t>-$100K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val="clear" w:color="auto" w:fill="FEF2F2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sz w:val="14"/>
              </w:rPr>
              <w:t>만성 적자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Malgun Gothic" w:hAnsi="Malgun Gothic"/>
          <w:b/>
          <w:color w:val="A50034"/>
          <w:sz w:val="28"/>
        </w:rPr>
        <w:t>4. 4P 혁신 개선 과제 및 실행 로드맵 (Strategic Action Plan)</w:t>
      </w:r>
    </w:p>
    <w:p>
      <w:pPr>
        <w:pStyle w:val="Heading2"/>
        <w:spacing w:before="160" w:after="60"/>
      </w:pPr>
      <w:r>
        <w:rPr>
          <w:rFonts w:ascii="Malgun Gothic" w:hAnsi="Malgun Gothic"/>
          <w:b/>
          <w:color w:val="A50034"/>
          <w:sz w:val="22"/>
        </w:rPr>
        <w:t>■ PRODUCT (제품 믹스 고도화): OLED 초대형 프리미엄 고착화 &amp; QNED 라인업 재정립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1. OLED 65형 이상 및 C/G 시리즈 믹스 비중 50% 이상 확대: 인치당 판가 방어 및 프리미엄 사운드바 번들링 판촉 집중.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2. QNED 미니LED 중심 고수익 포지셔닝 전환: 저가 QNED80 공급 쿼터를 축소하고 고마진 QNED85/90 마케팅 펀드 신설.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3. MRGB / 라이프스타일 전시 120개점 확대: 스위스 고소득 인테리어 수요층 공략 (StanbyME, Posé, Easel 등 고수익 라인업 전진 배치).</w:t>
      </w:r>
    </w:p>
    <w:p>
      <w:pPr>
        <w:pStyle w:val="Heading2"/>
        <w:spacing w:before="160" w:after="60"/>
      </w:pPr>
      <w:r>
        <w:rPr>
          <w:rFonts w:ascii="Malgun Gothic" w:hAnsi="Malgun Gothic"/>
          <w:b/>
          <w:color w:val="A50034"/>
          <w:sz w:val="22"/>
        </w:rPr>
        <w:t>■ PRICE (가격 방어력 확립): 판가 하한선(Floor Price) 가이드라인 엄격 통제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1. MAP (Minimum Advertised Price) 제도 의무화: 온라인 최저가 덤핑 유통에 대해 마케팅 지원금 자동 유예 페널티 시행.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2. 본사 원가 절감분의 판가 인하 전이 차단: 절감 마진을 법인 영업이익 유보금으로 확보하는 가격 승인 프로세스 구축.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3. 채널별 전용 파생 모델(Derivation) 분리: 대형 양판점(MSH/Conforama)과 전문 총판(Alltron/EP) 스펙 이원화로 가격 비교 방지.</w:t>
      </w:r>
    </w:p>
    <w:p>
      <w:pPr>
        <w:pStyle w:val="Heading2"/>
        <w:spacing w:before="160" w:after="60"/>
      </w:pPr>
      <w:r>
        <w:rPr>
          <w:rFonts w:ascii="Malgun Gothic" w:hAnsi="Malgun Gothic"/>
          <w:b/>
          <w:color w:val="A50034"/>
          <w:sz w:val="22"/>
        </w:rPr>
        <w:t>■ PLACE (유통 채널 정상화): 적자 유통(MSH / FUST) 정상화 및 고수익 총판 공급 우선권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1. MSH / FUST 비상 수익성 개선 TF 가동: S/D 상한선(Cap) 28% 강제 제한 및 COI +2% 미달 모델 출하 즉각 중단.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2. Alltron / EP 고수익 총판 우대 인센티브: 신제품 2~4주 독점 선공급권 부여 및 분기 목표 달성 성과급(Rebate 2%) 지급.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3. 자사몰(Online D2C) 매출 비중 15% 확대: 전용 설치 및 보증 3년 번들 프로모션을 통해 유통 마진 누수 없는 채널 육성.</w:t>
      </w:r>
    </w:p>
    <w:p>
      <w:pPr>
        <w:pStyle w:val="Heading2"/>
        <w:spacing w:before="160" w:after="60"/>
      </w:pPr>
      <w:r>
        <w:rPr>
          <w:rFonts w:ascii="Malgun Gothic" w:hAnsi="Malgun Gothic"/>
          <w:b/>
          <w:color w:val="A50034"/>
          <w:sz w:val="22"/>
        </w:rPr>
        <w:t>■ PROMOTION (판촉 효율 극대화): Sell-In 일괄 리베이트 축소 및 실판매(Sell-Out) 연동형 전환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1. 관행적 Sell-In 기본 리베이트(Trade Term) 2~3%p 삭감: 입점 조건 일괄 보조금을 축소하여 유통 밀어넣기(Push) 차단.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2. 최종 소비자 직접 캐시백 캠페인: 유통 마진 잠식 방지를 위한 '스위스 전국 OLED 캐시백(CHF 200~500)' 직접 환급 캠페인 전환.</w:t>
      </w:r>
    </w:p>
    <w:p>
      <w:pPr>
        <w:spacing w:before="20" w:after="40" w:line="288" w:lineRule="auto"/>
      </w:pPr>
      <w:r>
        <w:rPr>
          <w:rFonts w:ascii="Malgun Gothic" w:hAnsi="Malgun Gothic"/>
          <w:sz w:val="19"/>
        </w:rPr>
        <w:t>3. 유통 Co-Op 광고비 전수 감사 및 회수: 전단/배너 게재 내역 전수 검증 및 ROI 기준 미달 시 차기 지원금 즉시 삭감.</w:t>
      </w:r>
    </w:p>
    <w:p>
      <w:pPr>
        <w:pStyle w:val="Heading1"/>
        <w:spacing w:before="280" w:after="120"/>
      </w:pPr>
      <w:r>
        <w:rPr>
          <w:rFonts w:ascii="Malgun Gothic" w:hAnsi="Malgun Gothic"/>
          <w:b/>
          <w:color w:val="A50034"/>
          <w:sz w:val="28"/>
        </w:rPr>
        <w:t>5. 재무적 기대 효과 및 단계별 실행 마일스톤</w:t>
      </w:r>
    </w:p>
    <w:p>
      <w:pPr>
        <w:spacing w:line="312" w:lineRule="auto" w:after="120"/>
      </w:pPr>
      <w:r>
        <w:rPr>
          <w:rFonts w:ascii="Malgun Gothic" w:hAnsi="Malgun Gothic"/>
          <w:sz w:val="19"/>
        </w:rPr>
        <w:t>상기 4P 과제 실행 시 기대되는 재무적 성과는 다음과 같이 산출됩니다:</w:t>
        <w:br/>
        <w:t>• MSH S/D% 정상화 (38.0% → 28.0% 감축): 연간 +$1,073K 이익 개선 (흑자 전환 COI +3.5%)</w:t>
        <w:br/>
        <w:t>• FUST S/D% 정상화 (38.3% → 28.0% 감축): 연간 +$391K 이익 개선 (흑자 전환 COI +5.2%)</w:t>
        <w:br/>
        <w:t>• QNED S/D% 정상화 (26.2% → 20.5% 감축): 연간 +$321K 이익 개선</w:t>
        <w:br/>
        <w:t>▶ 전사 합산 영업이익 개선 효과: 연간 +$1,785K (스위스 법인 영업이익률 13.78% → 17.15% 도약)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4"/>
        <w:gridCol w:w="2344"/>
        <w:gridCol w:w="2344"/>
        <w:gridCol w:w="2344"/>
      </w:tblGrid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A50034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추진 단계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A50034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시기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A50034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핵심 실행 목표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A50034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세부 조치 내용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Phase 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'26. 10월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MSH/FUST 거래 조건 재협상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S/D 상한선(28%) 통보, 최저 출하가 가이드라인 공표 및 Black Friday 가이드라인 합의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Phase 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'26. 11~12월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성수기 Sell-Out 프로모션 전개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OLED 초대형 스위스 전국 소비자 캐시백 가동, Alltron/EP 독점 모델 집중 판촉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Phase 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'27. 1분기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2027년 신모델 라인업/가격 재편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Y27 신모델 채널 전용 파생 모델 체계 안착, QNED 미니LED 비중 확대, MRGB 매장 120점 확대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Phase 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/>
                <w:sz w:val="16"/>
              </w:rPr>
              <w:t>'27. 상반기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COI 15% 이상 상시 고수익 정착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algun Gothic" w:hAnsi="Malgun Gothic"/>
                <w:sz w:val="16"/>
              </w:rPr>
              <w:t>스위스 법인 연간 매출 $55M+, COI% 15.0% 이상 상시 달성, 자사몰 비중 15% 돌파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267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94A3B8"/>
        <w:sz w:val="17"/>
      </w:rPr>
      <w:t>대외비 (Confidential) - 사내 한정 배포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94A3B8"/>
        <w:sz w:val="17"/>
      </w:rPr>
      <w:t>LG Electronics Europe • TV Sales Management • Swiss Branch P&amp;L &amp; 4P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