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A50034"/>
          <w:sz w:val="17"/>
        </w:rPr>
        <w:t>LGE INTERNAL CONFIDENTIAL ｜ 경영진 보고용 (대외비)</w:t>
      </w:r>
    </w:p>
    <w:p>
      <w:pPr>
        <w:spacing w:after="40"/>
      </w:pPr>
      <w:r>
        <w:rPr>
          <w:b/>
          <w:color w:val="0F172A"/>
          <w:sz w:val="44"/>
        </w:rPr>
        <w:t>스위스 지점 2026년 7월 경영 성과 및 사업현황</w:t>
      </w:r>
    </w:p>
    <w:p>
      <w:pPr>
        <w:spacing w:after="280"/>
      </w:pPr>
      <w:r>
        <w:rPr>
          <w:color w:val="64748B"/>
          <w:sz w:val="22"/>
        </w:rPr>
        <w:t>TV Europe Sales Multi-Agent System 실결산 분석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보고 대상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유럽영업 경영진 / 사업총괄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작성 부서</w:t>
            </w:r>
          </w:p>
        </w:tc>
        <w:tc>
          <w:tcPr>
            <w:tcW w:type="dxa" w:w="3125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유럽영업 AX 추진팀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기준 시점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2026년 7월 (2026.07 NERP 결산)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데이터 소스</w:t>
            </w:r>
          </w:p>
        </w:tc>
        <w:tc>
          <w:tcPr>
            <w:tcW w:type="dxa" w:w="3125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P&amp;L Analysis / KPI Sheet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1. 7월 핵심 경영 지표 총괄 요약 (Executive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7월 Net Sales (매출)</w:t>
              <w:br/>
            </w:r>
            <w:r>
              <w:rPr>
                <w:b/>
                <w:color w:val="0F172A"/>
                <w:sz w:val="30"/>
              </w:rPr>
              <w:t>$3.83M</w:t>
              <w:br/>
            </w:r>
            <w:r>
              <w:rPr>
                <w:b/>
                <w:color w:val="0D9488"/>
                <w:sz w:val="15"/>
              </w:rPr>
              <w:t>전월비 -1.1% (비수기 선방)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7월 영업이익 (COI)</w:t>
              <w:br/>
            </w:r>
            <w:r>
              <w:rPr>
                <w:b/>
                <w:color w:val="0F172A"/>
                <w:sz w:val="30"/>
              </w:rPr>
              <w:t>+$430.6K</w:t>
              <w:br/>
            </w:r>
            <w:r>
              <w:rPr>
                <w:b/>
                <w:color w:val="0D9488"/>
                <w:sz w:val="15"/>
              </w:rPr>
              <w:t>OPM 11.2% (유럽 최고)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10B981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한계이익률 (MP)</w:t>
              <w:br/>
            </w:r>
            <w:r>
              <w:rPr>
                <w:b/>
                <w:color w:val="0F172A"/>
                <w:sz w:val="30"/>
              </w:rPr>
              <w:t>41.6%</w:t>
              <w:br/>
            </w:r>
            <w:r>
              <w:rPr>
                <w:b/>
                <w:color w:val="0D9488"/>
                <w:sz w:val="15"/>
              </w:rPr>
              <w:t>OLED 고마진 비중 유지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E11D4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유통 재고 주수 (WOS)</w:t>
              <w:br/>
            </w:r>
            <w:r>
              <w:rPr>
                <w:b/>
                <w:color w:val="0F172A"/>
                <w:sz w:val="30"/>
              </w:rPr>
              <w:t>11.8주</w:t>
              <w:br/>
            </w:r>
            <w:r>
              <w:rPr>
                <w:b/>
                <w:color w:val="E11D48"/>
                <w:sz w:val="15"/>
              </w:rPr>
              <w:t>⚠️ 위험 감지 (유럽 4위)</w:t>
            </w:r>
          </w:p>
        </w:tc>
      </w:tr>
    </w:tbl>
    <w:p>
      <w:pPr>
        <w:spacing w:after="160"/>
      </w:pPr>
    </w:p>
    <w:p>
      <w:pPr>
        <w:spacing w:line="300" w:lineRule="auto" w:after="200"/>
      </w:pPr>
      <w:r>
        <w:rPr>
          <w:b/>
        </w:rPr>
        <w:t xml:space="preserve">■ 총평: </w:t>
      </w:r>
      <w:r>
        <w:t>2026년 7월 스위스 지점은 하절기 비수기 진입에도 불구하고 순매출 $3.83M, 영업이익 +$430.6K(영업이익률 11.2%)의 우수한 실적을 거두었습니다. 스위스 지점의 OPM 11.2%는 유럽 21개 지사 평균(4.8%)을 +6.4%p 크게 상회하는 최고 수준의 수익성입니다. 다만 유통 하계 프로모션 확대로 차감율이 24.9%로 상승하였으며, 유통 재고 주수(WOS)가 11.8주까지 누적되어 유럽 권역 내 4위의 고위험군으로 진입함에 따라 4분기 신모델 전환 전 긴급 재고 해소 조치가 요구됩니다.</w:t>
      </w:r>
    </w:p>
    <w:p>
      <w:pPr>
        <w:spacing w:before="240" w:after="120"/>
      </w:pPr>
      <w:r>
        <w:rPr>
          <w:b/>
          <w:color w:val="0F172A"/>
          <w:sz w:val="26"/>
        </w:rPr>
        <w:t>2. 월별 손익 구조 및 상세 비교 (P&amp;L Analysis)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592"/>
            <w:tcMar>
              <w:top w:w="110" w:type="dxa"/>
              <w:bottom w:w="11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손익 지표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2026년 6월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2026년 7월 (당월)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2026년 8월</w:t>
            </w:r>
          </w:p>
        </w:tc>
        <w:tc>
          <w:tcPr>
            <w:tcW w:type="dxa" w:w="1901"/>
            <w:tcMar>
              <w:top w:w="110" w:type="dxa"/>
              <w:bottom w:w="11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최근 3개월 합산/평균</w:t>
            </w:r>
          </w:p>
        </w:tc>
      </w:tr>
      <w:tr>
        <w:tc>
          <w:tcPr>
            <w:tcW w:type="dxa" w:w="2592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8"/>
              </w:rPr>
              <w:t>Net Sales (순매출)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8"/>
              </w:rPr>
              <w:t>$3,875.6K ($3.88M)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$3,832.0K ($3.83M)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8"/>
              </w:rPr>
              <w:t>$3,661.4K ($3.66M)</w:t>
            </w:r>
          </w:p>
        </w:tc>
        <w:tc>
          <w:tcPr>
            <w:tcW w:type="dxa" w:w="1901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$11,369.0K ($11.37M)</w:t>
            </w:r>
          </w:p>
        </w:tc>
      </w:tr>
      <w:tr>
        <w:tc>
          <w:tcPr>
            <w:tcW w:type="dxa" w:w="2592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8"/>
              </w:rPr>
              <w:t>영업이익 (COI)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8"/>
              </w:rPr>
              <w:t>$543.5K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8"/>
              </w:rPr>
              <w:t>$430.6K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8"/>
              </w:rPr>
              <w:t>$397.0K</w:t>
            </w:r>
          </w:p>
        </w:tc>
        <w:tc>
          <w:tcPr>
            <w:tcW w:type="dxa" w:w="1901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+$1,371.1K (+$1.37M)</w:t>
            </w:r>
          </w:p>
        </w:tc>
      </w:tr>
      <w:tr>
        <w:tc>
          <w:tcPr>
            <w:tcW w:type="dxa" w:w="2592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8"/>
              </w:rPr>
              <w:t>영업이익률 (OPM)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8"/>
              </w:rPr>
              <w:t>14.0%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11.2%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8"/>
              </w:rPr>
              <w:t>10.8%</w:t>
            </w:r>
          </w:p>
        </w:tc>
        <w:tc>
          <w:tcPr>
            <w:tcW w:type="dxa" w:w="1901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평균 12.1%</w:t>
            </w:r>
          </w:p>
        </w:tc>
      </w:tr>
      <w:tr>
        <w:tc>
          <w:tcPr>
            <w:tcW w:type="dxa" w:w="2592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8"/>
              </w:rPr>
              <w:t>한계이익률 (MP Rate)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8"/>
              </w:rPr>
              <w:t>42.7%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41.6%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8"/>
              </w:rPr>
              <w:t>41.3%</w:t>
            </w:r>
          </w:p>
        </w:tc>
        <w:tc>
          <w:tcPr>
            <w:tcW w:type="dxa" w:w="1901"/>
            <w:tcMar>
              <w:top w:w="110" w:type="dxa"/>
              <w:bottom w:w="11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평균 41.8%</w:t>
            </w:r>
          </w:p>
        </w:tc>
      </w:tr>
      <w:tr>
        <w:tc>
          <w:tcPr>
            <w:tcW w:type="dxa" w:w="2592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8"/>
              </w:rPr>
              <w:t>Sales Deduction (차감율)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8"/>
              </w:rPr>
              <w:t>22.2%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8"/>
              </w:rPr>
              <w:t>24.9%</w:t>
            </w:r>
          </w:p>
        </w:tc>
        <w:tc>
          <w:tcPr>
            <w:tcW w:type="dxa" w:w="1656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8"/>
              </w:rPr>
              <w:t>25.5%</w:t>
            </w:r>
          </w:p>
        </w:tc>
        <w:tc>
          <w:tcPr>
            <w:tcW w:type="dxa" w:w="1901"/>
            <w:tcMar>
              <w:top w:w="110" w:type="dxa"/>
              <w:bottom w:w="11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평균 24.2%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 xml:space="preserve">• 고마진 프리미엄 믹스 효과: </w:t>
      </w:r>
      <w:r>
        <w:t>스위스는 65/77인치 대형 OLED 중심의 프리미엄 판매 비중이 70% 이상을 점유하며, 한계이익률(MP Rate)이 41.6%로 견고하게 유지되고 있습니다.</w:t>
        <w:br/>
      </w:r>
      <w:r>
        <w:rPr>
          <w:b/>
        </w:rPr>
        <w:t xml:space="preserve">• 유통 판촉비(BTL) 증가세: </w:t>
      </w:r>
      <w:r>
        <w:t>6월 22.2%에서 7월 24.9%, 8월 25.5%로 Sales Deduction이 지속 상승하고 있으며, 이는 오프라인 양판점 여름 세일 행사 비용 분담 확대에 따른 영향입니다.</w:t>
      </w:r>
    </w:p>
    <w:p>
      <w:pPr>
        <w:spacing w:before="240" w:after="120"/>
      </w:pPr>
      <w:r>
        <w:rPr>
          <w:b/>
          <w:color w:val="0F172A"/>
          <w:sz w:val="26"/>
        </w:rPr>
        <w:t>3. 시장 경쟁력 및 유통 판가 동향 (M/S &amp; Price Gap)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현지 핵심 유통사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LG OLED65C4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Samsung 65S90D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Gap (LG - SAM)</w:t>
            </w:r>
          </w:p>
        </w:tc>
        <w:tc>
          <w:tcPr>
            <w:tcW w:type="dxa" w:w="1901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유통 특이사항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Digitec Galaxus (온라인 1위)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CHF 1,599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CHF 1,549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+CHF 50 (+3.2%)</w:t>
            </w:r>
          </w:p>
        </w:tc>
        <w:tc>
          <w:tcPr>
            <w:tcW w:type="dxa" w:w="19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온라인 단독 번들 프로모션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Interdiscount (오프라인 1위)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CHF 1,649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CHF 1,599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+CHF 50 (+3.1%)</w:t>
            </w:r>
          </w:p>
        </w:tc>
        <w:tc>
          <w:tcPr>
            <w:tcW w:type="dxa" w:w="1901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주말 게릴라 쿠폰 적용 중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Fust (하이엔드 가전)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CHF 1,699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CHF 1,649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+CHF 50 (+3.0%)</w:t>
            </w:r>
          </w:p>
        </w:tc>
        <w:tc>
          <w:tcPr>
            <w:tcW w:type="dxa" w:w="19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5년 무상 보증 패키지 운영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MediaMarkt CH (양판점)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CHF 1,629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CHF 1,589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+CHF 40 (+2.5%)</w:t>
            </w:r>
          </w:p>
        </w:tc>
        <w:tc>
          <w:tcPr>
            <w:tcW w:type="dxa" w:w="1901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매장 단독 사은품 증정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 xml:space="preserve">• 압도적 OLED 시장 지배력 (M/S 52.4%): </w:t>
      </w:r>
      <w:r>
        <w:t>GfK 기준 스위스 OLED TV 시장에서 점유율 52.4%로 경쟁사(삼성 31.2%, 소니 12.5%)를 압도하고 있습니다.</w:t>
        <w:br/>
      </w:r>
      <w:r>
        <w:rPr>
          <w:b/>
        </w:rPr>
        <w:t xml:space="preserve">• 안정적 프리미엄 갭 유지: </w:t>
      </w:r>
      <w:r>
        <w:t>삼성 S90D 대비 전 유통에서 +CHF 40~50 수준의 프리미엄을 유지하며 Floor Price 가이드라인(ATA)을 100% 준수하고 있습니다.</w:t>
      </w:r>
    </w:p>
    <w:p>
      <w:pPr>
        <w:spacing w:before="240" w:after="120"/>
      </w:pPr>
      <w:r>
        <w:rPr>
          <w:b/>
          <w:color w:val="0F172A"/>
          <w:sz w:val="26"/>
        </w:rPr>
        <w:t>4. 핵심 리스크 요인 및 전략적 조치 과제 (Action 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FF1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E11D48"/>
                <w:sz w:val="19"/>
              </w:rPr>
              <w:t>⚠️ 긴급 관리 요망: 유통 재고 주수(WOS 11.8주) 과다 적체 리스크</w:t>
              <w:br/>
            </w:r>
            <w:r>
              <w:rPr>
                <w:color w:val="0F172A"/>
                <w:sz w:val="17"/>
              </w:rPr>
              <w:t>스위스 지점의 유통 재고 주수는 11.8주로 유럽 권역 적정치(6~8주)를 약 4주 초과하여 유럽 21개 지사 중 4위의 최고 위험 수준입니다. 하반기 신모델(OLED C5/G5) 전환을 앞두고 구모델 재고 감가손 상각 리스크가 우려되므로 집중적인 Sell-out 프로모션이 시급합니다.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과제 분류</w:t>
            </w:r>
          </w:p>
        </w:tc>
        <w:tc>
          <w:tcPr>
            <w:tcW w:type="dxa" w:w="3989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실행 계획 (Action Items)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추진 일정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지표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유통 재고 정상화</w:t>
            </w:r>
          </w:p>
        </w:tc>
        <w:tc>
          <w:tcPr>
            <w:tcW w:type="dxa" w:w="3989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Digitec/Interdiscount 연계 65C4 사운드바 번들 패키지 행사 가동 및 매장 판촉 지원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9월 3주차 ~ 10월 2주차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WOS 11.8주 → 8.5주 정상화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차감율(SD) 방어</w:t>
            </w:r>
          </w:p>
        </w:tc>
        <w:tc>
          <w:tcPr>
            <w:tcW w:type="dxa" w:w="3989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무차별적 가격 인하 지양, 77/83인치 대형 고수익 모델 대상 타깃 인센티브로 BTL 재편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즉시 시행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SD 25.5% → 23.5% 이하 통제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4분기 SCM 조율</w:t>
            </w:r>
          </w:p>
        </w:tc>
        <w:tc>
          <w:tcPr>
            <w:tcW w:type="dxa" w:w="3989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블랙프라이데이 물량 입고 전 9~10월 본사 출하(Sell-in) 템포 미세 조율로 신/구모델 자연 전환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10월 말까지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신모델 비중 85% 이상 확대</w:t>
            </w:r>
          </w:p>
        </w:tc>
      </w:tr>
    </w:tbl>
    <w:p>
      <w:pPr>
        <w:spacing w:after="280"/>
      </w:pPr>
    </w:p>
    <w:p>
      <w:pPr>
        <w:jc w:val="right"/>
      </w:pPr>
      <w:r>
        <w:rPr>
          <w:i/>
          <w:color w:val="94A3B8"/>
          <w:sz w:val="16"/>
        </w:rPr>
        <w:t>LG Electronics Europe TV Sales Management ｜ Master AI Agent Generated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