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4EAF7E92" wp14:paraId="05605287" wp14:textId="64C2363A">
      <w:pPr>
        <w:pStyle w:val="Title"/>
        <w:jc w:val="center"/>
      </w:pPr>
    </w:p>
    <w:p xmlns:wp14="http://schemas.microsoft.com/office/word/2010/wordml" w:rsidP="4EAF7E92" wp14:paraId="63F4EF9E" wp14:textId="7D928B31">
      <w:pPr>
        <w:pStyle w:val="Title"/>
        <w:jc w:val="center"/>
      </w:pPr>
    </w:p>
    <w:p xmlns:wp14="http://schemas.microsoft.com/office/word/2010/wordml" w:rsidP="4EAF7E92" wp14:paraId="4BB356F8" wp14:textId="0F76C4DD">
      <w:pPr>
        <w:pStyle w:val="Title"/>
        <w:jc w:val="center"/>
      </w:pPr>
    </w:p>
    <w:p xmlns:wp14="http://schemas.microsoft.com/office/word/2010/wordml" w:rsidP="4EAF7E92" wp14:paraId="0EB3427B" wp14:textId="39F1C970">
      <w:pPr>
        <w:pStyle w:val="Title"/>
        <w:jc w:val="center"/>
      </w:pPr>
    </w:p>
    <w:p xmlns:wp14="http://schemas.microsoft.com/office/word/2010/wordml" w:rsidP="4EAF7E92" wp14:paraId="02024072" wp14:textId="0873F954">
      <w:pPr>
        <w:pStyle w:val="Title"/>
        <w:jc w:val="center"/>
      </w:pPr>
    </w:p>
    <w:p xmlns:wp14="http://schemas.microsoft.com/office/word/2010/wordml" w:rsidP="4EAF7E92" wp14:paraId="446A7439" wp14:textId="1D7E8D57">
      <w:pPr>
        <w:pStyle w:val="Title"/>
        <w:jc w:val="center"/>
      </w:pPr>
    </w:p>
    <w:p xmlns:wp14="http://schemas.microsoft.com/office/word/2010/wordml" w:rsidP="4EAF7E92" wp14:paraId="58A58DE9" wp14:textId="4615AD4D">
      <w:pPr>
        <w:pStyle w:val="Title"/>
        <w:jc w:val="center"/>
      </w:pPr>
    </w:p>
    <w:p xmlns:wp14="http://schemas.microsoft.com/office/word/2010/wordml" w:rsidP="4EAF7E92" wp14:paraId="791F22C2" wp14:textId="34898C41">
      <w:pPr>
        <w:pStyle w:val="Title"/>
        <w:jc w:val="center"/>
      </w:pPr>
    </w:p>
    <w:p xmlns:wp14="http://schemas.microsoft.com/office/word/2010/wordml" w:rsidP="4EAF7E92" wp14:paraId="27E736D4" wp14:textId="1B82FB94">
      <w:pPr>
        <w:pStyle w:val="Title"/>
        <w:jc w:val="center"/>
      </w:pPr>
    </w:p>
    <w:p xmlns:wp14="http://schemas.microsoft.com/office/word/2010/wordml" w:rsidP="4EAF7E92" wp14:paraId="41E682B0" wp14:textId="2C17D1C7">
      <w:pPr/>
    </w:p>
    <w:p xmlns:wp14="http://schemas.microsoft.com/office/word/2010/wordml" w:rsidP="4EAF7E92" wp14:paraId="0F150D3D" wp14:textId="6D610C0C">
      <w:pPr>
        <w:pStyle w:val="Title"/>
        <w:jc w:val="center"/>
      </w:pPr>
    </w:p>
    <w:p xmlns:wp14="http://schemas.microsoft.com/office/word/2010/wordml" w:rsidP="4EAF7E92" wp14:paraId="5E5787A5" wp14:textId="1EF3F72C">
      <w:pPr>
        <w:pStyle w:val="Title"/>
        <w:jc w:val="center"/>
      </w:pPr>
      <w:r w:rsidR="668F2655">
        <w:rPr/>
        <w:t>Student Achievement and Retention Rates Dashboard</w:t>
      </w:r>
    </w:p>
    <w:p w:rsidR="4EAF7E92" w:rsidRDefault="4EAF7E92" w14:paraId="12613B66" w14:textId="720211F5">
      <w:r>
        <w:br w:type="page"/>
      </w:r>
    </w:p>
    <w:p w:rsidR="4EAF7E92" w:rsidP="4EAF7E92" w:rsidRDefault="4EAF7E92" w14:paraId="3DEDB409" w14:textId="2BF4903C">
      <w:pPr>
        <w:pStyle w:val="Title"/>
      </w:pPr>
      <w:r w:rsidR="699829F1">
        <w:rPr/>
        <w:t>Contents</w:t>
      </w:r>
    </w:p>
    <w:p w:rsidR="699829F1" w:rsidP="699829F1" w:rsidRDefault="699829F1" w14:paraId="03932F00" w14:textId="7415226C">
      <w:pPr>
        <w:pStyle w:val="Heading1"/>
        <w:numPr>
          <w:ilvl w:val="0"/>
          <w:numId w:val="6"/>
        </w:numPr>
        <w:rPr/>
      </w:pPr>
      <w:hyperlink w:anchor="_Introduction">
        <w:r w:rsidRPr="699829F1" w:rsidR="699829F1">
          <w:rPr>
            <w:rStyle w:val="Hyperlink"/>
          </w:rPr>
          <w:t>Introduction</w:t>
        </w:r>
      </w:hyperlink>
    </w:p>
    <w:p w:rsidR="699829F1" w:rsidP="699829F1" w:rsidRDefault="699829F1" w14:paraId="06EF62C9" w14:textId="6242E48A">
      <w:pPr>
        <w:pStyle w:val="Heading1"/>
        <w:keepNext w:val="1"/>
        <w:keepLines w:val="1"/>
        <w:numPr>
          <w:ilvl w:val="0"/>
          <w:numId w:val="6"/>
        </w:numPr>
        <w:spacing w:before="360" w:after="80" w:line="279" w:lineRule="auto"/>
        <w:rPr>
          <w:rFonts w:ascii="Aptos Display" w:hAnsi="Aptos Display" w:eastAsia="Aptos Display" w:cs="Aptos Display"/>
          <w:b w:val="0"/>
          <w:bCs w:val="0"/>
          <w:i w:val="0"/>
          <w:iCs w:val="0"/>
          <w:noProof w:val="0"/>
          <w:color w:val="0F4761" w:themeColor="accent1" w:themeTint="FF" w:themeShade="BF"/>
          <w:sz w:val="40"/>
          <w:szCs w:val="40"/>
          <w:lang w:val="en-GB"/>
        </w:rPr>
      </w:pPr>
      <w:hyperlink w:anchor="_Dashboard_Purpose_&amp;">
        <w:r w:rsidRPr="699829F1" w:rsidR="699829F1">
          <w:rPr>
            <w:rStyle w:val="Hyperlink"/>
            <w:rFonts w:ascii="Aptos Display" w:hAnsi="Aptos Display" w:eastAsia="Aptos Display" w:cs="Aptos Display"/>
            <w:b w:val="0"/>
            <w:bCs w:val="0"/>
            <w:i w:val="0"/>
            <w:iCs w:val="0"/>
            <w:noProof w:val="0"/>
            <w:sz w:val="40"/>
            <w:szCs w:val="40"/>
            <w:lang w:val="en-GB"/>
          </w:rPr>
          <w:t>Dashboard Purpose &amp; Audience</w:t>
        </w:r>
      </w:hyperlink>
    </w:p>
    <w:p w:rsidR="699829F1" w:rsidP="699829F1" w:rsidRDefault="699829F1" w14:paraId="2558945E" w14:textId="6E4F15BB">
      <w:pPr>
        <w:pStyle w:val="Heading1"/>
        <w:keepNext w:val="1"/>
        <w:keepLines w:val="1"/>
        <w:numPr>
          <w:ilvl w:val="0"/>
          <w:numId w:val="6"/>
        </w:numPr>
        <w:spacing w:before="360" w:after="80" w:line="279" w:lineRule="auto"/>
        <w:rPr>
          <w:rFonts w:ascii="Aptos Display" w:hAnsi="Aptos Display" w:eastAsia="Aptos Display" w:cs="Aptos Display"/>
          <w:b w:val="0"/>
          <w:bCs w:val="0"/>
          <w:i w:val="0"/>
          <w:iCs w:val="0"/>
          <w:noProof w:val="0"/>
          <w:color w:val="0F4761" w:themeColor="accent1" w:themeTint="FF" w:themeShade="BF"/>
          <w:sz w:val="40"/>
          <w:szCs w:val="40"/>
          <w:lang w:val="en-GB"/>
        </w:rPr>
      </w:pPr>
      <w:hyperlink w:anchor="_Visualisations">
        <w:r w:rsidRPr="699829F1" w:rsidR="699829F1">
          <w:rPr>
            <w:rStyle w:val="Hyperlink"/>
            <w:rFonts w:ascii="Aptos Display" w:hAnsi="Aptos Display" w:eastAsia="Aptos Display" w:cs="Aptos Display"/>
            <w:b w:val="0"/>
            <w:bCs w:val="0"/>
            <w:i w:val="0"/>
            <w:iCs w:val="0"/>
            <w:noProof w:val="0"/>
            <w:sz w:val="40"/>
            <w:szCs w:val="40"/>
            <w:lang w:val="en-GB"/>
          </w:rPr>
          <w:t>Visualisations</w:t>
        </w:r>
      </w:hyperlink>
    </w:p>
    <w:p w:rsidR="699829F1" w:rsidP="699829F1" w:rsidRDefault="699829F1" w14:paraId="0E18ABBF" w14:textId="53411E84">
      <w:pPr>
        <w:pStyle w:val="Heading1"/>
        <w:keepNext w:val="1"/>
        <w:keepLines w:val="1"/>
        <w:numPr>
          <w:ilvl w:val="0"/>
          <w:numId w:val="6"/>
        </w:numPr>
        <w:spacing w:before="360" w:after="80" w:line="279" w:lineRule="auto"/>
        <w:rPr>
          <w:rFonts w:ascii="Aptos Display" w:hAnsi="Aptos Display" w:eastAsia="Aptos Display" w:cs="Aptos Display"/>
          <w:b w:val="0"/>
          <w:bCs w:val="0"/>
          <w:i w:val="0"/>
          <w:iCs w:val="0"/>
          <w:noProof w:val="0"/>
          <w:color w:val="0F4761" w:themeColor="accent1" w:themeTint="FF" w:themeShade="BF"/>
          <w:sz w:val="40"/>
          <w:szCs w:val="40"/>
          <w:lang w:val="en-GB"/>
        </w:rPr>
      </w:pPr>
      <w:hyperlink w:anchor="_Actionable_Business_Insights">
        <w:r w:rsidRPr="699829F1" w:rsidR="699829F1">
          <w:rPr>
            <w:rStyle w:val="Hyperlink"/>
            <w:rFonts w:ascii="Aptos Display" w:hAnsi="Aptos Display" w:eastAsia="Aptos Display" w:cs="Aptos Display"/>
            <w:b w:val="0"/>
            <w:bCs w:val="0"/>
            <w:i w:val="0"/>
            <w:iCs w:val="0"/>
            <w:noProof w:val="0"/>
            <w:sz w:val="40"/>
            <w:szCs w:val="40"/>
            <w:lang w:val="en-GB"/>
          </w:rPr>
          <w:t>Actionable Business Insights</w:t>
        </w:r>
      </w:hyperlink>
    </w:p>
    <w:p w:rsidR="699829F1" w:rsidP="699829F1" w:rsidRDefault="699829F1" w14:paraId="74DAC36B" w14:textId="6F4A39E6">
      <w:pPr>
        <w:pStyle w:val="Heading1"/>
        <w:keepNext w:val="1"/>
        <w:keepLines w:val="1"/>
        <w:numPr>
          <w:ilvl w:val="0"/>
          <w:numId w:val="6"/>
        </w:numPr>
        <w:spacing w:before="360" w:after="80" w:line="279" w:lineRule="auto"/>
        <w:rPr>
          <w:rFonts w:ascii="Aptos Display" w:hAnsi="Aptos Display" w:eastAsia="Aptos Display" w:cs="Aptos Display"/>
          <w:b w:val="0"/>
          <w:bCs w:val="0"/>
          <w:i w:val="0"/>
          <w:iCs w:val="0"/>
          <w:noProof w:val="0"/>
          <w:color w:val="0F4761" w:themeColor="accent1" w:themeTint="FF" w:themeShade="BF"/>
          <w:sz w:val="40"/>
          <w:szCs w:val="40"/>
          <w:lang w:val="en-GB"/>
        </w:rPr>
      </w:pPr>
      <w:hyperlink w:anchor="_Concluding_Remarks">
        <w:r w:rsidRPr="699829F1" w:rsidR="699829F1">
          <w:rPr>
            <w:rStyle w:val="Hyperlink"/>
            <w:rFonts w:ascii="Aptos Display" w:hAnsi="Aptos Display" w:eastAsia="Aptos Display" w:cs="Aptos Display"/>
            <w:b w:val="0"/>
            <w:bCs w:val="0"/>
            <w:i w:val="0"/>
            <w:iCs w:val="0"/>
            <w:noProof w:val="0"/>
            <w:sz w:val="40"/>
            <w:szCs w:val="40"/>
            <w:lang w:val="en-GB"/>
          </w:rPr>
          <w:t>Concluding Remarks</w:t>
        </w:r>
      </w:hyperlink>
    </w:p>
    <w:p w:rsidR="699829F1" w:rsidP="699829F1" w:rsidRDefault="699829F1" w14:paraId="4A390FDF" w14:textId="501C8E89">
      <w:pPr>
        <w:pStyle w:val="Heading1"/>
        <w:keepNext w:val="1"/>
        <w:keepLines w:val="1"/>
        <w:numPr>
          <w:ilvl w:val="0"/>
          <w:numId w:val="6"/>
        </w:numPr>
        <w:spacing w:before="360" w:after="80" w:line="279" w:lineRule="auto"/>
        <w:rPr>
          <w:rFonts w:ascii="Aptos Display" w:hAnsi="Aptos Display" w:eastAsia="Aptos Display" w:cs="Aptos Display"/>
          <w:b w:val="0"/>
          <w:bCs w:val="0"/>
          <w:i w:val="0"/>
          <w:iCs w:val="0"/>
          <w:noProof w:val="0"/>
          <w:color w:val="0F4761" w:themeColor="accent1" w:themeTint="FF" w:themeShade="BF"/>
          <w:sz w:val="40"/>
          <w:szCs w:val="40"/>
          <w:lang w:val="en-GB"/>
        </w:rPr>
      </w:pPr>
      <w:hyperlink w:anchor="_References">
        <w:r w:rsidRPr="699829F1" w:rsidR="699829F1">
          <w:rPr>
            <w:rStyle w:val="Hyperlink"/>
            <w:rFonts w:ascii="Aptos Display" w:hAnsi="Aptos Display" w:eastAsia="Aptos Display" w:cs="Aptos Display"/>
            <w:b w:val="0"/>
            <w:bCs w:val="0"/>
            <w:i w:val="0"/>
            <w:iCs w:val="0"/>
            <w:noProof w:val="0"/>
            <w:sz w:val="40"/>
            <w:szCs w:val="40"/>
            <w:lang w:val="en-GB"/>
          </w:rPr>
          <w:t>References</w:t>
        </w:r>
      </w:hyperlink>
    </w:p>
    <w:p w:rsidR="699829F1" w:rsidP="699829F1" w:rsidRDefault="699829F1" w14:paraId="3BE8F419" w14:textId="5F08F60F">
      <w:pPr>
        <w:pStyle w:val="Heading1"/>
        <w:keepNext w:val="1"/>
        <w:keepLines w:val="1"/>
        <w:numPr>
          <w:ilvl w:val="0"/>
          <w:numId w:val="6"/>
        </w:numPr>
        <w:spacing w:before="360" w:after="80" w:line="279" w:lineRule="auto"/>
        <w:rPr>
          <w:rFonts w:ascii="Aptos Display" w:hAnsi="Aptos Display" w:eastAsia="Aptos Display" w:cs="Aptos Display"/>
          <w:b w:val="0"/>
          <w:bCs w:val="0"/>
          <w:i w:val="0"/>
          <w:iCs w:val="0"/>
          <w:noProof w:val="0"/>
          <w:color w:val="0F4761" w:themeColor="accent1" w:themeTint="FF" w:themeShade="BF"/>
          <w:sz w:val="40"/>
          <w:szCs w:val="40"/>
          <w:lang w:val="en-GB"/>
        </w:rPr>
      </w:pPr>
      <w:hyperlink w:anchor="_Appendix">
        <w:r w:rsidRPr="699829F1" w:rsidR="699829F1">
          <w:rPr>
            <w:rStyle w:val="Hyperlink"/>
            <w:rFonts w:ascii="Aptos Display" w:hAnsi="Aptos Display" w:eastAsia="Aptos Display" w:cs="Aptos Display"/>
            <w:b w:val="0"/>
            <w:bCs w:val="0"/>
            <w:i w:val="0"/>
            <w:iCs w:val="0"/>
            <w:noProof w:val="0"/>
            <w:sz w:val="40"/>
            <w:szCs w:val="40"/>
            <w:lang w:val="en-GB"/>
          </w:rPr>
          <w:t>Appendix</w:t>
        </w:r>
      </w:hyperlink>
    </w:p>
    <w:p w:rsidR="699829F1" w:rsidRDefault="699829F1" w14:paraId="4E4E0101" w14:textId="569D5164">
      <w:r>
        <w:br w:type="page"/>
      </w:r>
    </w:p>
    <w:p w:rsidR="4EAF7E92" w:rsidP="4EAF7E92" w:rsidRDefault="4EAF7E92" w14:paraId="5D12D910" w14:textId="71AD367D">
      <w:pPr>
        <w:pStyle w:val="Heading1"/>
      </w:pPr>
      <w:bookmarkStart w:name="_Introduction" w:id="1679697025"/>
      <w:r w:rsidR="699829F1">
        <w:rPr/>
        <w:t>Introduction</w:t>
      </w:r>
      <w:bookmarkEnd w:id="1679697025"/>
    </w:p>
    <w:p w:rsidR="4EAF7E92" w:rsidP="4EAF7E92" w:rsidRDefault="4EAF7E92" w14:paraId="61F20156" w14:textId="29B55EF4">
      <w:pPr>
        <w:pStyle w:val="Normal"/>
      </w:pPr>
      <w:r w:rsidR="4EAF7E92">
        <w:rPr/>
        <w:t>This document outlines the purpose and application of the ‘Student Achievement and Retention Rates’ dashboard. It explains the dashboard's visualisations and provides examples of how it can be used to gain insights and make data-driven decisions related to student achievement and retention rates.</w:t>
      </w:r>
    </w:p>
    <w:p w:rsidR="4EAF7E92" w:rsidP="4EAF7E92" w:rsidRDefault="4EAF7E92" w14:paraId="4BE059B9" w14:textId="1163FE61">
      <w:pPr>
        <w:pStyle w:val="Heading1"/>
      </w:pPr>
      <w:bookmarkStart w:name="_Dashboard_Purpose_&amp;" w:id="659436065"/>
      <w:r w:rsidR="699829F1">
        <w:rPr/>
        <w:t>Dashboard Purpose &amp; Audience</w:t>
      </w:r>
      <w:bookmarkEnd w:id="659436065"/>
    </w:p>
    <w:p w:rsidR="4EAF7E92" w:rsidP="4EAF7E92" w:rsidRDefault="4EAF7E92" w14:paraId="26E6B79E" w14:textId="0B73E6BF">
      <w:pPr>
        <w:pStyle w:val="Normal"/>
      </w:pPr>
      <w:r w:rsidR="4EAF7E92">
        <w:rPr/>
        <w:t xml:space="preserve">The primary purpose of the dashboard is to summarise student achievement and retention rates for a UK further education (FE) college, with student achievement defined as the number of learners who successfully completed their qualification and retention as the number of students who either finished or are </w:t>
      </w:r>
      <w:r w:rsidR="4EAF7E92">
        <w:rPr/>
        <w:t>still continuing</w:t>
      </w:r>
      <w:r w:rsidR="4EAF7E92">
        <w:rPr/>
        <w:t xml:space="preserve"> their course. These metrics are significant for FE providers, as the Department for Education (2023) highlights that student achievement and retention rates are key indicators of the success of educational institutions in the UK.</w:t>
      </w:r>
    </w:p>
    <w:p w:rsidR="4EAF7E92" w:rsidP="4EAF7E92" w:rsidRDefault="4EAF7E92" w14:paraId="2D2C20CC" w14:textId="67B92905">
      <w:pPr>
        <w:pStyle w:val="Normal"/>
      </w:pPr>
      <w:r w:rsidR="4EAF7E92">
        <w:rPr/>
        <w:t>With this in mind, the</w:t>
      </w:r>
      <w:r w:rsidR="4EAF7E92">
        <w:rPr/>
        <w:t xml:space="preserve"> dashboard </w:t>
      </w:r>
      <w:r w:rsidR="4EAF7E92">
        <w:rPr/>
        <w:t>comprises</w:t>
      </w:r>
      <w:r w:rsidR="4EAF7E92">
        <w:rPr/>
        <w:t xml:space="preserve"> of three pages, using data from an FE provider:</w:t>
      </w:r>
    </w:p>
    <w:p w:rsidR="4EAF7E92" w:rsidP="4EAF7E92" w:rsidRDefault="4EAF7E92" w14:paraId="77857FA7" w14:textId="4BB2B577">
      <w:pPr>
        <w:pStyle w:val="ListParagraph"/>
        <w:numPr>
          <w:ilvl w:val="0"/>
          <w:numId w:val="2"/>
        </w:numPr>
        <w:rPr/>
      </w:pPr>
      <w:r w:rsidR="1005F09B">
        <w:rPr/>
        <w:t>Student Achievement Rates (figure 1): Summarises student achievements and benchmarks these against business key performance indicators.</w:t>
      </w:r>
    </w:p>
    <w:p w:rsidR="4EAF7E92" w:rsidP="4EAF7E92" w:rsidRDefault="4EAF7E92" w14:paraId="1FB67861" w14:textId="44FDC9C7">
      <w:pPr>
        <w:pStyle w:val="ListParagraph"/>
        <w:numPr>
          <w:ilvl w:val="0"/>
          <w:numId w:val="2"/>
        </w:numPr>
        <w:rPr/>
      </w:pPr>
      <w:r w:rsidR="1005F09B">
        <w:rPr/>
        <w:t xml:space="preserve">Student Retention Rates (figure 2): Summarises student retention and benchmarks this against business key performance indicators. </w:t>
      </w:r>
    </w:p>
    <w:p w:rsidR="4EAF7E92" w:rsidP="4EAF7E92" w:rsidRDefault="4EAF7E92" w14:paraId="40D85E86" w14:textId="72643179">
      <w:pPr>
        <w:pStyle w:val="ListParagraph"/>
        <w:numPr>
          <w:ilvl w:val="0"/>
          <w:numId w:val="2"/>
        </w:numPr>
        <w:rPr/>
      </w:pPr>
      <w:r w:rsidR="699829F1">
        <w:rPr/>
        <w:t xml:space="preserve">Leavers, Achievement, and Retention Trends (figure 3): Visualises fluctuations in student </w:t>
      </w:r>
      <w:bookmarkStart w:name="_Int_oOLT0B4k" w:id="82072436"/>
      <w:r w:rsidR="699829F1">
        <w:rPr/>
        <w:t>leavers</w:t>
      </w:r>
      <w:bookmarkEnd w:id="82072436"/>
      <w:r w:rsidR="699829F1">
        <w:rPr/>
        <w:t>, achievement rates, and retention rates over time.</w:t>
      </w:r>
    </w:p>
    <w:p w:rsidR="4EAF7E92" w:rsidP="4EAF7E92" w:rsidRDefault="4EAF7E92" w14:paraId="3A98B510" w14:textId="11B52728">
      <w:pPr>
        <w:pStyle w:val="Normal"/>
        <w:ind w:left="0"/>
      </w:pPr>
      <w:r w:rsidR="699829F1">
        <w:rPr/>
        <w:t>At first glance, the</w:t>
      </w:r>
      <w:r w:rsidR="699829F1">
        <w:rPr/>
        <w:t xml:space="preserve"> dashboard may be viewed as a strategic dashboard, primarily used to compare achievement and retention rates against business KPIs to gauge performance (Sarikaya, et al., 2018). Though, it also offers analytical functionality (</w:t>
      </w:r>
      <w:r w:rsidR="699829F1">
        <w:rPr/>
        <w:t>demonstrated</w:t>
      </w:r>
      <w:r w:rsidR="699829F1">
        <w:rPr/>
        <w:t xml:space="preserve"> in the ‘Visualisations’ section), including drilldowns, filtering, and trend analysis (figure 3). Thus, it can also function as an analytical dashboard (Sarikaya, et al., 2018).</w:t>
      </w:r>
    </w:p>
    <w:p w:rsidR="4EAF7E92" w:rsidP="4EAF7E92" w:rsidRDefault="4EAF7E92" w14:paraId="52107745" w14:textId="6B5DC3AD">
      <w:pPr>
        <w:pStyle w:val="Normal"/>
      </w:pPr>
      <w:r w:rsidR="1005F09B">
        <w:rPr/>
        <w:t>In terms of the dashboard’s audience, users may vary based on the context of its use (as detailed in the ‘Visualisations’ section). However, it is primarily intended for upper management stakeholders of an FE provider, who would be most concerned with monitoring achievements and retention performance. This includes stakeholder groups such as school governors, executive management, curriculum directors, and curriculum managers.</w:t>
      </w:r>
    </w:p>
    <w:p w:rsidR="1005F09B" w:rsidP="1005F09B" w:rsidRDefault="1005F09B" w14:paraId="43CDE49C" w14:textId="3C430331">
      <w:pPr>
        <w:pStyle w:val="Heading1"/>
      </w:pPr>
      <w:bookmarkStart w:name="_Visualisations" w:id="1458850588"/>
      <w:r w:rsidR="699829F1">
        <w:rPr/>
        <w:t>Visualisations</w:t>
      </w:r>
      <w:bookmarkEnd w:id="1458850588"/>
    </w:p>
    <w:p w:rsidR="1005F09B" w:rsidP="6FD0E35C" w:rsidRDefault="1005F09B" w14:paraId="2B3560FE" w14:textId="48A10EFD">
      <w:pPr>
        <w:pStyle w:val="Normal"/>
        <w:rPr>
          <w:rFonts w:ascii="Aptos" w:hAnsi="Aptos" w:eastAsia="Aptos" w:cs="Aptos"/>
          <w:noProof w:val="0"/>
          <w:sz w:val="24"/>
          <w:szCs w:val="24"/>
          <w:lang w:val="en-GB"/>
        </w:rPr>
      </w:pPr>
      <w:r w:rsidRPr="699829F1" w:rsidR="699829F1">
        <w:rPr>
          <w:rFonts w:ascii="Aptos" w:hAnsi="Aptos" w:eastAsia="Aptos" w:cs="Aptos"/>
          <w:noProof w:val="0"/>
          <w:sz w:val="24"/>
          <w:szCs w:val="24"/>
          <w:lang w:val="en-GB"/>
        </w:rPr>
        <w:t xml:space="preserve">The visuals chosen for the dashboard were selected with the intention to best </w:t>
      </w:r>
      <w:r w:rsidRPr="699829F1" w:rsidR="699829F1">
        <w:rPr>
          <w:rFonts w:ascii="Aptos" w:hAnsi="Aptos" w:eastAsia="Aptos" w:cs="Aptos"/>
          <w:noProof w:val="0"/>
          <w:sz w:val="24"/>
          <w:szCs w:val="24"/>
          <w:lang w:val="en-GB"/>
        </w:rPr>
        <w:t>represent</w:t>
      </w:r>
      <w:r w:rsidRPr="699829F1" w:rsidR="699829F1">
        <w:rPr>
          <w:rFonts w:ascii="Aptos" w:hAnsi="Aptos" w:eastAsia="Aptos" w:cs="Aptos"/>
          <w:noProof w:val="0"/>
          <w:sz w:val="24"/>
          <w:szCs w:val="24"/>
          <w:lang w:val="en-GB"/>
        </w:rPr>
        <w:t xml:space="preserve"> each data point, and the specific needs of the intended users in mind. Card graphics (figures 4 &amp; 9) were used to provide the highest-level overview of student achievement and retention numbers </w:t>
      </w:r>
      <w:r w:rsidRPr="699829F1" w:rsidR="699829F1">
        <w:rPr>
          <w:rFonts w:ascii="Aptos" w:hAnsi="Aptos" w:eastAsia="Aptos" w:cs="Aptos"/>
          <w:noProof w:val="0"/>
          <w:sz w:val="24"/>
          <w:szCs w:val="24"/>
          <w:lang w:val="en-GB"/>
        </w:rPr>
        <w:t>at a glance</w:t>
      </w:r>
      <w:r w:rsidRPr="699829F1" w:rsidR="699829F1">
        <w:rPr>
          <w:rFonts w:ascii="Aptos" w:hAnsi="Aptos" w:eastAsia="Aptos" w:cs="Aptos"/>
          <w:noProof w:val="0"/>
          <w:sz w:val="24"/>
          <w:szCs w:val="24"/>
          <w:lang w:val="en-GB"/>
        </w:rPr>
        <w:t xml:space="preserve">. Recognising that Western audiences typically read from top-left to bottom-right, the most </w:t>
      </w:r>
      <w:r w:rsidRPr="699829F1" w:rsidR="699829F1">
        <w:rPr>
          <w:rFonts w:ascii="Aptos" w:hAnsi="Aptos" w:eastAsia="Aptos" w:cs="Aptos"/>
          <w:noProof w:val="0"/>
          <w:sz w:val="24"/>
          <w:szCs w:val="24"/>
          <w:lang w:val="en-GB"/>
        </w:rPr>
        <w:t>important figures</w:t>
      </w:r>
      <w:r w:rsidRPr="699829F1" w:rsidR="699829F1">
        <w:rPr>
          <w:rFonts w:ascii="Aptos" w:hAnsi="Aptos" w:eastAsia="Aptos" w:cs="Aptos"/>
          <w:noProof w:val="0"/>
          <w:sz w:val="24"/>
          <w:szCs w:val="24"/>
          <w:lang w:val="en-GB"/>
        </w:rPr>
        <w:t xml:space="preserve"> were placed as large cards at the top of the dashboard pages, ensuring they are acknowledged first. Consequently, these card visuals are ideal for school governors and executive management stakeholders, who are primarily focused on the overall performance of the college.</w:t>
      </w:r>
    </w:p>
    <w:p w:rsidR="6FD0E35C" w:rsidP="699829F1" w:rsidRDefault="6FD0E35C" w14:paraId="01690902" w14:textId="50685AD3">
      <w:pPr>
        <w:pStyle w:val="Normal"/>
        <w:rPr>
          <w:rFonts w:ascii="Aptos" w:hAnsi="Aptos" w:eastAsia="Aptos" w:cs="Aptos"/>
          <w:b w:val="0"/>
          <w:bCs w:val="0"/>
          <w:i w:val="0"/>
          <w:iCs w:val="0"/>
          <w:noProof w:val="0"/>
          <w:color w:val="000000" w:themeColor="text1" w:themeTint="FF" w:themeShade="FF"/>
          <w:sz w:val="24"/>
          <w:szCs w:val="24"/>
          <w:lang w:val="en-GB"/>
        </w:rPr>
      </w:pPr>
      <w:r w:rsidRPr="699829F1" w:rsidR="699829F1">
        <w:rPr>
          <w:rFonts w:ascii="Aptos" w:hAnsi="Aptos" w:eastAsia="Aptos" w:cs="Aptos"/>
          <w:b w:val="0"/>
          <w:bCs w:val="0"/>
          <w:i w:val="0"/>
          <w:iCs w:val="0"/>
          <w:noProof w:val="0"/>
          <w:color w:val="000000" w:themeColor="text1" w:themeTint="FF" w:themeShade="FF"/>
          <w:sz w:val="24"/>
          <w:szCs w:val="24"/>
          <w:lang w:val="en-GB"/>
        </w:rPr>
        <w:t xml:space="preserve">Bar graphs were used to display student achievement and retention rates, aggregated by sector subject area (figures 5 &amp; 10) and qualification level (figures 6 &amp; 11). This visualisation was chosen because it </w:t>
      </w:r>
      <w:r w:rsidRPr="699829F1" w:rsidR="699829F1">
        <w:rPr>
          <w:rFonts w:ascii="Aptos" w:hAnsi="Aptos" w:eastAsia="Aptos" w:cs="Aptos"/>
          <w:b w:val="0"/>
          <w:bCs w:val="0"/>
          <w:i w:val="0"/>
          <w:iCs w:val="0"/>
          <w:noProof w:val="0"/>
          <w:color w:val="000000" w:themeColor="text1" w:themeTint="FF" w:themeShade="FF"/>
          <w:sz w:val="24"/>
          <w:szCs w:val="24"/>
          <w:lang w:val="en-GB"/>
        </w:rPr>
        <w:t>facilitates</w:t>
      </w:r>
      <w:r w:rsidRPr="699829F1" w:rsidR="699829F1">
        <w:rPr>
          <w:rFonts w:ascii="Aptos" w:hAnsi="Aptos" w:eastAsia="Aptos" w:cs="Aptos"/>
          <w:b w:val="0"/>
          <w:bCs w:val="0"/>
          <w:i w:val="0"/>
          <w:iCs w:val="0"/>
          <w:noProof w:val="0"/>
          <w:color w:val="000000" w:themeColor="text1" w:themeTint="FF" w:themeShade="FF"/>
          <w:sz w:val="24"/>
          <w:szCs w:val="24"/>
          <w:lang w:val="en-GB"/>
        </w:rPr>
        <w:t xml:space="preserve"> easy comparison of performance across different sector subject areas and qualification levels. For example, figure 6 clearly shows that level 1 qualifications have the lowest achievement rates among the qualification levels and fall short of the college KPI target of 80% achievement (figure 4).</w:t>
      </w:r>
    </w:p>
    <w:p w:rsidR="6FD0E35C" w:rsidP="6FD0E35C" w:rsidRDefault="6FD0E35C" w14:paraId="361CFC61" w14:textId="2BD49073">
      <w:pPr>
        <w:pStyle w:val="Normal"/>
      </w:pPr>
      <w:r w:rsidRPr="699829F1" w:rsidR="699829F1">
        <w:rPr>
          <w:rFonts w:ascii="Aptos" w:hAnsi="Aptos" w:eastAsia="Aptos" w:cs="Aptos"/>
          <w:b w:val="0"/>
          <w:bCs w:val="0"/>
          <w:i w:val="0"/>
          <w:iCs w:val="0"/>
          <w:noProof w:val="0"/>
          <w:color w:val="000000" w:themeColor="text1" w:themeTint="FF" w:themeShade="FF"/>
          <w:sz w:val="24"/>
          <w:szCs w:val="24"/>
          <w:lang w:val="en-GB"/>
        </w:rPr>
        <w:t xml:space="preserve">Since </w:t>
      </w:r>
      <w:r w:rsidRPr="699829F1" w:rsidR="699829F1">
        <w:rPr>
          <w:rFonts w:ascii="Aptos" w:hAnsi="Aptos" w:eastAsia="Aptos" w:cs="Aptos"/>
          <w:noProof w:val="0"/>
          <w:sz w:val="24"/>
          <w:szCs w:val="24"/>
          <w:lang w:val="en-GB"/>
        </w:rPr>
        <w:t>there are two hierarchal levels of sector subject areas</w:t>
      </w:r>
      <w:r w:rsidRPr="699829F1" w:rsidR="699829F1">
        <w:rPr>
          <w:rFonts w:ascii="Aptos" w:hAnsi="Aptos" w:eastAsia="Aptos" w:cs="Aptos"/>
          <w:b w:val="0"/>
          <w:bCs w:val="0"/>
          <w:i w:val="0"/>
          <w:iCs w:val="0"/>
          <w:noProof w:val="0"/>
          <w:color w:val="000000" w:themeColor="text1" w:themeTint="FF" w:themeShade="FF"/>
          <w:sz w:val="24"/>
          <w:szCs w:val="24"/>
          <w:lang w:val="en-GB"/>
        </w:rPr>
        <w:t xml:space="preserve">, drill-down feature was added to enable users to navigate from subject area 1 to subject area 2. For instance, in </w:t>
      </w:r>
      <w:r w:rsidRPr="699829F1" w:rsidR="699829F1">
        <w:rPr>
          <w:rFonts w:ascii="Aptos" w:hAnsi="Aptos" w:eastAsia="Aptos" w:cs="Aptos"/>
          <w:b w:val="0"/>
          <w:bCs w:val="0"/>
          <w:i w:val="0"/>
          <w:iCs w:val="0"/>
          <w:noProof w:val="0"/>
          <w:color w:val="000000" w:themeColor="text1" w:themeTint="FF" w:themeShade="FF"/>
          <w:sz w:val="24"/>
          <w:szCs w:val="24"/>
          <w:lang w:val="en-GB"/>
        </w:rPr>
        <w:t>figure</w:t>
      </w:r>
      <w:r w:rsidRPr="699829F1" w:rsidR="699829F1">
        <w:rPr>
          <w:rFonts w:ascii="Aptos" w:hAnsi="Aptos" w:eastAsia="Aptos" w:cs="Aptos"/>
          <w:b w:val="0"/>
          <w:bCs w:val="0"/>
          <w:i w:val="0"/>
          <w:iCs w:val="0"/>
          <w:noProof w:val="0"/>
          <w:color w:val="000000" w:themeColor="text1" w:themeTint="FF" w:themeShade="FF"/>
          <w:sz w:val="24"/>
          <w:szCs w:val="24"/>
          <w:lang w:val="en-GB"/>
        </w:rPr>
        <w:t xml:space="preserve"> 18, drilling down into the ‘Business Administration and Law’ area reveals its respective subject area 2s; a</w:t>
      </w:r>
      <w:r w:rsidRPr="699829F1" w:rsidR="699829F1">
        <w:rPr>
          <w:rFonts w:ascii="Aptos" w:hAnsi="Aptos" w:eastAsia="Aptos" w:cs="Aptos"/>
          <w:noProof w:val="0"/>
          <w:sz w:val="24"/>
          <w:szCs w:val="24"/>
          <w:lang w:val="en-GB"/>
        </w:rPr>
        <w:t xml:space="preserve">ll other visuals on the dashboard page also filter down to this specific subject area as well. </w:t>
      </w:r>
      <w:r w:rsidRPr="699829F1" w:rsidR="699829F1">
        <w:rPr>
          <w:rFonts w:ascii="Aptos" w:hAnsi="Aptos" w:eastAsia="Aptos" w:cs="Aptos"/>
          <w:b w:val="0"/>
          <w:bCs w:val="0"/>
          <w:i w:val="0"/>
          <w:iCs w:val="0"/>
          <w:noProof w:val="0"/>
          <w:color w:val="000000" w:themeColor="text1" w:themeTint="FF" w:themeShade="FF"/>
          <w:sz w:val="24"/>
          <w:szCs w:val="24"/>
          <w:lang w:val="en-GB"/>
        </w:rPr>
        <w:t xml:space="preserve">This example highlights that the ‘Accounting and Finance’ area 2 </w:t>
      </w:r>
      <w:r w:rsidRPr="699829F1" w:rsidR="699829F1">
        <w:rPr>
          <w:rFonts w:ascii="Aptos" w:hAnsi="Aptos" w:eastAsia="Aptos" w:cs="Aptos"/>
          <w:b w:val="0"/>
          <w:bCs w:val="0"/>
          <w:i w:val="0"/>
          <w:iCs w:val="0"/>
          <w:noProof w:val="0"/>
          <w:color w:val="000000" w:themeColor="text1" w:themeTint="FF" w:themeShade="FF"/>
          <w:sz w:val="24"/>
          <w:szCs w:val="24"/>
          <w:lang w:val="en-GB"/>
        </w:rPr>
        <w:t>is responsible for</w:t>
      </w:r>
      <w:r w:rsidRPr="699829F1" w:rsidR="699829F1">
        <w:rPr>
          <w:rFonts w:ascii="Aptos" w:hAnsi="Aptos" w:eastAsia="Aptos" w:cs="Aptos"/>
          <w:b w:val="0"/>
          <w:bCs w:val="0"/>
          <w:i w:val="0"/>
          <w:iCs w:val="0"/>
          <w:noProof w:val="0"/>
          <w:color w:val="000000" w:themeColor="text1" w:themeTint="FF" w:themeShade="FF"/>
          <w:sz w:val="24"/>
          <w:szCs w:val="24"/>
          <w:lang w:val="en-GB"/>
        </w:rPr>
        <w:t xml:space="preserve"> lowering the overall achievement rate of the area, while the other area 2s exceed the college KPI for achievement. This case </w:t>
      </w:r>
      <w:r w:rsidRPr="699829F1" w:rsidR="699829F1">
        <w:rPr>
          <w:rFonts w:ascii="Aptos" w:hAnsi="Aptos" w:eastAsia="Aptos" w:cs="Aptos"/>
          <w:b w:val="0"/>
          <w:bCs w:val="0"/>
          <w:i w:val="0"/>
          <w:iCs w:val="0"/>
          <w:noProof w:val="0"/>
          <w:color w:val="000000" w:themeColor="text1" w:themeTint="FF" w:themeShade="FF"/>
          <w:sz w:val="24"/>
          <w:szCs w:val="24"/>
          <w:lang w:val="en-GB"/>
        </w:rPr>
        <w:t>demonstrates</w:t>
      </w:r>
      <w:r w:rsidRPr="699829F1" w:rsidR="699829F1">
        <w:rPr>
          <w:rFonts w:ascii="Aptos" w:hAnsi="Aptos" w:eastAsia="Aptos" w:cs="Aptos"/>
          <w:b w:val="0"/>
          <w:bCs w:val="0"/>
          <w:i w:val="0"/>
          <w:iCs w:val="0"/>
          <w:noProof w:val="0"/>
          <w:color w:val="000000" w:themeColor="text1" w:themeTint="FF" w:themeShade="FF"/>
          <w:sz w:val="24"/>
          <w:szCs w:val="24"/>
          <w:lang w:val="en-GB"/>
        </w:rPr>
        <w:t xml:space="preserve"> how the dashboard can be utilised by analytical audiences, such as curriculum directors, who may want to drill down to </w:t>
      </w:r>
      <w:r w:rsidRPr="699829F1" w:rsidR="699829F1">
        <w:rPr>
          <w:rFonts w:ascii="Aptos" w:hAnsi="Aptos" w:eastAsia="Aptos" w:cs="Aptos"/>
          <w:b w:val="0"/>
          <w:bCs w:val="0"/>
          <w:i w:val="0"/>
          <w:iCs w:val="0"/>
          <w:noProof w:val="0"/>
          <w:color w:val="000000" w:themeColor="text1" w:themeTint="FF" w:themeShade="FF"/>
          <w:sz w:val="24"/>
          <w:szCs w:val="24"/>
          <w:lang w:val="en-GB"/>
        </w:rPr>
        <w:t>monitor</w:t>
      </w:r>
      <w:r w:rsidRPr="699829F1" w:rsidR="699829F1">
        <w:rPr>
          <w:rFonts w:ascii="Aptos" w:hAnsi="Aptos" w:eastAsia="Aptos" w:cs="Aptos"/>
          <w:b w:val="0"/>
          <w:bCs w:val="0"/>
          <w:i w:val="0"/>
          <w:iCs w:val="0"/>
          <w:noProof w:val="0"/>
          <w:color w:val="000000" w:themeColor="text1" w:themeTint="FF" w:themeShade="FF"/>
          <w:sz w:val="24"/>
          <w:szCs w:val="24"/>
          <w:lang w:val="en-GB"/>
        </w:rPr>
        <w:t xml:space="preserve"> the performance of their specific curriculum areas.</w:t>
      </w:r>
    </w:p>
    <w:p w:rsidR="1005F09B" w:rsidP="699829F1" w:rsidRDefault="1005F09B" w14:paraId="57497922" w14:textId="2ED1EC8D">
      <w:pPr>
        <w:pStyle w:val="Normal"/>
        <w:rPr>
          <w:rFonts w:ascii="Aptos" w:hAnsi="Aptos" w:eastAsia="Aptos" w:cs="Aptos"/>
          <w:b w:val="0"/>
          <w:bCs w:val="0"/>
          <w:i w:val="0"/>
          <w:iCs w:val="0"/>
          <w:noProof w:val="0"/>
          <w:color w:val="000000" w:themeColor="text1" w:themeTint="FF" w:themeShade="FF"/>
          <w:sz w:val="24"/>
          <w:szCs w:val="24"/>
          <w:lang w:val="en-GB"/>
        </w:rPr>
      </w:pPr>
      <w:r w:rsidRPr="699829F1" w:rsidR="699829F1">
        <w:rPr>
          <w:rFonts w:ascii="Aptos" w:hAnsi="Aptos" w:eastAsia="Aptos" w:cs="Aptos"/>
          <w:b w:val="0"/>
          <w:bCs w:val="0"/>
          <w:i w:val="0"/>
          <w:iCs w:val="0"/>
          <w:noProof w:val="0"/>
          <w:color w:val="000000" w:themeColor="text1" w:themeTint="FF" w:themeShade="FF"/>
          <w:sz w:val="24"/>
          <w:szCs w:val="24"/>
          <w:lang w:val="en-GB"/>
        </w:rPr>
        <w:t xml:space="preserve">Donut charts were employed to </w:t>
      </w:r>
      <w:r w:rsidRPr="699829F1" w:rsidR="699829F1">
        <w:rPr>
          <w:rFonts w:ascii="Aptos" w:hAnsi="Aptos" w:eastAsia="Aptos" w:cs="Aptos"/>
          <w:b w:val="0"/>
          <w:bCs w:val="0"/>
          <w:i w:val="0"/>
          <w:iCs w:val="0"/>
          <w:noProof w:val="0"/>
          <w:color w:val="000000" w:themeColor="text1" w:themeTint="FF" w:themeShade="FF"/>
          <w:sz w:val="24"/>
          <w:szCs w:val="24"/>
          <w:lang w:val="en-GB"/>
        </w:rPr>
        <w:t>represent</w:t>
      </w:r>
      <w:r w:rsidRPr="699829F1" w:rsidR="699829F1">
        <w:rPr>
          <w:rFonts w:ascii="Aptos" w:hAnsi="Aptos" w:eastAsia="Aptos" w:cs="Aptos"/>
          <w:b w:val="0"/>
          <w:bCs w:val="0"/>
          <w:i w:val="0"/>
          <w:iCs w:val="0"/>
          <w:noProof w:val="0"/>
          <w:color w:val="000000" w:themeColor="text1" w:themeTint="FF" w:themeShade="FF"/>
          <w:sz w:val="24"/>
          <w:szCs w:val="24"/>
          <w:lang w:val="en-GB"/>
        </w:rPr>
        <w:t xml:space="preserve"> the distribution of student achievers and leavers by age group in figures 7 and 12, respectively. This visualisation was chosen as donut charts are effective for displaying proportions within categories that have few distinct values (Cai, et al., 2018). Given that there are only two age group categories, the donut chart makes it easy to compare the distribution of achievers and leavers between these two age groups.</w:t>
      </w:r>
    </w:p>
    <w:p w:rsidR="6FCAEE94" w:rsidP="6FCAEE94" w:rsidRDefault="6FCAEE94" w14:paraId="35AD74B9" w14:textId="0E239B7F">
      <w:pPr>
        <w:pStyle w:val="Normal"/>
        <w:rPr>
          <w:rFonts w:ascii="Aptos" w:hAnsi="Aptos" w:eastAsia="Aptos" w:cs="Aptos"/>
          <w:b w:val="0"/>
          <w:bCs w:val="0"/>
          <w:i w:val="0"/>
          <w:iCs w:val="0"/>
          <w:noProof w:val="0"/>
          <w:color w:val="000000" w:themeColor="text1" w:themeTint="FF" w:themeShade="FF"/>
          <w:sz w:val="24"/>
          <w:szCs w:val="24"/>
          <w:lang w:val="en-GB"/>
        </w:rPr>
      </w:pPr>
      <w:r w:rsidRPr="6FCAEE94" w:rsidR="6FCAEE94">
        <w:rPr>
          <w:rFonts w:ascii="Aptos" w:hAnsi="Aptos" w:eastAsia="Aptos" w:cs="Aptos"/>
          <w:b w:val="0"/>
          <w:bCs w:val="0"/>
          <w:i w:val="0"/>
          <w:iCs w:val="0"/>
          <w:noProof w:val="0"/>
          <w:color w:val="000000" w:themeColor="text1" w:themeTint="FF" w:themeShade="FF"/>
          <w:sz w:val="24"/>
          <w:szCs w:val="24"/>
          <w:lang w:val="en-GB"/>
        </w:rPr>
        <w:t xml:space="preserve">To visualise changes in leavers, achievement, and retention over academic years, a combination line chart was selected (figure 3). Line charts are particularly useful for highlighting peaks and troughs in data over time, making it easy for users to </w:t>
      </w:r>
      <w:r w:rsidRPr="6FCAEE94" w:rsidR="6FCAEE94">
        <w:rPr>
          <w:rFonts w:ascii="Aptos" w:hAnsi="Aptos" w:eastAsia="Aptos" w:cs="Aptos"/>
          <w:b w:val="0"/>
          <w:bCs w:val="0"/>
          <w:i w:val="0"/>
          <w:iCs w:val="0"/>
          <w:noProof w:val="0"/>
          <w:color w:val="000000" w:themeColor="text1" w:themeTint="FF" w:themeShade="FF"/>
          <w:sz w:val="24"/>
          <w:szCs w:val="24"/>
          <w:lang w:val="en-GB"/>
        </w:rPr>
        <w:t>observe</w:t>
      </w:r>
      <w:r w:rsidRPr="6FCAEE94" w:rsidR="6FCAEE94">
        <w:rPr>
          <w:rFonts w:ascii="Aptos" w:hAnsi="Aptos" w:eastAsia="Aptos" w:cs="Aptos"/>
          <w:b w:val="0"/>
          <w:bCs w:val="0"/>
          <w:i w:val="0"/>
          <w:iCs w:val="0"/>
          <w:noProof w:val="0"/>
          <w:color w:val="000000" w:themeColor="text1" w:themeTint="FF" w:themeShade="FF"/>
          <w:sz w:val="24"/>
          <w:szCs w:val="24"/>
          <w:lang w:val="en-GB"/>
        </w:rPr>
        <w:t xml:space="preserve"> trends (Heer, Kong, and </w:t>
      </w:r>
      <w:r w:rsidRPr="6FCAEE94" w:rsidR="6FCAEE94">
        <w:rPr>
          <w:rFonts w:ascii="Aptos" w:hAnsi="Aptos" w:eastAsia="Aptos" w:cs="Aptos"/>
          <w:b w:val="0"/>
          <w:bCs w:val="0"/>
          <w:i w:val="0"/>
          <w:iCs w:val="0"/>
          <w:noProof w:val="0"/>
          <w:color w:val="000000" w:themeColor="text1" w:themeTint="FF" w:themeShade="FF"/>
          <w:sz w:val="24"/>
          <w:szCs w:val="24"/>
          <w:lang w:val="en-GB"/>
        </w:rPr>
        <w:t>Agrawala</w:t>
      </w:r>
      <w:r w:rsidRPr="6FCAEE94" w:rsidR="6FCAEE94">
        <w:rPr>
          <w:rFonts w:ascii="Aptos" w:hAnsi="Aptos" w:eastAsia="Aptos" w:cs="Aptos"/>
          <w:b w:val="0"/>
          <w:bCs w:val="0"/>
          <w:i w:val="0"/>
          <w:iCs w:val="0"/>
          <w:noProof w:val="0"/>
          <w:color w:val="000000" w:themeColor="text1" w:themeTint="FF" w:themeShade="FF"/>
          <w:sz w:val="24"/>
          <w:szCs w:val="24"/>
          <w:lang w:val="en-GB"/>
        </w:rPr>
        <w:t>, 2009). This chart caters to both general users, who may simply want to track overall trends for the college, and analytical users, who can gain more detailed insights through filtering.</w:t>
      </w:r>
    </w:p>
    <w:p w:rsidR="6FCAEE94" w:rsidP="6FCAEE94" w:rsidRDefault="6FCAEE94" w14:paraId="276C7CEF" w14:textId="3E300A55">
      <w:pPr>
        <w:pStyle w:val="Normal"/>
      </w:pPr>
      <w:r w:rsidRPr="6FCAEE94" w:rsidR="6FCAEE94">
        <w:rPr>
          <w:rFonts w:ascii="Aptos" w:hAnsi="Aptos" w:eastAsia="Aptos" w:cs="Aptos"/>
          <w:b w:val="0"/>
          <w:bCs w:val="0"/>
          <w:i w:val="0"/>
          <w:iCs w:val="0"/>
          <w:noProof w:val="0"/>
          <w:color w:val="000000" w:themeColor="text1" w:themeTint="FF" w:themeShade="FF"/>
          <w:sz w:val="24"/>
          <w:szCs w:val="24"/>
          <w:lang w:val="en-GB"/>
        </w:rPr>
        <w:t xml:space="preserve">For example, when filtering the visual to display only entry-level qualifications, a significant drop followed by a peak is </w:t>
      </w:r>
      <w:r w:rsidRPr="6FCAEE94" w:rsidR="6FCAEE94">
        <w:rPr>
          <w:rFonts w:ascii="Aptos" w:hAnsi="Aptos" w:eastAsia="Aptos" w:cs="Aptos"/>
          <w:b w:val="0"/>
          <w:bCs w:val="0"/>
          <w:i w:val="0"/>
          <w:iCs w:val="0"/>
          <w:noProof w:val="0"/>
          <w:color w:val="000000" w:themeColor="text1" w:themeTint="FF" w:themeShade="FF"/>
          <w:sz w:val="24"/>
          <w:szCs w:val="24"/>
          <w:lang w:val="en-GB"/>
        </w:rPr>
        <w:t>observed</w:t>
      </w:r>
      <w:r w:rsidRPr="6FCAEE94" w:rsidR="6FCAEE94">
        <w:rPr>
          <w:rFonts w:ascii="Aptos" w:hAnsi="Aptos" w:eastAsia="Aptos" w:cs="Aptos"/>
          <w:b w:val="0"/>
          <w:bCs w:val="0"/>
          <w:i w:val="0"/>
          <w:iCs w:val="0"/>
          <w:noProof w:val="0"/>
          <w:color w:val="000000" w:themeColor="text1" w:themeTint="FF" w:themeShade="FF"/>
          <w:sz w:val="24"/>
          <w:szCs w:val="24"/>
          <w:lang w:val="en-GB"/>
        </w:rPr>
        <w:t xml:space="preserve"> across all three metrics in 2021/22 and 2022/23, respectively. This pattern could be attributed to the disruption of education caused by COVID-19 in 2021/22 (Andres, et al., 2023), followed by a rebound in 2022/23, as illustrated in figure 19.</w:t>
      </w:r>
    </w:p>
    <w:p w:rsidR="6FCAEE94" w:rsidP="699829F1" w:rsidRDefault="6FCAEE94" w14:paraId="6707D961" w14:textId="5DE03BCF">
      <w:pPr>
        <w:pStyle w:val="Normal"/>
        <w:rPr>
          <w:rFonts w:ascii="Aptos" w:hAnsi="Aptos" w:eastAsia="Aptos" w:cs="Aptos"/>
          <w:b w:val="0"/>
          <w:bCs w:val="0"/>
          <w:i w:val="0"/>
          <w:iCs w:val="0"/>
          <w:noProof w:val="0"/>
          <w:color w:val="000000" w:themeColor="text1" w:themeTint="FF" w:themeShade="FF"/>
          <w:sz w:val="24"/>
          <w:szCs w:val="24"/>
          <w:lang w:val="en-GB"/>
        </w:rPr>
      </w:pPr>
      <w:r w:rsidRPr="699829F1" w:rsidR="699829F1">
        <w:rPr>
          <w:rFonts w:ascii="Aptos" w:hAnsi="Aptos" w:eastAsia="Aptos" w:cs="Aptos"/>
          <w:b w:val="0"/>
          <w:bCs w:val="0"/>
          <w:i w:val="0"/>
          <w:iCs w:val="0"/>
          <w:noProof w:val="0"/>
          <w:color w:val="000000" w:themeColor="text1" w:themeTint="FF" w:themeShade="FF"/>
          <w:sz w:val="24"/>
          <w:szCs w:val="24"/>
          <w:lang w:val="en-GB"/>
        </w:rPr>
        <w:t>Mobile views were created for all dashboard pages (f</w:t>
      </w:r>
      <w:r w:rsidRPr="699829F1" w:rsidR="699829F1">
        <w:rPr>
          <w:rFonts w:ascii="Aptos" w:hAnsi="Aptos" w:eastAsia="Aptos" w:cs="Aptos"/>
          <w:b w:val="0"/>
          <w:bCs w:val="0"/>
          <w:i w:val="0"/>
          <w:iCs w:val="0"/>
          <w:noProof w:val="0"/>
          <w:color w:val="000000" w:themeColor="text1" w:themeTint="FF" w:themeShade="FF"/>
          <w:sz w:val="24"/>
          <w:szCs w:val="24"/>
          <w:lang w:val="en-GB"/>
        </w:rPr>
        <w:t>igure</w:t>
      </w:r>
      <w:r w:rsidRPr="699829F1" w:rsidR="699829F1">
        <w:rPr>
          <w:rFonts w:ascii="Aptos" w:hAnsi="Aptos" w:eastAsia="Aptos" w:cs="Aptos"/>
          <w:b w:val="0"/>
          <w:bCs w:val="0"/>
          <w:i w:val="0"/>
          <w:iCs w:val="0"/>
          <w:noProof w:val="0"/>
          <w:color w:val="000000" w:themeColor="text1" w:themeTint="FF" w:themeShade="FF"/>
          <w:sz w:val="24"/>
          <w:szCs w:val="24"/>
          <w:lang w:val="en-GB"/>
        </w:rPr>
        <w:t xml:space="preserve">s 15, 16, and 17), enabling access on various devices beyond computer monitors, including smartphones. This feature is particularly beneficial for stakeholders who are </w:t>
      </w:r>
      <w:r w:rsidRPr="699829F1" w:rsidR="699829F1">
        <w:rPr>
          <w:rFonts w:ascii="Aptos" w:hAnsi="Aptos" w:eastAsia="Aptos" w:cs="Aptos"/>
          <w:b w:val="0"/>
          <w:bCs w:val="0"/>
          <w:i w:val="0"/>
          <w:iCs w:val="0"/>
          <w:noProof w:val="0"/>
          <w:color w:val="000000" w:themeColor="text1" w:themeTint="FF" w:themeShade="FF"/>
          <w:sz w:val="24"/>
          <w:szCs w:val="24"/>
          <w:lang w:val="en-GB"/>
        </w:rPr>
        <w:t>frequently</w:t>
      </w:r>
      <w:r w:rsidRPr="699829F1" w:rsidR="699829F1">
        <w:rPr>
          <w:rFonts w:ascii="Aptos" w:hAnsi="Aptos" w:eastAsia="Aptos" w:cs="Aptos"/>
          <w:b w:val="0"/>
          <w:bCs w:val="0"/>
          <w:i w:val="0"/>
          <w:iCs w:val="0"/>
          <w:noProof w:val="0"/>
          <w:color w:val="000000" w:themeColor="text1" w:themeTint="FF" w:themeShade="FF"/>
          <w:sz w:val="24"/>
          <w:szCs w:val="24"/>
          <w:lang w:val="en-GB"/>
        </w:rPr>
        <w:t xml:space="preserve"> off-site or need to travel for business, such as executive management, who may not always have access to a computer. In these situations, the dashboard can be easily viewed on a portable device of their choice.</w:t>
      </w:r>
    </w:p>
    <w:p w:rsidR="7B42B98D" w:rsidP="7B42B98D" w:rsidRDefault="7B42B98D" w14:paraId="2FB4CEDF" w14:textId="7A3F7B4A">
      <w:pPr>
        <w:pStyle w:val="Heading1"/>
        <w:rPr>
          <w:rFonts w:ascii="Aptos" w:hAnsi="Aptos" w:eastAsia="Aptos" w:cs="Aptos"/>
          <w:noProof w:val="0"/>
          <w:sz w:val="24"/>
          <w:szCs w:val="24"/>
          <w:lang w:val="en-GB"/>
        </w:rPr>
      </w:pPr>
      <w:bookmarkStart w:name="_Actionable_Business_Insights" w:id="1714500620"/>
      <w:r w:rsidRPr="699829F1" w:rsidR="699829F1">
        <w:rPr>
          <w:noProof w:val="0"/>
          <w:lang w:val="en-GB"/>
        </w:rPr>
        <w:t>Actionable Business Insights</w:t>
      </w:r>
      <w:bookmarkEnd w:id="1714500620"/>
    </w:p>
    <w:p w:rsidR="7A9E9D8B" w:rsidP="7A9E9D8B" w:rsidRDefault="7A9E9D8B" w14:paraId="7840D82C" w14:textId="50FBFD16">
      <w:pPr>
        <w:pStyle w:val="Normal"/>
        <w:rPr>
          <w:noProof w:val="0"/>
          <w:lang w:val="en-GB"/>
        </w:rPr>
      </w:pPr>
      <w:r w:rsidRPr="7A9E9D8B" w:rsidR="7A9E9D8B">
        <w:rPr>
          <w:noProof w:val="0"/>
          <w:lang w:val="en-GB"/>
        </w:rPr>
        <w:t xml:space="preserve">By exploring the dashboard and interacting with its visual elements, users can reveal various actionable business insights. For instance, the five sector subject areas with the lowest retention rates can be </w:t>
      </w:r>
      <w:r w:rsidRPr="7A9E9D8B" w:rsidR="7A9E9D8B">
        <w:rPr>
          <w:noProof w:val="0"/>
          <w:lang w:val="en-GB"/>
        </w:rPr>
        <w:t>identified</w:t>
      </w:r>
      <w:r w:rsidRPr="7A9E9D8B" w:rsidR="7A9E9D8B">
        <w:rPr>
          <w:noProof w:val="0"/>
          <w:lang w:val="en-GB"/>
        </w:rPr>
        <w:t>. This can be achieved by navigating to the ‘Student Retention Rates’ page, drilling down to the subject area twos in the bar chart, sorting the chart by ‘Retention%’ in ascending order, and finally selecting the top five subject areas on the graph (figure 20).</w:t>
      </w:r>
    </w:p>
    <w:p w:rsidR="7A9E9D8B" w:rsidP="7A9E9D8B" w:rsidRDefault="7A9E9D8B" w14:paraId="3C4FCCF7" w14:textId="0601BF0C">
      <w:pPr>
        <w:spacing w:before="0" w:beforeAutospacing="off" w:after="240" w:afterAutospacing="off"/>
      </w:pPr>
      <w:r w:rsidRPr="699829F1" w:rsidR="699829F1">
        <w:rPr>
          <w:rFonts w:ascii="Aptos" w:hAnsi="Aptos" w:eastAsia="Aptos" w:cs="Aptos"/>
          <w:noProof w:val="0"/>
          <w:sz w:val="24"/>
          <w:szCs w:val="24"/>
          <w:lang w:val="en-GB"/>
        </w:rPr>
        <w:t xml:space="preserve">This view of the dashboard reveals that these five subject areas collectively had 1,614 student </w:t>
      </w:r>
      <w:r w:rsidRPr="699829F1" w:rsidR="699829F1">
        <w:rPr>
          <w:rFonts w:ascii="Aptos" w:hAnsi="Aptos" w:eastAsia="Aptos" w:cs="Aptos"/>
          <w:noProof w:val="0"/>
          <w:sz w:val="24"/>
          <w:szCs w:val="24"/>
          <w:lang w:val="en-GB"/>
        </w:rPr>
        <w:t>leavers</w:t>
      </w:r>
      <w:r w:rsidRPr="699829F1" w:rsidR="699829F1">
        <w:rPr>
          <w:rFonts w:ascii="Aptos" w:hAnsi="Aptos" w:eastAsia="Aptos" w:cs="Aptos"/>
          <w:noProof w:val="0"/>
          <w:sz w:val="24"/>
          <w:szCs w:val="24"/>
          <w:lang w:val="en-GB"/>
        </w:rPr>
        <w:t xml:space="preserve">, 273 withdrawals, and a retention rate of 83.17%, falling short of the college’s 90% retention target by 6.29%. Moreover, the tooltip in figure 20 </w:t>
      </w:r>
      <w:r w:rsidRPr="699829F1" w:rsidR="699829F1">
        <w:rPr>
          <w:rFonts w:ascii="Aptos" w:hAnsi="Aptos" w:eastAsia="Aptos" w:cs="Aptos"/>
          <w:noProof w:val="0"/>
          <w:sz w:val="24"/>
          <w:szCs w:val="24"/>
          <w:lang w:val="en-GB"/>
        </w:rPr>
        <w:t>indicates</w:t>
      </w:r>
      <w:r w:rsidRPr="699829F1" w:rsidR="699829F1">
        <w:rPr>
          <w:rFonts w:ascii="Aptos" w:hAnsi="Aptos" w:eastAsia="Aptos" w:cs="Aptos"/>
          <w:noProof w:val="0"/>
          <w:sz w:val="24"/>
          <w:szCs w:val="24"/>
          <w:lang w:val="en-GB"/>
        </w:rPr>
        <w:t xml:space="preserve"> that although the ‘History’ subject area performed the poorest, with a retention rate of 76.92%, it had </w:t>
      </w:r>
      <w:r w:rsidRPr="699829F1" w:rsidR="699829F1">
        <w:rPr>
          <w:rFonts w:ascii="Aptos" w:hAnsi="Aptos" w:eastAsia="Aptos" w:cs="Aptos"/>
          <w:noProof w:val="0"/>
          <w:sz w:val="24"/>
          <w:szCs w:val="24"/>
          <w:lang w:val="en-GB"/>
        </w:rPr>
        <w:t>relatively few</w:t>
      </w:r>
      <w:r w:rsidRPr="699829F1" w:rsidR="699829F1">
        <w:rPr>
          <w:rFonts w:ascii="Aptos" w:hAnsi="Aptos" w:eastAsia="Aptos" w:cs="Aptos"/>
          <w:noProof w:val="0"/>
          <w:sz w:val="24"/>
          <w:szCs w:val="24"/>
          <w:lang w:val="en-GB"/>
        </w:rPr>
        <w:t xml:space="preserve"> learners; only 52 leavers and 17 withdrawals. Therefore, when assessing a subject area’s impact on overall college retention rates, the number of leavers and withdrawals should also be considered.</w:t>
      </w:r>
    </w:p>
    <w:p w:rsidR="7A9E9D8B" w:rsidP="7A9E9D8B" w:rsidRDefault="7A9E9D8B" w14:paraId="2133857B" w14:textId="390A3BAE">
      <w:pPr>
        <w:spacing w:before="240" w:beforeAutospacing="off" w:after="240" w:afterAutospacing="off"/>
      </w:pPr>
      <w:r w:rsidRPr="7A9E9D8B" w:rsidR="7A9E9D8B">
        <w:rPr>
          <w:rFonts w:ascii="Aptos" w:hAnsi="Aptos" w:eastAsia="Aptos" w:cs="Aptos"/>
          <w:noProof w:val="0"/>
          <w:sz w:val="24"/>
          <w:szCs w:val="24"/>
          <w:lang w:val="en-GB"/>
        </w:rPr>
        <w:t>Additionally, figure 20 shows the ‘Retention%’ by Qualification Level for these five subject areas, highlighting that only entry-level qualifications exceed the business retention KPI. The other levels fall short, with Level 4 qualifications having the lowest retention.</w:t>
      </w:r>
    </w:p>
    <w:p w:rsidR="7A9E9D8B" w:rsidP="7A9E9D8B" w:rsidRDefault="7A9E9D8B" w14:paraId="56C4DB82" w14:textId="005AF4F4">
      <w:pPr>
        <w:pStyle w:val="Normal"/>
        <w:suppressLineNumbers w:val="0"/>
        <w:bidi w:val="0"/>
        <w:spacing w:before="0" w:beforeAutospacing="off" w:after="160" w:afterAutospacing="off" w:line="279" w:lineRule="auto"/>
        <w:ind w:left="0" w:right="0"/>
        <w:jc w:val="left"/>
        <w:rPr>
          <w:rFonts w:ascii="Aptos" w:hAnsi="Aptos" w:eastAsia="Aptos" w:cs="Aptos"/>
          <w:noProof w:val="0"/>
          <w:sz w:val="24"/>
          <w:szCs w:val="24"/>
          <w:lang w:val="en-GB"/>
        </w:rPr>
      </w:pPr>
      <w:r w:rsidRPr="7A9E9D8B" w:rsidR="7A9E9D8B">
        <w:rPr>
          <w:rFonts w:ascii="Aptos" w:hAnsi="Aptos" w:eastAsia="Aptos" w:cs="Aptos"/>
          <w:noProof w:val="0"/>
          <w:sz w:val="24"/>
          <w:szCs w:val="24"/>
          <w:lang w:val="en-GB"/>
        </w:rPr>
        <w:t xml:space="preserve">With this information, upper management stakeholders can be updated on the retention rates of these subject areas, enabling them to provide support for improving student retention. They could collaborate with the staff from these curriculum areas, such as Curriculum Managers, to investigate issues affecting retention more closely. For instance, gathering feedback from learners in the Level 4 qualifications of these areas could </w:t>
      </w:r>
      <w:r w:rsidRPr="7A9E9D8B" w:rsidR="7A9E9D8B">
        <w:rPr>
          <w:rFonts w:ascii="Aptos" w:hAnsi="Aptos" w:eastAsia="Aptos" w:cs="Aptos"/>
          <w:noProof w:val="0"/>
          <w:sz w:val="24"/>
          <w:szCs w:val="24"/>
          <w:lang w:val="en-GB"/>
        </w:rPr>
        <w:t>identify</w:t>
      </w:r>
      <w:r w:rsidRPr="7A9E9D8B" w:rsidR="7A9E9D8B">
        <w:rPr>
          <w:rFonts w:ascii="Aptos" w:hAnsi="Aptos" w:eastAsia="Aptos" w:cs="Aptos"/>
          <w:noProof w:val="0"/>
          <w:sz w:val="24"/>
          <w:szCs w:val="24"/>
          <w:lang w:val="en-GB"/>
        </w:rPr>
        <w:t xml:space="preserve"> challenges they may be facing with their education. </w:t>
      </w:r>
    </w:p>
    <w:p w:rsidR="7A9E9D8B" w:rsidP="7A9E9D8B" w:rsidRDefault="7A9E9D8B" w14:paraId="59C4316F" w14:textId="19D8987A">
      <w:pPr>
        <w:pStyle w:val="Normal"/>
        <w:suppressLineNumbers w:val="0"/>
        <w:bidi w:val="0"/>
        <w:spacing w:before="0" w:beforeAutospacing="off" w:after="160" w:afterAutospacing="off" w:line="279" w:lineRule="auto"/>
        <w:ind w:left="0" w:right="0"/>
        <w:jc w:val="left"/>
        <w:rPr>
          <w:rFonts w:ascii="Aptos" w:hAnsi="Aptos" w:eastAsia="Aptos" w:cs="Aptos"/>
          <w:noProof w:val="0"/>
          <w:sz w:val="24"/>
          <w:szCs w:val="24"/>
          <w:lang w:val="en-GB"/>
        </w:rPr>
      </w:pPr>
      <w:r w:rsidRPr="7A9E9D8B" w:rsidR="7A9E9D8B">
        <w:rPr>
          <w:rFonts w:ascii="Aptos" w:hAnsi="Aptos" w:eastAsia="Aptos" w:cs="Aptos"/>
          <w:noProof w:val="0"/>
          <w:sz w:val="24"/>
          <w:szCs w:val="24"/>
          <w:lang w:val="en-GB"/>
        </w:rPr>
        <w:t xml:space="preserve">Additionally, this information could be cross-referenced with other potentially relevant reports to deepen the understanding of factors influencing retention. For example, attendance data could be cross-referenced, as attendance is </w:t>
      </w:r>
      <w:r w:rsidRPr="7A9E9D8B" w:rsidR="7A9E9D8B">
        <w:rPr>
          <w:rFonts w:ascii="Aptos" w:hAnsi="Aptos" w:eastAsia="Aptos" w:cs="Aptos"/>
          <w:noProof w:val="0"/>
          <w:sz w:val="24"/>
          <w:szCs w:val="24"/>
          <w:lang w:val="en-GB"/>
        </w:rPr>
        <w:t xml:space="preserve">one </w:t>
      </w:r>
      <w:r w:rsidRPr="7A9E9D8B" w:rsidR="7A9E9D8B">
        <w:rPr>
          <w:rFonts w:ascii="Aptos" w:hAnsi="Aptos" w:eastAsia="Aptos" w:cs="Aptos"/>
          <w:noProof w:val="0"/>
          <w:sz w:val="24"/>
          <w:szCs w:val="24"/>
          <w:lang w:val="en-GB"/>
        </w:rPr>
        <w:t xml:space="preserve">factor that can </w:t>
      </w:r>
      <w:r w:rsidRPr="7A9E9D8B" w:rsidR="7A9E9D8B">
        <w:rPr>
          <w:rFonts w:ascii="Aptos" w:hAnsi="Aptos" w:eastAsia="Aptos" w:cs="Aptos"/>
          <w:noProof w:val="0"/>
          <w:sz w:val="24"/>
          <w:szCs w:val="24"/>
          <w:lang w:val="en-GB"/>
        </w:rPr>
        <w:t>impact</w:t>
      </w:r>
      <w:r w:rsidRPr="7A9E9D8B" w:rsidR="7A9E9D8B">
        <w:rPr>
          <w:rFonts w:ascii="Aptos" w:hAnsi="Aptos" w:eastAsia="Aptos" w:cs="Aptos"/>
          <w:noProof w:val="0"/>
          <w:sz w:val="24"/>
          <w:szCs w:val="24"/>
          <w:lang w:val="en-GB"/>
        </w:rPr>
        <w:t xml:space="preserve"> student retention (Bowen, 2005).</w:t>
      </w:r>
    </w:p>
    <w:p w:rsidR="7A9E9D8B" w:rsidP="51F172F6" w:rsidRDefault="7A9E9D8B" w14:paraId="115265E2" w14:textId="3A887689">
      <w:pPr>
        <w:pStyle w:val="Normal"/>
        <w:rPr>
          <w:noProof w:val="0"/>
          <w:lang w:val="en-GB"/>
        </w:rPr>
      </w:pPr>
      <w:r w:rsidRPr="51F172F6" w:rsidR="51F172F6">
        <w:rPr>
          <w:noProof w:val="0"/>
          <w:lang w:val="en-GB"/>
        </w:rPr>
        <w:t xml:space="preserve">The ‘Leavers, Achievement, and Retention Trends’ page can be analysed and compared between the 16-19 and 19+ age groups. This can be performed by simply filtering this dashboard page by each age group (figure 21). </w:t>
      </w:r>
    </w:p>
    <w:p w:rsidR="7A9E9D8B" w:rsidP="7A9E9D8B" w:rsidRDefault="7A9E9D8B" w14:paraId="70886922" w14:textId="4B60E0F0">
      <w:pPr>
        <w:pStyle w:val="Normal"/>
        <w:rPr>
          <w:noProof w:val="0"/>
          <w:lang w:val="en-GB"/>
        </w:rPr>
      </w:pPr>
      <w:r w:rsidRPr="699829F1" w:rsidR="699829F1">
        <w:rPr>
          <w:noProof w:val="0"/>
          <w:lang w:val="en-GB"/>
        </w:rPr>
        <w:t>For the 16-19 learners, it can be observed from this that the number of leavers grew steadily from around 6,000 in 2018/19 to almost 7,000 in 2020/21 but dropped to just over 6,400 in 2022/23. ‘Retention%’ over time for 16-19 students only changed slightly over time, starting at around 94% in 2018/19, then having slight decreases and growth over the years, and finishing at under 90% in 2022/23. ‘Achievement%’ for this age group started just above 80% in 2018/19, remained mostly static until 2021/22 where this dropped to around 75%, then recovered back to 80% in 2022/23.</w:t>
      </w:r>
    </w:p>
    <w:p w:rsidR="51F172F6" w:rsidP="51F172F6" w:rsidRDefault="51F172F6" w14:paraId="7642D75D" w14:textId="6882BD0E">
      <w:pPr>
        <w:pStyle w:val="Normal"/>
        <w:rPr>
          <w:noProof w:val="0"/>
          <w:lang w:val="en-GB"/>
        </w:rPr>
      </w:pPr>
      <w:r w:rsidRPr="699829F1" w:rsidR="699829F1">
        <w:rPr>
          <w:noProof w:val="0"/>
          <w:lang w:val="en-GB"/>
        </w:rPr>
        <w:t>For the 19+ students, leavers started at over 5,000 leavers in 2018/19, dropped the following academic year, then rose back to around 5,000 leavers in 2020/21. However, leavers then dropped to under 3,000 in 2021/22 then around 2,000 in 2022/23. ‘Retention%’ for these students started at over 95% then gradually decreased until 2021/22 at around 87% but rose to around 91% in 2022/23. ‘Achievement%’ followed a similar pattern, starting at 90% in 2018/19, decreasing until 2021/22 at around 82%, then rose to around 86% in 2022/23.</w:t>
      </w:r>
    </w:p>
    <w:p w:rsidR="51F172F6" w:rsidP="51F172F6" w:rsidRDefault="51F172F6" w14:paraId="11B609B8" w14:textId="7228CEA7">
      <w:pPr>
        <w:pStyle w:val="Normal"/>
        <w:rPr>
          <w:noProof w:val="0"/>
          <w:lang w:val="en-GB"/>
        </w:rPr>
      </w:pPr>
      <w:r w:rsidRPr="699829F1" w:rsidR="699829F1">
        <w:rPr>
          <w:noProof w:val="0"/>
          <w:lang w:val="en-GB"/>
        </w:rPr>
        <w:t>An actionable insight from these numbers could be to investigate whether the decline across all metrics for both age groups in 2021/22, followed by a recovery in 2022/23, is linked to the impact of COVID-19 on education in the UK (Andres, et al., 2023). If this is the case, it could be valuable for the college to explore how another pandemic might affect student outcomes and what measures could be taken to mitigate these impacts.</w:t>
      </w:r>
    </w:p>
    <w:p w:rsidR="7A9E9D8B" w:rsidP="7A9E9D8B" w:rsidRDefault="7A9E9D8B" w14:paraId="12E76A74" w14:textId="51F8B9D5">
      <w:pPr>
        <w:pStyle w:val="Normal"/>
        <w:rPr>
          <w:noProof w:val="0"/>
          <w:lang w:val="en-GB"/>
        </w:rPr>
      </w:pPr>
      <w:r w:rsidRPr="0C376BC6" w:rsidR="0C376BC6">
        <w:rPr>
          <w:noProof w:val="0"/>
          <w:lang w:val="en-GB"/>
        </w:rPr>
        <w:t xml:space="preserve">Another action point could be to further analyse the decline in adult retention, as this trend did not occur among 16-19 students. Although adult retention improved </w:t>
      </w:r>
      <w:r w:rsidRPr="0C376BC6" w:rsidR="0C376BC6">
        <w:rPr>
          <w:noProof w:val="0"/>
          <w:lang w:val="en-GB"/>
        </w:rPr>
        <w:t>somewhat in</w:t>
      </w:r>
      <w:r w:rsidRPr="0C376BC6" w:rsidR="0C376BC6">
        <w:rPr>
          <w:noProof w:val="0"/>
          <w:lang w:val="en-GB"/>
        </w:rPr>
        <w:t xml:space="preserve"> 2022/23, it is undesirable for education providers when fewer learners complete their education. Therefore, it could be valuable for the business to </w:t>
      </w:r>
      <w:r w:rsidRPr="0C376BC6" w:rsidR="0C376BC6">
        <w:rPr>
          <w:noProof w:val="0"/>
          <w:lang w:val="en-GB"/>
        </w:rPr>
        <w:t>identify</w:t>
      </w:r>
      <w:r w:rsidRPr="0C376BC6" w:rsidR="0C376BC6">
        <w:rPr>
          <w:noProof w:val="0"/>
          <w:lang w:val="en-GB"/>
        </w:rPr>
        <w:t xml:space="preserve"> any specific causes behind this decline to prevent further reductions in retention.</w:t>
      </w:r>
    </w:p>
    <w:p w:rsidR="0C376BC6" w:rsidP="0C376BC6" w:rsidRDefault="0C376BC6" w14:paraId="3A01F518" w14:textId="064B0915">
      <w:pPr>
        <w:pStyle w:val="Normal"/>
        <w:rPr>
          <w:noProof w:val="0"/>
          <w:lang w:val="en-GB"/>
        </w:rPr>
      </w:pPr>
      <w:r w:rsidRPr="699829F1" w:rsidR="699829F1">
        <w:rPr>
          <w:noProof w:val="0"/>
          <w:lang w:val="en-GB"/>
        </w:rPr>
        <w:t xml:space="preserve">From the ‘Student Achievement Rates’ screen, it can be observed that level 2 qualifications have the highest achievement rates. By selecting level 2 on the bar chart (figure 22), it is revealed that these qualifications have an achievement rate of 85.79%, exceeding the college’s achievement target KPI by 5.79%. </w:t>
      </w:r>
    </w:p>
    <w:p w:rsidR="0C376BC6" w:rsidP="0C376BC6" w:rsidRDefault="0C376BC6" w14:paraId="357125E6" w14:textId="22A3A927">
      <w:pPr>
        <w:pStyle w:val="Normal"/>
      </w:pPr>
      <w:r w:rsidRPr="699829F1" w:rsidR="699829F1">
        <w:rPr>
          <w:noProof w:val="0"/>
          <w:lang w:val="en-GB"/>
        </w:rPr>
        <w:t xml:space="preserve">Given the success of these courses, it may be beneficial for the business to </w:t>
      </w:r>
      <w:r w:rsidRPr="699829F1" w:rsidR="699829F1">
        <w:rPr>
          <w:noProof w:val="0"/>
          <w:lang w:val="en-GB"/>
        </w:rPr>
        <w:t>identify</w:t>
      </w:r>
      <w:r w:rsidRPr="699829F1" w:rsidR="699829F1">
        <w:rPr>
          <w:noProof w:val="0"/>
          <w:lang w:val="en-GB"/>
        </w:rPr>
        <w:t xml:space="preserve"> the factors contributing to these high achievement rates. For instance, gathering feedback from the curriculum staff teaching these courses could uncover common practices that could be implemented in other areas. Additionally, </w:t>
      </w:r>
      <w:r w:rsidRPr="699829F1" w:rsidR="699829F1">
        <w:rPr>
          <w:noProof w:val="0"/>
          <w:lang w:val="en-GB"/>
        </w:rPr>
        <w:t>identifying</w:t>
      </w:r>
      <w:r w:rsidRPr="699829F1" w:rsidR="699829F1">
        <w:rPr>
          <w:noProof w:val="0"/>
          <w:lang w:val="en-GB"/>
        </w:rPr>
        <w:t xml:space="preserve"> these successful courses could inform management’s decisions on which courses to continue delivering in future academic years.</w:t>
      </w:r>
    </w:p>
    <w:p w:rsidR="0C376BC6" w:rsidP="699829F1" w:rsidRDefault="0C376BC6" w14:paraId="0BFA8949" w14:textId="3CC77931">
      <w:pPr>
        <w:spacing w:before="0" w:beforeAutospacing="off" w:after="240" w:afterAutospacing="off"/>
      </w:pPr>
      <w:r w:rsidRPr="699829F1" w:rsidR="699829F1">
        <w:rPr>
          <w:rFonts w:ascii="Aptos" w:hAnsi="Aptos" w:eastAsia="Aptos" w:cs="Aptos"/>
          <w:noProof w:val="0"/>
          <w:sz w:val="24"/>
          <w:szCs w:val="24"/>
          <w:lang w:val="en-GB"/>
        </w:rPr>
        <w:t>Another use for the ‘Leavers, Achievement, and Retention Trends’ page could be to analyse these trends for specific sector subject areas. For example, in figure 23, when filtered by ‘Arts, Media, and Publishing,’ the page shows that the number of leavers in this area has nearly doubled over time, rising from just under 400 in 2018/19 to almost 800 in 2022/23.</w:t>
      </w:r>
    </w:p>
    <w:p w:rsidR="0C376BC6" w:rsidP="699829F1" w:rsidRDefault="0C376BC6" w14:paraId="0C839593" w14:textId="28B4C50E">
      <w:pPr>
        <w:spacing w:before="240" w:beforeAutospacing="off" w:after="240" w:afterAutospacing="off"/>
      </w:pPr>
      <w:r w:rsidRPr="699829F1" w:rsidR="699829F1">
        <w:rPr>
          <w:rFonts w:ascii="Aptos" w:hAnsi="Aptos" w:eastAsia="Aptos" w:cs="Aptos"/>
          <w:noProof w:val="0"/>
          <w:sz w:val="24"/>
          <w:szCs w:val="24"/>
          <w:lang w:val="en-GB"/>
        </w:rPr>
        <w:t>This use case may be particularly valuable for curriculum managers who want to monitor the performance of their specific areas over time. Additionally, these stakeholders could use this to predict the number of achievers/retained students they might expect in the current or future academic year. For instance, with ‘Arts, Media, and Publishing’ showing a consistent retention rate of around 88% over the past three years, if there are 800 students enrolled this academic year, they can expect approximately 704 leavers.</w:t>
      </w:r>
    </w:p>
    <w:p w:rsidR="699829F1" w:rsidP="699829F1" w:rsidRDefault="699829F1" w14:paraId="1FC7DF01" w14:textId="3DCFA012">
      <w:pPr>
        <w:pStyle w:val="Heading1"/>
        <w:rPr>
          <w:noProof w:val="0"/>
          <w:lang w:val="en-GB"/>
        </w:rPr>
      </w:pPr>
      <w:bookmarkStart w:name="_Concluding_Remarks" w:id="999657940"/>
      <w:r w:rsidRPr="699829F1" w:rsidR="699829F1">
        <w:rPr>
          <w:noProof w:val="0"/>
          <w:lang w:val="en-GB"/>
        </w:rPr>
        <w:t>Concluding</w:t>
      </w:r>
      <w:r w:rsidRPr="699829F1" w:rsidR="699829F1">
        <w:rPr>
          <w:noProof w:val="0"/>
          <w:lang w:val="en-GB"/>
        </w:rPr>
        <w:t xml:space="preserve"> Remarks</w:t>
      </w:r>
      <w:bookmarkEnd w:id="999657940"/>
    </w:p>
    <w:p w:rsidR="699829F1" w:rsidP="699829F1" w:rsidRDefault="699829F1" w14:paraId="648A1957" w14:textId="3F2D4E32">
      <w:pPr>
        <w:pStyle w:val="Normal"/>
        <w:suppressLineNumbers w:val="0"/>
        <w:bidi w:val="0"/>
        <w:spacing w:before="0" w:beforeAutospacing="off" w:after="160" w:afterAutospacing="off" w:line="279" w:lineRule="auto"/>
        <w:ind w:left="0" w:right="0"/>
        <w:jc w:val="left"/>
        <w:rPr>
          <w:noProof w:val="0"/>
          <w:lang w:val="en-GB"/>
        </w:rPr>
      </w:pPr>
      <w:r w:rsidRPr="699829F1" w:rsidR="699829F1">
        <w:rPr>
          <w:noProof w:val="0"/>
          <w:lang w:val="en-GB"/>
        </w:rPr>
        <w:t xml:space="preserve">The ‘Student Achievement and Retention Rates Dashboard’ was designed to summarise achievement and retention data for both general and analytical audiences within an FE education provider. The provided use cases exemplify how senior management can utilise the dashboard to </w:t>
      </w:r>
      <w:r w:rsidRPr="699829F1" w:rsidR="699829F1">
        <w:rPr>
          <w:noProof w:val="0"/>
          <w:lang w:val="en-GB"/>
        </w:rPr>
        <w:t>monitor</w:t>
      </w:r>
      <w:r w:rsidRPr="699829F1" w:rsidR="699829F1">
        <w:rPr>
          <w:noProof w:val="0"/>
          <w:lang w:val="en-GB"/>
        </w:rPr>
        <w:t xml:space="preserve"> overall college performance, while also </w:t>
      </w:r>
      <w:r w:rsidRPr="699829F1" w:rsidR="699829F1">
        <w:rPr>
          <w:noProof w:val="0"/>
          <w:lang w:val="en-GB"/>
        </w:rPr>
        <w:t>demonstrating</w:t>
      </w:r>
      <w:r w:rsidRPr="699829F1" w:rsidR="699829F1">
        <w:rPr>
          <w:noProof w:val="0"/>
          <w:lang w:val="en-GB"/>
        </w:rPr>
        <w:t xml:space="preserve"> how filtering and interaction enable more specific use by other stakeholders, including curriculum directors, for metrics such as achievement rates of </w:t>
      </w:r>
      <w:bookmarkStart w:name="_Int_w2d4nOUB" w:id="601955061"/>
      <w:r w:rsidRPr="699829F1" w:rsidR="699829F1">
        <w:rPr>
          <w:noProof w:val="0"/>
          <w:lang w:val="en-GB"/>
        </w:rPr>
        <w:t>particular subject</w:t>
      </w:r>
      <w:bookmarkEnd w:id="601955061"/>
      <w:r w:rsidRPr="699829F1" w:rsidR="699829F1">
        <w:rPr>
          <w:noProof w:val="0"/>
          <w:lang w:val="en-GB"/>
        </w:rPr>
        <w:t xml:space="preserve"> areas. Consequently, the dashboard should deliver business value to an FE provider by </w:t>
      </w:r>
      <w:r w:rsidRPr="699829F1" w:rsidR="699829F1">
        <w:rPr>
          <w:noProof w:val="0"/>
          <w:lang w:val="en-GB"/>
        </w:rPr>
        <w:t>facilitating</w:t>
      </w:r>
      <w:r w:rsidRPr="699829F1" w:rsidR="699829F1">
        <w:rPr>
          <w:noProof w:val="0"/>
          <w:lang w:val="en-GB"/>
        </w:rPr>
        <w:t xml:space="preserve"> data-driven decisions, such as </w:t>
      </w:r>
      <w:r w:rsidRPr="699829F1" w:rsidR="699829F1">
        <w:rPr>
          <w:noProof w:val="0"/>
          <w:lang w:val="en-GB"/>
        </w:rPr>
        <w:t>determining</w:t>
      </w:r>
      <w:r w:rsidRPr="699829F1" w:rsidR="699829F1">
        <w:rPr>
          <w:noProof w:val="0"/>
          <w:lang w:val="en-GB"/>
        </w:rPr>
        <w:t xml:space="preserve"> which courses to continue delivering or highlighting which areas of the college require </w:t>
      </w:r>
      <w:r w:rsidRPr="699829F1" w:rsidR="699829F1">
        <w:rPr>
          <w:noProof w:val="0"/>
          <w:lang w:val="en-GB"/>
        </w:rPr>
        <w:t>additional</w:t>
      </w:r>
      <w:r w:rsidRPr="699829F1" w:rsidR="699829F1">
        <w:rPr>
          <w:noProof w:val="0"/>
          <w:lang w:val="en-GB"/>
        </w:rPr>
        <w:t xml:space="preserve"> support.</w:t>
      </w:r>
    </w:p>
    <w:p w:rsidR="699829F1" w:rsidRDefault="699829F1" w14:paraId="4334ACE8" w14:textId="08DE3752">
      <w:r>
        <w:br w:type="page"/>
      </w:r>
    </w:p>
    <w:p w:rsidR="4EAF7E92" w:rsidP="4EAF7E92" w:rsidRDefault="4EAF7E92" w14:paraId="74E26D7E" w14:textId="78577E45">
      <w:pPr>
        <w:pStyle w:val="Heading1"/>
      </w:pPr>
      <w:bookmarkStart w:name="_References" w:id="96713099"/>
      <w:r w:rsidR="699829F1">
        <w:rPr/>
        <w:t>References</w:t>
      </w:r>
      <w:bookmarkEnd w:id="96713099"/>
    </w:p>
    <w:p w:rsidR="6FCAEE94" w:rsidP="6FCAEE94" w:rsidRDefault="6FCAEE94" w14:paraId="3B6587C4" w14:textId="4DA530B7">
      <w:pPr>
        <w:pStyle w:val="Normal"/>
      </w:pPr>
      <w:r w:rsidR="7A9E9D8B">
        <w:rPr/>
        <w:t xml:space="preserve">Andres, L., et al. (2023) ‘The Impact of COVID-19 on Education, Food &amp; Play-Leisure and Related Adaptations for Children and Young People: International Overview’, </w:t>
      </w:r>
      <w:r w:rsidRPr="7A9E9D8B" w:rsidR="7A9E9D8B">
        <w:rPr>
          <w:i w:val="1"/>
          <w:iCs w:val="1"/>
        </w:rPr>
        <w:t xml:space="preserve">PANEX-Youth </w:t>
      </w:r>
      <w:r w:rsidRPr="7A9E9D8B" w:rsidR="7A9E9D8B">
        <w:rPr>
          <w:i w:val="0"/>
          <w:iCs w:val="0"/>
        </w:rPr>
        <w:t xml:space="preserve">[Online]. Available at: </w:t>
      </w:r>
      <w:hyperlink r:id="R1ce845ae8a2e4b80">
        <w:r w:rsidRPr="7A9E9D8B" w:rsidR="7A9E9D8B">
          <w:rPr>
            <w:rStyle w:val="Hyperlink"/>
            <w:i w:val="0"/>
            <w:iCs w:val="0"/>
          </w:rPr>
          <w:t>https://discovery.ucl.ac.uk/id/eprint/10173372/</w:t>
        </w:r>
      </w:hyperlink>
      <w:r w:rsidRPr="7A9E9D8B" w:rsidR="7A9E9D8B">
        <w:rPr>
          <w:i w:val="0"/>
          <w:iCs w:val="0"/>
        </w:rPr>
        <w:t xml:space="preserve"> (Accessed 25</w:t>
      </w:r>
      <w:r w:rsidRPr="7A9E9D8B" w:rsidR="7A9E9D8B">
        <w:rPr>
          <w:i w:val="0"/>
          <w:iCs w:val="0"/>
          <w:vertAlign w:val="superscript"/>
        </w:rPr>
        <w:t>th</w:t>
      </w:r>
      <w:r w:rsidRPr="7A9E9D8B" w:rsidR="7A9E9D8B">
        <w:rPr>
          <w:i w:val="0"/>
          <w:iCs w:val="0"/>
        </w:rPr>
        <w:t xml:space="preserve"> August 2024)</w:t>
      </w:r>
    </w:p>
    <w:p w:rsidR="7A9E9D8B" w:rsidP="7A9E9D8B" w:rsidRDefault="7A9E9D8B" w14:paraId="537EF0DE" w14:textId="32B32979">
      <w:pPr>
        <w:pStyle w:val="Normal"/>
        <w:rPr>
          <w:i w:val="0"/>
          <w:iCs w:val="0"/>
        </w:rPr>
      </w:pPr>
      <w:r w:rsidRPr="7A9E9D8B" w:rsidR="7A9E9D8B">
        <w:rPr>
          <w:i w:val="0"/>
          <w:iCs w:val="0"/>
        </w:rPr>
        <w:t xml:space="preserve">Bowen, E., et al. (2005) ‘Improving the quantity and quality of attendance data to enhance student retention’, </w:t>
      </w:r>
      <w:r w:rsidRPr="7A9E9D8B" w:rsidR="7A9E9D8B">
        <w:rPr>
          <w:i w:val="1"/>
          <w:iCs w:val="1"/>
        </w:rPr>
        <w:t>Journal of Further and Higher Education</w:t>
      </w:r>
      <w:r w:rsidRPr="7A9E9D8B" w:rsidR="7A9E9D8B">
        <w:rPr>
          <w:i w:val="0"/>
          <w:iCs w:val="0"/>
        </w:rPr>
        <w:t xml:space="preserve">, 29(4) [Online]. Available at: </w:t>
      </w:r>
      <w:hyperlink r:id="R4e8e548e69c04da0">
        <w:r w:rsidRPr="7A9E9D8B" w:rsidR="7A9E9D8B">
          <w:rPr>
            <w:rStyle w:val="Hyperlink"/>
            <w:i w:val="0"/>
            <w:iCs w:val="0"/>
          </w:rPr>
          <w:t>https://doi-org.ezproxy.neu.edu/10.1080/03098770500353714</w:t>
        </w:r>
      </w:hyperlink>
      <w:r w:rsidRPr="7A9E9D8B" w:rsidR="7A9E9D8B">
        <w:rPr>
          <w:i w:val="0"/>
          <w:iCs w:val="0"/>
        </w:rPr>
        <w:t xml:space="preserve"> (Accessed 29</w:t>
      </w:r>
      <w:r w:rsidRPr="7A9E9D8B" w:rsidR="7A9E9D8B">
        <w:rPr>
          <w:i w:val="0"/>
          <w:iCs w:val="0"/>
          <w:vertAlign w:val="superscript"/>
        </w:rPr>
        <w:t>th</w:t>
      </w:r>
      <w:r w:rsidRPr="7A9E9D8B" w:rsidR="7A9E9D8B">
        <w:rPr>
          <w:i w:val="0"/>
          <w:iCs w:val="0"/>
        </w:rPr>
        <w:t xml:space="preserve"> August 2024)</w:t>
      </w:r>
    </w:p>
    <w:p w:rsidR="7B42B98D" w:rsidP="7B42B98D" w:rsidRDefault="7B42B98D" w14:paraId="592EB88D" w14:textId="59DD7595">
      <w:pPr>
        <w:pStyle w:val="Normal"/>
      </w:pPr>
      <w:r w:rsidR="6FCAEE94">
        <w:rPr/>
        <w:t xml:space="preserve">Cai, X., et al. (2018) ‘A study of the effect of doughnut chart parameters on proportion estimation accuracy’, </w:t>
      </w:r>
      <w:r w:rsidRPr="6FCAEE94" w:rsidR="6FCAEE94">
        <w:rPr>
          <w:i w:val="1"/>
          <w:iCs w:val="1"/>
        </w:rPr>
        <w:t>Computer Graphics Forum</w:t>
      </w:r>
      <w:r w:rsidR="6FCAEE94">
        <w:rPr/>
        <w:t xml:space="preserve">, 37(6) [Online]. Available at: </w:t>
      </w:r>
      <w:hyperlink r:id="Rb41a8f701da140d9">
        <w:r w:rsidRPr="6FCAEE94" w:rsidR="6FCAEE94">
          <w:rPr>
            <w:rStyle w:val="Hyperlink"/>
          </w:rPr>
          <w:t>https://doi.org/10.1111/cgf.13325</w:t>
        </w:r>
      </w:hyperlink>
      <w:r w:rsidR="6FCAEE94">
        <w:rPr/>
        <w:t xml:space="preserve"> (Accessed 24</w:t>
      </w:r>
      <w:r w:rsidRPr="6FCAEE94" w:rsidR="6FCAEE94">
        <w:rPr>
          <w:vertAlign w:val="superscript"/>
        </w:rPr>
        <w:t>th</w:t>
      </w:r>
      <w:r w:rsidR="6FCAEE94">
        <w:rPr/>
        <w:t xml:space="preserve"> August 2024)</w:t>
      </w:r>
    </w:p>
    <w:p w:rsidR="4EAF7E92" w:rsidP="7B42B98D" w:rsidRDefault="4EAF7E92" w14:paraId="0154CC27" w14:textId="65B338D1">
      <w:pPr>
        <w:pStyle w:val="Normal"/>
        <w:rPr>
          <w:i w:val="1"/>
          <w:iCs w:val="1"/>
          <w:sz w:val="22"/>
          <w:szCs w:val="22"/>
          <w:u w:val="none"/>
        </w:rPr>
      </w:pPr>
      <w:r w:rsidR="7B42B98D">
        <w:rPr/>
        <w:t xml:space="preserve">Department for Education (2023) </w:t>
      </w:r>
      <w:r w:rsidRPr="7B42B98D" w:rsidR="7B42B98D">
        <w:rPr>
          <w:i w:val="1"/>
          <w:iCs w:val="1"/>
          <w:u w:val="none"/>
        </w:rPr>
        <w:t xml:space="preserve">Education and training qualification achievement rates technical specification 2022 to 2023 </w:t>
      </w:r>
      <w:r w:rsidRPr="7B42B98D" w:rsidR="7B42B98D">
        <w:rPr>
          <w:i w:val="0"/>
          <w:iCs w:val="0"/>
          <w:u w:val="none"/>
        </w:rPr>
        <w:t xml:space="preserve">[Online]. Available at: </w:t>
      </w:r>
      <w:hyperlink r:id="R081e559a4a404acc">
        <w:r w:rsidRPr="7B42B98D" w:rsidR="7B42B98D">
          <w:rPr>
            <w:rStyle w:val="Hyperlink"/>
            <w:i w:val="0"/>
            <w:iCs w:val="0"/>
          </w:rPr>
          <w:t>https://assets.publishing.service.gov.uk/media/64de03b63fde6100134a542f/Education_and_training_qualification_achievement_rates_technical_specification_2022_to_2023_1.pdf</w:t>
        </w:r>
      </w:hyperlink>
      <w:r w:rsidRPr="7B42B98D" w:rsidR="7B42B98D">
        <w:rPr>
          <w:i w:val="0"/>
          <w:iCs w:val="0"/>
          <w:u w:val="none"/>
        </w:rPr>
        <w:t xml:space="preserve"> (Accessed 22</w:t>
      </w:r>
      <w:r w:rsidRPr="7B42B98D" w:rsidR="7B42B98D">
        <w:rPr>
          <w:i w:val="0"/>
          <w:iCs w:val="0"/>
          <w:u w:val="none"/>
          <w:vertAlign w:val="superscript"/>
        </w:rPr>
        <w:t>nd</w:t>
      </w:r>
      <w:r w:rsidRPr="7B42B98D" w:rsidR="7B42B98D">
        <w:rPr>
          <w:i w:val="0"/>
          <w:iCs w:val="0"/>
          <w:u w:val="none"/>
        </w:rPr>
        <w:t xml:space="preserve"> August 2024)</w:t>
      </w:r>
    </w:p>
    <w:p w:rsidR="7B42B98D" w:rsidP="7B42B98D" w:rsidRDefault="7B42B98D" w14:paraId="212200CA" w14:textId="0BEE81C1">
      <w:pPr>
        <w:pStyle w:val="Normal"/>
        <w:rPr>
          <w:i w:val="0"/>
          <w:iCs w:val="0"/>
          <w:u w:val="none"/>
        </w:rPr>
      </w:pPr>
      <w:r w:rsidRPr="7B42B98D" w:rsidR="7B42B98D">
        <w:rPr>
          <w:i w:val="0"/>
          <w:iCs w:val="0"/>
          <w:u w:val="none"/>
        </w:rPr>
        <w:t xml:space="preserve">Heer, J., Kong, N., and </w:t>
      </w:r>
      <w:r w:rsidRPr="7B42B98D" w:rsidR="7B42B98D">
        <w:rPr>
          <w:i w:val="0"/>
          <w:iCs w:val="0"/>
          <w:u w:val="none"/>
        </w:rPr>
        <w:t>Agrawala</w:t>
      </w:r>
      <w:r w:rsidRPr="7B42B98D" w:rsidR="7B42B98D">
        <w:rPr>
          <w:i w:val="0"/>
          <w:iCs w:val="0"/>
          <w:u w:val="none"/>
        </w:rPr>
        <w:t xml:space="preserve">, M. (2009) ‘Sizing the horizon: the effects of chart size and layering on the graphical </w:t>
      </w:r>
      <w:r w:rsidRPr="7B42B98D" w:rsidR="7B42B98D">
        <w:rPr>
          <w:i w:val="0"/>
          <w:iCs w:val="0"/>
          <w:u w:val="none"/>
        </w:rPr>
        <w:t>perception</w:t>
      </w:r>
      <w:r w:rsidRPr="7B42B98D" w:rsidR="7B42B98D">
        <w:rPr>
          <w:i w:val="0"/>
          <w:iCs w:val="0"/>
          <w:u w:val="none"/>
        </w:rPr>
        <w:t xml:space="preserve"> of time series visualizations’, </w:t>
      </w:r>
      <w:r w:rsidRPr="7B42B98D" w:rsidR="7B42B98D">
        <w:rPr>
          <w:i w:val="1"/>
          <w:iCs w:val="1"/>
          <w:u w:val="none"/>
        </w:rPr>
        <w:t xml:space="preserve">Proceedings of the SIGCHI conference on human factors in computing systems </w:t>
      </w:r>
      <w:r w:rsidRPr="7B42B98D" w:rsidR="7B42B98D">
        <w:rPr>
          <w:i w:val="0"/>
          <w:iCs w:val="0"/>
          <w:u w:val="none"/>
        </w:rPr>
        <w:t xml:space="preserve">[Online]. Available at: </w:t>
      </w:r>
      <w:hyperlink r:id="R638c3ef6d5e84db1">
        <w:r w:rsidRPr="7B42B98D" w:rsidR="7B42B98D">
          <w:rPr>
            <w:rStyle w:val="Hyperlink"/>
            <w:i w:val="0"/>
            <w:iCs w:val="0"/>
          </w:rPr>
          <w:t>https://doi.org/10.1145/1518701.1518897</w:t>
        </w:r>
      </w:hyperlink>
      <w:r w:rsidRPr="7B42B98D" w:rsidR="7B42B98D">
        <w:rPr>
          <w:i w:val="0"/>
          <w:iCs w:val="0"/>
          <w:u w:val="none"/>
        </w:rPr>
        <w:t xml:space="preserve"> (Accessed 25</w:t>
      </w:r>
      <w:r w:rsidRPr="7B42B98D" w:rsidR="7B42B98D">
        <w:rPr>
          <w:i w:val="0"/>
          <w:iCs w:val="0"/>
          <w:u w:val="none"/>
          <w:vertAlign w:val="superscript"/>
        </w:rPr>
        <w:t>th</w:t>
      </w:r>
      <w:r w:rsidRPr="7B42B98D" w:rsidR="7B42B98D">
        <w:rPr>
          <w:i w:val="0"/>
          <w:iCs w:val="0"/>
          <w:u w:val="none"/>
        </w:rPr>
        <w:t xml:space="preserve"> August 2024)</w:t>
      </w:r>
    </w:p>
    <w:p w:rsidR="4EAF7E92" w:rsidP="6FCAEE94" w:rsidRDefault="4EAF7E92" w14:paraId="48C66BA8" w14:textId="0214D118">
      <w:pPr>
        <w:pStyle w:val="Normal"/>
        <w:rPr>
          <w:i w:val="0"/>
          <w:iCs w:val="0"/>
          <w:u w:val="none"/>
        </w:rPr>
      </w:pPr>
      <w:r w:rsidRPr="6FCAEE94" w:rsidR="6FCAEE94">
        <w:rPr>
          <w:i w:val="0"/>
          <w:iCs w:val="0"/>
          <w:u w:val="none"/>
        </w:rPr>
        <w:t xml:space="preserve">Sarikaya, A., et al. (2018) ‘What do we talk about when we talk about dashboards?’, </w:t>
      </w:r>
      <w:r w:rsidRPr="6FCAEE94" w:rsidR="6FCAEE94">
        <w:rPr>
          <w:i w:val="1"/>
          <w:iCs w:val="1"/>
          <w:u w:val="none"/>
        </w:rPr>
        <w:t>IEEE transactions on visualization and computer graphics</w:t>
      </w:r>
      <w:r w:rsidRPr="6FCAEE94" w:rsidR="6FCAEE94">
        <w:rPr>
          <w:i w:val="0"/>
          <w:iCs w:val="0"/>
          <w:u w:val="none"/>
        </w:rPr>
        <w:t xml:space="preserve">, 25(1) [Online]. Available at: </w:t>
      </w:r>
      <w:hyperlink r:id="Rd8822cdab0204ec3">
        <w:r w:rsidRPr="6FCAEE94" w:rsidR="6FCAEE94">
          <w:rPr>
            <w:rStyle w:val="Hyperlink"/>
            <w:i w:val="0"/>
            <w:iCs w:val="0"/>
          </w:rPr>
          <w:t>https://doi.org/10.1109/TVCG.2018.2864903</w:t>
        </w:r>
      </w:hyperlink>
      <w:r w:rsidRPr="6FCAEE94" w:rsidR="6FCAEE94">
        <w:rPr>
          <w:i w:val="0"/>
          <w:iCs w:val="0"/>
          <w:u w:val="none"/>
        </w:rPr>
        <w:t xml:space="preserve"> (Accessed 22</w:t>
      </w:r>
      <w:r w:rsidRPr="6FCAEE94" w:rsidR="6FCAEE94">
        <w:rPr>
          <w:i w:val="0"/>
          <w:iCs w:val="0"/>
          <w:u w:val="none"/>
          <w:vertAlign w:val="superscript"/>
        </w:rPr>
        <w:t>nd</w:t>
      </w:r>
      <w:r w:rsidRPr="6FCAEE94" w:rsidR="6FCAEE94">
        <w:rPr>
          <w:i w:val="0"/>
          <w:iCs w:val="0"/>
          <w:u w:val="none"/>
        </w:rPr>
        <w:t xml:space="preserve"> August 2024)</w:t>
      </w:r>
    </w:p>
    <w:p w:rsidR="668F2655" w:rsidRDefault="668F2655" w14:paraId="40DB3EA4" w14:textId="14236996">
      <w:r>
        <w:br w:type="page"/>
      </w:r>
    </w:p>
    <w:p w:rsidR="1005F09B" w:rsidP="7A9E9D8B" w:rsidRDefault="1005F09B" w14:paraId="0CAF44A5" w14:textId="22523C2C">
      <w:pPr>
        <w:pStyle w:val="Heading1"/>
      </w:pPr>
      <w:bookmarkStart w:name="_Appendix" w:id="666707627"/>
      <w:r w:rsidR="699829F1">
        <w:rPr/>
        <w:t>Appendix</w:t>
      </w:r>
      <w:bookmarkEnd w:id="666707627"/>
    </w:p>
    <w:p w:rsidR="7A9E9D8B" w:rsidP="7A9E9D8B" w:rsidRDefault="7A9E9D8B" w14:paraId="1563C192" w14:textId="7CC3A5BD">
      <w:pPr>
        <w:pStyle w:val="Normal"/>
      </w:pPr>
    </w:p>
    <w:p w:rsidR="668F2655" w:rsidP="668F2655" w:rsidRDefault="668F2655" w14:paraId="5E9E4B16" w14:textId="78F6EE70">
      <w:pPr>
        <w:pStyle w:val="Subtitle"/>
        <w:jc w:val="center"/>
        <w:rPr>
          <w:sz w:val="24"/>
          <w:szCs w:val="24"/>
        </w:rPr>
      </w:pPr>
      <w:r w:rsidRPr="668F2655" w:rsidR="668F2655">
        <w:rPr>
          <w:sz w:val="24"/>
          <w:szCs w:val="24"/>
        </w:rPr>
        <w:t>Figure 1, Student Achievement Rates Dashboard Page</w:t>
      </w:r>
    </w:p>
    <w:p w:rsidR="6F794DC1" w:rsidP="6F794DC1" w:rsidRDefault="6F794DC1" w14:paraId="55116FA2" w14:textId="017F9F53">
      <w:pPr>
        <w:pStyle w:val="Normal"/>
      </w:pPr>
      <w:r>
        <w:drawing>
          <wp:anchor distT="0" distB="0" distL="114300" distR="114300" simplePos="0" relativeHeight="251658240" behindDoc="0" locked="0" layoutInCell="1" allowOverlap="1" wp14:editId="07CDCE78" wp14:anchorId="42958DD3">
            <wp:simplePos x="0" y="0"/>
            <wp:positionH relativeFrom="column">
              <wp:align>left</wp:align>
            </wp:positionH>
            <wp:positionV relativeFrom="paragraph">
              <wp:posOffset>0</wp:posOffset>
            </wp:positionV>
            <wp:extent cx="7451615" cy="4178362"/>
            <wp:effectExtent l="9525" t="9525" r="9525" b="9525"/>
            <wp:wrapSquare wrapText="bothSides"/>
            <wp:docPr id="1820213388" name="" title=""/>
            <wp:cNvGraphicFramePr>
              <a:graphicFrameLocks noChangeAspect="1"/>
            </wp:cNvGraphicFramePr>
            <a:graphic>
              <a:graphicData uri="http://schemas.openxmlformats.org/drawingml/2006/picture">
                <pic:pic>
                  <pic:nvPicPr>
                    <pic:cNvPr id="0" name=""/>
                    <pic:cNvPicPr/>
                  </pic:nvPicPr>
                  <pic:blipFill>
                    <a:blip r:embed="Rf32c3cc01c6f4f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7451615" cy="4178362"/>
                    </a:xfrm>
                    <a:prstGeom xmlns:a="http://schemas.openxmlformats.org/drawingml/2006/main"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p>
    <w:p w:rsidR="25F2A797" w:rsidRDefault="25F2A797" w14:paraId="351C53C3" w14:textId="48341DDC">
      <w:r>
        <w:br w:type="page"/>
      </w:r>
    </w:p>
    <w:p w:rsidR="25F2A797" w:rsidP="25F2A797" w:rsidRDefault="25F2A797" w14:paraId="3D5397AA" w14:textId="59116B53">
      <w:pPr>
        <w:pStyle w:val="Subtitle"/>
        <w:jc w:val="center"/>
        <w:rPr>
          <w:sz w:val="24"/>
          <w:szCs w:val="24"/>
        </w:rPr>
      </w:pPr>
      <w:r w:rsidRPr="25F2A797" w:rsidR="25F2A797">
        <w:rPr>
          <w:sz w:val="24"/>
          <w:szCs w:val="24"/>
        </w:rPr>
        <w:t>Figure 2, Student Retention Rates Dashboard Page</w:t>
      </w:r>
    </w:p>
    <w:p w:rsidR="668F2655" w:rsidP="668F2655" w:rsidRDefault="668F2655" w14:paraId="7E9D1E75" w14:textId="49D10B11">
      <w:pPr>
        <w:pStyle w:val="Normal"/>
      </w:pPr>
      <w:r>
        <w:drawing>
          <wp:anchor distT="0" distB="0" distL="114300" distR="114300" simplePos="0" relativeHeight="251658240" behindDoc="0" locked="0" layoutInCell="1" allowOverlap="1" wp14:editId="424A7536" wp14:anchorId="422A889A">
            <wp:simplePos x="0" y="0"/>
            <wp:positionH relativeFrom="column">
              <wp:align>left</wp:align>
            </wp:positionH>
            <wp:positionV relativeFrom="paragraph">
              <wp:posOffset>0</wp:posOffset>
            </wp:positionV>
            <wp:extent cx="7473995" cy="4203346"/>
            <wp:effectExtent l="9525" t="9525" r="9525" b="9525"/>
            <wp:wrapSquare wrapText="bothSides"/>
            <wp:docPr id="1819066658" name="" title=""/>
            <wp:cNvGraphicFramePr>
              <a:graphicFrameLocks noChangeAspect="1"/>
            </wp:cNvGraphicFramePr>
            <a:graphic>
              <a:graphicData uri="http://schemas.openxmlformats.org/drawingml/2006/picture">
                <pic:pic>
                  <pic:nvPicPr>
                    <pic:cNvPr id="0" name=""/>
                    <pic:cNvPicPr/>
                  </pic:nvPicPr>
                  <pic:blipFill>
                    <a:blip r:embed="Rf8882700f48240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473995" cy="4203346"/>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p>
    <w:p w:rsidR="25F2A797" w:rsidP="25F2A797" w:rsidRDefault="25F2A797" w14:paraId="3C652540" w14:textId="0D143D86">
      <w:pPr>
        <w:pStyle w:val="Subtitle"/>
        <w:jc w:val="center"/>
        <w:rPr>
          <w:sz w:val="24"/>
          <w:szCs w:val="24"/>
        </w:rPr>
      </w:pPr>
      <w:r w:rsidRPr="2E0B4C7F" w:rsidR="2E0B4C7F">
        <w:rPr>
          <w:sz w:val="24"/>
          <w:szCs w:val="24"/>
        </w:rPr>
        <w:t>Figure 3, Leavers, Achievement, and Retention Trends Dashboard Page</w:t>
      </w:r>
    </w:p>
    <w:p w:rsidR="25F2A797" w:rsidP="08A2A5D2" w:rsidRDefault="25F2A797" w14:paraId="607C8D85" w14:textId="53C0046A">
      <w:pPr>
        <w:pStyle w:val="Normal"/>
      </w:pPr>
      <w:r>
        <w:drawing>
          <wp:anchor distT="0" distB="0" distL="114300" distR="114300" simplePos="0" relativeHeight="251658240" behindDoc="0" locked="0" layoutInCell="1" allowOverlap="1" wp14:editId="7C5B1930" wp14:anchorId="101C1D35">
            <wp:simplePos x="0" y="0"/>
            <wp:positionH relativeFrom="column">
              <wp:align>left</wp:align>
            </wp:positionH>
            <wp:positionV relativeFrom="paragraph">
              <wp:posOffset>0</wp:posOffset>
            </wp:positionV>
            <wp:extent cx="7410674" cy="4143074"/>
            <wp:effectExtent l="9525" t="9525" r="9525" b="9525"/>
            <wp:wrapSquare wrapText="bothSides"/>
            <wp:docPr id="58219653" name="" title=""/>
            <wp:cNvGraphicFramePr>
              <a:graphicFrameLocks noChangeAspect="1"/>
            </wp:cNvGraphicFramePr>
            <a:graphic>
              <a:graphicData uri="http://schemas.openxmlformats.org/drawingml/2006/picture">
                <pic:pic>
                  <pic:nvPicPr>
                    <pic:cNvPr id="0" name=""/>
                    <pic:cNvPicPr/>
                  </pic:nvPicPr>
                  <pic:blipFill>
                    <a:blip r:embed="Rffa50fe4ab624f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410674" cy="4143074"/>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p>
    <w:p w:rsidR="2E0B4C7F" w:rsidP="2E0B4C7F" w:rsidRDefault="2E0B4C7F" w14:paraId="2C87BFEE" w14:textId="0AE0F5D2">
      <w:pPr>
        <w:pStyle w:val="Subtitle"/>
        <w:jc w:val="center"/>
        <w:rPr>
          <w:sz w:val="24"/>
          <w:szCs w:val="24"/>
        </w:rPr>
      </w:pPr>
      <w:r w:rsidRPr="576299B2" w:rsidR="576299B2">
        <w:rPr>
          <w:sz w:val="24"/>
          <w:szCs w:val="24"/>
        </w:rPr>
        <w:t>Figure 4, Student Achievement Rates Card Visuals</w:t>
      </w:r>
    </w:p>
    <w:p w:rsidR="2E0B4C7F" w:rsidP="699829F1" w:rsidRDefault="2E0B4C7F" w14:paraId="366CA56F" w14:textId="417193B3">
      <w:pPr>
        <w:pStyle w:val="Subtitle"/>
        <w:suppressLineNumbers w:val="0"/>
        <w:bidi w:val="0"/>
        <w:spacing w:before="0" w:beforeAutospacing="off" w:after="160" w:afterAutospacing="off" w:line="279" w:lineRule="auto"/>
        <w:ind w:left="0" w:right="0"/>
        <w:jc w:val="center"/>
        <w:rPr>
          <w:rFonts w:ascii="Aptos" w:hAnsi="Aptos" w:eastAsia="" w:cs="" w:asciiTheme="minorAscii" w:hAnsiTheme="minorAscii" w:eastAsiaTheme="majorEastAsia" w:cstheme="majorBidi"/>
          <w:noProof w:val="0"/>
          <w:color w:val="000000" w:themeColor="text1" w:themeTint="FF" w:themeShade="FF"/>
          <w:sz w:val="24"/>
          <w:szCs w:val="24"/>
          <w:lang w:val="en-GB" w:eastAsia="ja-JP" w:bidi="ar-SA"/>
        </w:rPr>
      </w:pPr>
      <w:r>
        <w:drawing>
          <wp:anchor distT="0" distB="0" distL="114300" distR="114300" simplePos="0" relativeHeight="251658240" behindDoc="0" locked="0" layoutInCell="1" allowOverlap="1" wp14:editId="7DC43C79" wp14:anchorId="36D666B4">
            <wp:simplePos x="0" y="0"/>
            <wp:positionH relativeFrom="column">
              <wp:align>left</wp:align>
            </wp:positionH>
            <wp:positionV relativeFrom="paragraph">
              <wp:posOffset>0</wp:posOffset>
            </wp:positionV>
            <wp:extent cx="7441004" cy="643642"/>
            <wp:effectExtent l="9525" t="9525" r="9525" b="9525"/>
            <wp:wrapSquare wrapText="bothSides"/>
            <wp:docPr id="1980560678" name="" title=""/>
            <wp:cNvGraphicFramePr>
              <a:graphicFrameLocks noChangeAspect="1"/>
            </wp:cNvGraphicFramePr>
            <a:graphic>
              <a:graphicData uri="http://schemas.openxmlformats.org/drawingml/2006/picture">
                <pic:pic>
                  <pic:nvPicPr>
                    <pic:cNvPr id="0" name=""/>
                    <pic:cNvPicPr/>
                  </pic:nvPicPr>
                  <pic:blipFill>
                    <a:blip r:embed="R8a104347595146af">
                      <a:extLst xmlns:a="http://schemas.openxmlformats.org/drawingml/2006/main">
                        <a:ext xmlns:a="http://schemas.openxmlformats.org/drawingml/2006/main" uri="{28A0092B-C50C-407E-A947-70E740481C1C}">
                          <a14:useLocalDpi xmlns:a14="http://schemas.microsoft.com/office/drawing/2010/main" val="0"/>
                        </a:ext>
                      </a:extLst>
                    </a:blip>
                    <a:srcRect l="3330" t="0" r="2414" b="0"/>
                    <a:stretch>
                      <a:fillRect/>
                    </a:stretch>
                  </pic:blipFill>
                  <pic:spPr>
                    <a:xfrm rot="0" flipH="0" flipV="0">
                      <a:off x="0" y="0"/>
                      <a:ext cx="7441004" cy="643642"/>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br/>
      </w:r>
      <w:r w:rsidRPr="699829F1" w:rsidR="576299B2">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t xml:space="preserve">Figure 5, </w:t>
      </w:r>
      <w:r w:rsidRPr="699829F1" w:rsidR="51C3DDFE">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t xml:space="preserve">Achievement% by Sector </w:t>
      </w:r>
      <w:r w:rsidRPr="699829F1" w:rsidR="51C3DDFE">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t>Subject</w:t>
      </w:r>
      <w:r w:rsidRPr="699829F1" w:rsidR="51C3DDFE">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t xml:space="preserve"> Area Bar Graph Including Tooltip</w:t>
      </w:r>
    </w:p>
    <w:p w:rsidR="2E0B4C7F" w:rsidP="08A2A5D2" w:rsidRDefault="2E0B4C7F" w14:textId="0E0DE0DD" w14:paraId="6E9D5BA1">
      <w:pPr>
        <w:pStyle w:val="Normal"/>
        <w:jc w:val="center"/>
      </w:pPr>
      <w:r>
        <w:drawing>
          <wp:anchor distT="0" distB="0" distL="114300" distR="114300" simplePos="0" relativeHeight="251658240" behindDoc="0" locked="0" layoutInCell="1" allowOverlap="1" wp14:editId="7B950918" wp14:anchorId="1965989D">
            <wp:simplePos x="0" y="0"/>
            <wp:positionH relativeFrom="column">
              <wp:align>left</wp:align>
            </wp:positionH>
            <wp:positionV relativeFrom="paragraph">
              <wp:posOffset>0</wp:posOffset>
            </wp:positionV>
            <wp:extent cx="7390930" cy="4443581"/>
            <wp:effectExtent l="9525" t="9525" r="9525" b="9525"/>
            <wp:wrapSquare wrapText="bothSides"/>
            <wp:docPr id="900101777" name="" title=""/>
            <wp:cNvGraphicFramePr>
              <a:graphicFrameLocks noChangeAspect="1"/>
            </wp:cNvGraphicFramePr>
            <a:graphic>
              <a:graphicData uri="http://schemas.openxmlformats.org/drawingml/2006/picture">
                <pic:pic>
                  <pic:nvPicPr>
                    <pic:cNvPr id="0" name=""/>
                    <pic:cNvPicPr/>
                  </pic:nvPicPr>
                  <pic:blipFill>
                    <a:blip r:embed="R8aac24b0a9554447">
                      <a:extLst xmlns:a="http://schemas.openxmlformats.org/drawingml/2006/main">
                        <a:ext xmlns:a="http://schemas.openxmlformats.org/drawingml/2006/main" uri="{28A0092B-C50C-407E-A947-70E740481C1C}">
                          <a14:useLocalDpi xmlns:a14="http://schemas.microsoft.com/office/drawing/2010/main" val="0"/>
                        </a:ext>
                      </a:extLst>
                    </a:blip>
                    <a:srcRect l="0" t="1275" r="0" b="0"/>
                    <a:stretch>
                      <a:fillRect/>
                    </a:stretch>
                  </pic:blipFill>
                  <pic:spPr xmlns:pic="http://schemas.openxmlformats.org/drawingml/2006/picture">
                    <a:xfrm xmlns:a="http://schemas.openxmlformats.org/drawingml/2006/main" rot="0" flipH="0" flipV="0">
                      <a:off x="0" y="0"/>
                      <a:ext cx="7390930" cy="4443581"/>
                    </a:xfrm>
                    <a:prstGeom xmlns:a="http://schemas.openxmlformats.org/drawingml/2006/main"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r>
        <w:br/>
      </w:r>
    </w:p>
    <w:p w:rsidR="2E0B4C7F" w:rsidP="08A2A5D2" w:rsidRDefault="2E0B4C7F" w14:paraId="76F1B79E" w14:textId="69B885EE">
      <w:pPr>
        <w:pStyle w:val="Normal"/>
        <w:jc w:val="center"/>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pPr>
    </w:p>
    <w:p w:rsidR="2E0B4C7F" w:rsidP="08A2A5D2" w:rsidRDefault="2E0B4C7F" w14:paraId="3DFB7B03" w14:textId="4A6C7680">
      <w:pPr>
        <w:pStyle w:val="Normal"/>
        <w:jc w:val="center"/>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pPr>
    </w:p>
    <w:p w:rsidR="2E0B4C7F" w:rsidP="08A2A5D2" w:rsidRDefault="2E0B4C7F" w14:paraId="25C2A3AE" w14:textId="77C9A93E">
      <w:pPr>
        <w:pStyle w:val="Normal"/>
        <w:jc w:val="center"/>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pPr>
    </w:p>
    <w:p w:rsidR="2E0B4C7F" w:rsidP="08A2A5D2" w:rsidRDefault="2E0B4C7F" w14:paraId="67650AFA" w14:textId="049AF6F1">
      <w:pPr>
        <w:pStyle w:val="Normal"/>
        <w:jc w:val="center"/>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pPr>
    </w:p>
    <w:p w:rsidR="2E0B4C7F" w:rsidP="08A2A5D2" w:rsidRDefault="2E0B4C7F" w14:paraId="51BA44EE" w14:textId="09E837EC">
      <w:pPr>
        <w:pStyle w:val="Normal"/>
        <w:jc w:val="center"/>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pPr>
    </w:p>
    <w:p w:rsidR="2E0B4C7F" w:rsidP="08A2A5D2" w:rsidRDefault="2E0B4C7F" w14:paraId="7F5C64D7" w14:textId="4EF7F105">
      <w:pPr>
        <w:pStyle w:val="Normal"/>
        <w:jc w:val="center"/>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pPr>
    </w:p>
    <w:p w:rsidR="2E0B4C7F" w:rsidP="08A2A5D2" w:rsidRDefault="2E0B4C7F" w14:paraId="0C205A08" w14:textId="2B5BCB6D">
      <w:pPr>
        <w:pStyle w:val="Normal"/>
        <w:jc w:val="center"/>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pPr>
    </w:p>
    <w:p w:rsidR="2E0B4C7F" w:rsidP="08A2A5D2" w:rsidRDefault="2E0B4C7F" w14:paraId="31207E1A" w14:textId="06F3E210">
      <w:pPr>
        <w:pStyle w:val="Normal"/>
        <w:jc w:val="center"/>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pPr>
    </w:p>
    <w:p w:rsidR="2E0B4C7F" w:rsidP="08A2A5D2" w:rsidRDefault="2E0B4C7F" w14:paraId="653A7D87" w14:textId="5B1D83D0">
      <w:pPr>
        <w:pStyle w:val="Normal"/>
        <w:jc w:val="center"/>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pPr>
    </w:p>
    <w:p w:rsidR="2E0B4C7F" w:rsidP="08A2A5D2" w:rsidRDefault="2E0B4C7F" w14:paraId="6C6B43E2" w14:textId="42BCF967">
      <w:pPr>
        <w:pStyle w:val="Normal"/>
        <w:jc w:val="center"/>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pPr>
    </w:p>
    <w:p w:rsidR="2E0B4C7F" w:rsidP="699829F1" w:rsidRDefault="2E0B4C7F" w14:paraId="479405B2" w14:textId="427F97A9">
      <w:pPr>
        <w:pStyle w:val="Subtitle"/>
        <w:suppressLineNumbers w:val="0"/>
        <w:bidi w:val="0"/>
        <w:spacing w:before="0" w:beforeAutospacing="off" w:after="160" w:afterAutospacing="off" w:line="279" w:lineRule="auto"/>
        <w:ind w:left="0" w:right="0"/>
        <w:jc w:val="center"/>
        <w:rPr>
          <w:rFonts w:ascii="Aptos" w:hAnsi="Aptos" w:eastAsia="" w:cs="" w:asciiTheme="minorAscii" w:hAnsiTheme="minorAscii" w:eastAsiaTheme="majorEastAsia" w:cstheme="majorBidi"/>
          <w:color w:val="595959" w:themeColor="text1" w:themeTint="A6" w:themeShade="FF"/>
          <w:sz w:val="24"/>
          <w:szCs w:val="24"/>
          <w:lang w:eastAsia="ja-JP" w:bidi="ar-SA"/>
        </w:rPr>
      </w:pPr>
      <w:r w:rsidRPr="699829F1" w:rsidR="699829F1">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t>Figure 6, Achievement% by Qualification Level Bar Graph Including Tooltip</w:t>
      </w:r>
      <w:r>
        <w:drawing>
          <wp:inline wp14:editId="1DA399FB" wp14:anchorId="71EEA771">
            <wp:extent cx="5724524" cy="4196450"/>
            <wp:effectExtent l="9525" t="9525" r="9525" b="9525"/>
            <wp:docPr id="298862357" name="" title=""/>
            <wp:cNvGraphicFramePr>
              <a:graphicFrameLocks noChangeAspect="1"/>
            </wp:cNvGraphicFramePr>
            <a:graphic>
              <a:graphicData uri="http://schemas.openxmlformats.org/drawingml/2006/picture">
                <pic:pic>
                  <pic:nvPicPr>
                    <pic:cNvPr id="0" name=""/>
                    <pic:cNvPicPr/>
                  </pic:nvPicPr>
                  <pic:blipFill>
                    <a:blip r:embed="R71e0d4c349da406e">
                      <a:extLst xmlns:a="http://schemas.openxmlformats.org/drawingml/2006/main">
                        <a:ext xmlns:a="http://schemas.openxmlformats.org/drawingml/2006/main" uri="{28A0092B-C50C-407E-A947-70E740481C1C}">
                          <a14:useLocalDpi xmlns:a14="http://schemas.microsoft.com/office/drawing/2010/main" val="0"/>
                        </a:ext>
                      </a:extLst>
                    </a:blip>
                    <a:srcRect l="0" t="1438" r="0" b="0"/>
                    <a:stretch>
                      <a:fillRect/>
                    </a:stretch>
                  </pic:blipFill>
                  <pic:spPr>
                    <a:xfrm rot="0" flipH="0" flipV="0">
                      <a:off x="0" y="0"/>
                      <a:ext cx="5724524" cy="4196450"/>
                    </a:xfrm>
                    <a:prstGeom prst="rect">
                      <a:avLst/>
                    </a:prstGeom>
                    <a:ln w="9525">
                      <a:solidFill>
                        <a:schemeClr val="tx1"/>
                      </a:solidFill>
                      <a:prstDash val="solid"/>
                    </a:ln>
                  </pic:spPr>
                </pic:pic>
              </a:graphicData>
            </a:graphic>
          </wp:inline>
        </w:drawing>
      </w:r>
    </w:p>
    <w:p w:rsidR="2E0B4C7F" w:rsidP="699829F1" w:rsidRDefault="2E0B4C7F" w14:paraId="1155B19B" w14:textId="14D678D4">
      <w:pPr>
        <w:pStyle w:val="Normal"/>
        <w:jc w:val="center"/>
        <w:rPr>
          <w:rFonts w:ascii="Aptos" w:hAnsi="Aptos" w:eastAsia="" w:cs="" w:asciiTheme="minorAscii" w:hAnsiTheme="minorAscii" w:eastAsiaTheme="majorEastAsia" w:cstheme="majorBidi"/>
          <w:color w:val="595959" w:themeColor="text1" w:themeTint="A6" w:themeShade="FF"/>
          <w:sz w:val="24"/>
          <w:szCs w:val="24"/>
          <w:lang w:eastAsia="ja-JP" w:bidi="ar-SA"/>
        </w:rPr>
      </w:pPr>
      <w:r w:rsidRPr="699829F1" w:rsidR="699829F1">
        <w:rPr>
          <w:rFonts w:ascii="Aptos" w:hAnsi="Aptos" w:eastAsia="" w:cs="" w:asciiTheme="minorAscii" w:hAnsiTheme="minorAscii" w:eastAsiaTheme="majorEastAsia" w:cstheme="majorBidi"/>
          <w:noProof w:val="0"/>
          <w:color w:val="000000" w:themeColor="text1" w:themeTint="FF" w:themeShade="FF"/>
          <w:sz w:val="24"/>
          <w:szCs w:val="24"/>
          <w:lang w:val="en-GB" w:eastAsia="ja-JP" w:bidi="ar-SA"/>
        </w:rPr>
        <w:t>F</w:t>
      </w:r>
      <w:r w:rsidRPr="699829F1" w:rsidR="699829F1">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t xml:space="preserve">igure 7, Total Achievers by Age Group Donut Chart Including </w:t>
      </w:r>
      <w:r w:rsidRPr="699829F1" w:rsidR="699829F1">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t>Toolti</w:t>
      </w:r>
      <w:r w:rsidRPr="699829F1" w:rsidR="699829F1">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t>p</w:t>
      </w:r>
      <w:r>
        <w:drawing>
          <wp:inline wp14:editId="1D259281" wp14:anchorId="667B3572">
            <wp:extent cx="4071988" cy="3802022"/>
            <wp:effectExtent l="9525" t="9525" r="9525" b="9525"/>
            <wp:docPr id="1154398694" name="" title=""/>
            <wp:cNvGraphicFramePr>
              <a:graphicFrameLocks noChangeAspect="1"/>
            </wp:cNvGraphicFramePr>
            <a:graphic>
              <a:graphicData uri="http://schemas.openxmlformats.org/drawingml/2006/picture">
                <pic:pic>
                  <pic:nvPicPr>
                    <pic:cNvPr id="0" name=""/>
                    <pic:cNvPicPr/>
                  </pic:nvPicPr>
                  <pic:blipFill>
                    <a:blip r:embed="Rd7da1181bfb94879">
                      <a:extLst xmlns:a="http://schemas.openxmlformats.org/drawingml/2006/main">
                        <a:ext xmlns:a="http://schemas.openxmlformats.org/drawingml/2006/main" uri="{28A0092B-C50C-407E-A947-70E740481C1C}">
                          <a14:useLocalDpi xmlns:a14="http://schemas.microsoft.com/office/drawing/2010/main" val="0"/>
                        </a:ext>
                      </a:extLst>
                    </a:blip>
                    <a:srcRect l="17435" t="3647" r="384" b="1268"/>
                    <a:stretch>
                      <a:fillRect/>
                    </a:stretch>
                  </pic:blipFill>
                  <pic:spPr>
                    <a:xfrm rot="0" flipH="0" flipV="0">
                      <a:off x="0" y="0"/>
                      <a:ext cx="4071988" cy="3802022"/>
                    </a:xfrm>
                    <a:prstGeom prst="rect">
                      <a:avLst/>
                    </a:prstGeom>
                    <a:ln w="9525">
                      <a:solidFill>
                        <a:schemeClr val="tx1"/>
                      </a:solidFill>
                      <a:prstDash val="solid"/>
                    </a:ln>
                  </pic:spPr>
                </pic:pic>
              </a:graphicData>
            </a:graphic>
          </wp:inline>
        </w:drawing>
      </w:r>
    </w:p>
    <w:p w:rsidR="08A2A5D2" w:rsidP="6F777143" w:rsidRDefault="08A2A5D2" w14:paraId="75A1F45D" w14:textId="16534C5C">
      <w:pPr>
        <w:pStyle w:val="Normal"/>
        <w:jc w:val="center"/>
        <w:rPr>
          <w:rFonts w:ascii="Aptos" w:hAnsi="Aptos" w:eastAsia="" w:cs="" w:asciiTheme="minorAscii" w:hAnsiTheme="minorAscii" w:eastAsiaTheme="majorEastAsia" w:cstheme="majorBidi"/>
          <w:noProof w:val="0"/>
          <w:color w:val="000000" w:themeColor="text1" w:themeTint="FF" w:themeShade="FF"/>
          <w:sz w:val="24"/>
          <w:szCs w:val="24"/>
          <w:lang w:val="en-GB" w:eastAsia="ja-JP" w:bidi="ar-SA"/>
        </w:rPr>
      </w:pPr>
    </w:p>
    <w:p w:rsidR="08A2A5D2" w:rsidP="6F777143" w:rsidRDefault="08A2A5D2" w14:paraId="05F15845" w14:textId="07DC2441">
      <w:pPr>
        <w:pStyle w:val="Normal"/>
        <w:jc w:val="center"/>
        <w:rPr>
          <w:rFonts w:ascii="Aptos" w:hAnsi="Aptos" w:eastAsia="" w:cs="" w:asciiTheme="minorAscii" w:hAnsiTheme="minorAscii" w:eastAsiaTheme="majorEastAsia" w:cstheme="majorBidi"/>
          <w:noProof w:val="0"/>
          <w:color w:val="000000" w:themeColor="text1" w:themeTint="FF" w:themeShade="FF"/>
          <w:sz w:val="24"/>
          <w:szCs w:val="24"/>
          <w:lang w:val="en-GB" w:eastAsia="ja-JP" w:bidi="ar-SA"/>
        </w:rPr>
      </w:pPr>
    </w:p>
    <w:p w:rsidR="0AC35582" w:rsidP="0AC35582" w:rsidRDefault="0AC35582" w14:paraId="28954AB8" w14:textId="7C9FEE35">
      <w:pPr>
        <w:pStyle w:val="Normal"/>
        <w:suppressLineNumbers w:val="0"/>
        <w:bidi w:val="0"/>
        <w:spacing w:before="0" w:beforeAutospacing="off" w:after="160" w:afterAutospacing="off" w:line="279" w:lineRule="auto"/>
        <w:ind w:left="0" w:right="0"/>
        <w:jc w:val="center"/>
        <w:rPr>
          <w:rFonts w:ascii="Aptos" w:hAnsi="Aptos" w:eastAsia="" w:cs="" w:asciiTheme="minorAscii" w:hAnsiTheme="minorAscii" w:eastAsiaTheme="majorEastAsia" w:cstheme="majorBidi"/>
          <w:noProof w:val="0"/>
          <w:color w:val="000000" w:themeColor="text1" w:themeTint="FF" w:themeShade="FF"/>
          <w:sz w:val="24"/>
          <w:szCs w:val="24"/>
          <w:lang w:val="en-GB" w:eastAsia="ja-JP" w:bidi="ar-SA"/>
        </w:rPr>
      </w:pPr>
    </w:p>
    <w:p w:rsidR="08A2A5D2" w:rsidP="0AC35582" w:rsidRDefault="08A2A5D2" w14:paraId="26977BAB" w14:textId="29A84EE0">
      <w:pPr>
        <w:pStyle w:val="Subtitle"/>
        <w:suppressLineNumbers w:val="0"/>
        <w:spacing w:before="0" w:beforeAutospacing="off" w:after="160" w:afterAutospacing="off" w:line="279" w:lineRule="auto"/>
        <w:ind w:left="0" w:right="0"/>
        <w:jc w:val="center"/>
        <w:rPr>
          <w:noProof w:val="0"/>
          <w:sz w:val="24"/>
          <w:szCs w:val="24"/>
          <w:lang w:val="en-GB"/>
        </w:rPr>
      </w:pPr>
      <w:r w:rsidRPr="7B42B98D" w:rsidR="7B42B98D">
        <w:rPr>
          <w:noProof w:val="0"/>
          <w:sz w:val="24"/>
          <w:szCs w:val="24"/>
          <w:lang w:val="en-GB"/>
        </w:rPr>
        <w:t>Figure 8, Student Achievement Rates Information Pane</w:t>
      </w:r>
    </w:p>
    <w:p w:rsidR="08A2A5D2" w:rsidP="008BA9C2" w:rsidRDefault="08A2A5D2" w14:paraId="3AF5C83D" w14:textId="666AF885">
      <w:pPr>
        <w:pStyle w:val="Normal"/>
        <w:numPr>
          <w:ilvl w:val="0"/>
          <w:numId w:val="0"/>
        </w:numPr>
        <w:jc w:val="center"/>
        <w:rPr>
          <w:rFonts w:ascii="Aptos" w:hAnsi="Aptos" w:eastAsia="" w:cs="" w:asciiTheme="minorAscii" w:hAnsiTheme="minorAscii" w:eastAsiaTheme="majorEastAsia" w:cstheme="majorBidi"/>
          <w:noProof w:val="0"/>
          <w:color w:val="000000" w:themeColor="text1" w:themeTint="FF" w:themeShade="FF"/>
          <w:sz w:val="24"/>
          <w:szCs w:val="24"/>
          <w:lang w:val="en-GB" w:eastAsia="ja-JP" w:bidi="ar-SA"/>
        </w:rPr>
      </w:pPr>
      <w:r>
        <w:drawing>
          <wp:anchor distT="0" distB="0" distL="114300" distR="114300" simplePos="0" relativeHeight="251658240" behindDoc="0" locked="0" layoutInCell="1" allowOverlap="1" wp14:editId="0E8E4EEB" wp14:anchorId="17DD6167">
            <wp:simplePos x="0" y="0"/>
            <wp:positionH relativeFrom="column">
              <wp:align>left</wp:align>
            </wp:positionH>
            <wp:positionV relativeFrom="paragraph">
              <wp:posOffset>0</wp:posOffset>
            </wp:positionV>
            <wp:extent cx="7410248" cy="1639872"/>
            <wp:effectExtent l="0" t="0" r="0" b="0"/>
            <wp:wrapSquare wrapText="bothSides"/>
            <wp:docPr id="1365364310" name="" title=""/>
            <wp:cNvGraphicFramePr>
              <a:graphicFrameLocks noChangeAspect="1"/>
            </wp:cNvGraphicFramePr>
            <a:graphic>
              <a:graphicData uri="http://schemas.openxmlformats.org/drawingml/2006/picture">
                <pic:pic>
                  <pic:nvPicPr>
                    <pic:cNvPr id="0" name=""/>
                    <pic:cNvPicPr/>
                  </pic:nvPicPr>
                  <pic:blipFill>
                    <a:blip r:embed="R7f348a99740f4642">
                      <a:extLst>
                        <a:ext xmlns:a="http://schemas.openxmlformats.org/drawingml/2006/main" uri="{28A0092B-C50C-407E-A947-70E740481C1C}">
                          <a14:useLocalDpi val="0"/>
                        </a:ext>
                      </a:extLst>
                    </a:blip>
                    <a:stretch>
                      <a:fillRect/>
                    </a:stretch>
                  </pic:blipFill>
                  <pic:spPr>
                    <a:xfrm>
                      <a:off x="0" y="0"/>
                      <a:ext cx="7410248" cy="1639872"/>
                    </a:xfrm>
                    <a:prstGeom prst="rect">
                      <a:avLst/>
                    </a:prstGeom>
                  </pic:spPr>
                </pic:pic>
              </a:graphicData>
            </a:graphic>
            <wp14:sizeRelH relativeFrom="page">
              <wp14:pctWidth>0</wp14:pctWidth>
            </wp14:sizeRelH>
            <wp14:sizeRelV relativeFrom="page">
              <wp14:pctHeight>0</wp14:pctHeight>
            </wp14:sizeRelV>
          </wp:anchor>
        </w:drawing>
      </w:r>
    </w:p>
    <w:p w:rsidR="2E0B4C7F" w:rsidP="008BA9C2" w:rsidRDefault="2E0B4C7F" w14:paraId="374D05E7" w14:textId="11BBC981">
      <w:pPr>
        <w:pStyle w:val="Subtitle"/>
        <w:jc w:val="center"/>
        <w:rPr>
          <w:sz w:val="24"/>
          <w:szCs w:val="24"/>
        </w:rPr>
      </w:pPr>
      <w:r w:rsidRPr="7B42B98D" w:rsidR="7B42B98D">
        <w:rPr>
          <w:sz w:val="24"/>
          <w:szCs w:val="24"/>
        </w:rPr>
        <w:t>Figure 9, Student Retention Rates Card Visuals</w:t>
      </w:r>
    </w:p>
    <w:p w:rsidR="2E0B4C7F" w:rsidP="0AC35582" w:rsidRDefault="2E0B4C7F" w14:paraId="622A3721" w14:textId="23A23157">
      <w:pPr>
        <w:pStyle w:val="Normal"/>
      </w:pPr>
      <w:r>
        <w:drawing>
          <wp:anchor distT="0" distB="0" distL="114300" distR="114300" simplePos="0" relativeHeight="251658240" behindDoc="0" locked="0" layoutInCell="1" allowOverlap="1" wp14:editId="60545B1F" wp14:anchorId="27932B94">
            <wp:simplePos x="0" y="0"/>
            <wp:positionH relativeFrom="column">
              <wp:align>left</wp:align>
            </wp:positionH>
            <wp:positionV relativeFrom="paragraph">
              <wp:posOffset>0</wp:posOffset>
            </wp:positionV>
            <wp:extent cx="7505342" cy="636796"/>
            <wp:effectExtent l="9525" t="9525" r="9525" b="9525"/>
            <wp:wrapSquare wrapText="bothSides"/>
            <wp:docPr id="584708864" name="" title=""/>
            <wp:cNvGraphicFramePr>
              <a:graphicFrameLocks noChangeAspect="1"/>
            </wp:cNvGraphicFramePr>
            <a:graphic>
              <a:graphicData uri="http://schemas.openxmlformats.org/drawingml/2006/picture">
                <pic:pic>
                  <pic:nvPicPr>
                    <pic:cNvPr id="0" name=""/>
                    <pic:cNvPicPr/>
                  </pic:nvPicPr>
                  <pic:blipFill>
                    <a:blip r:embed="R6ccf2d9ff3a74c10">
                      <a:extLst xmlns:a="http://schemas.openxmlformats.org/drawingml/2006/main">
                        <a:ext xmlns:a="http://schemas.openxmlformats.org/drawingml/2006/main" uri="{28A0092B-C50C-407E-A947-70E740481C1C}">
                          <a14:useLocalDpi xmlns:a14="http://schemas.microsoft.com/office/drawing/2010/main" val="0"/>
                        </a:ext>
                      </a:extLst>
                    </a:blip>
                    <a:srcRect l="3907" t="0" r="0" b="0"/>
                    <a:stretch>
                      <a:fillRect/>
                    </a:stretch>
                  </pic:blipFill>
                  <pic:spPr>
                    <a:xfrm rot="0" flipH="0" flipV="0">
                      <a:off x="0" y="0"/>
                      <a:ext cx="7505342" cy="636796"/>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p>
    <w:p w:rsidR="0AC35582" w:rsidP="0AC35582" w:rsidRDefault="0AC35582" w14:paraId="79106C5C" w14:textId="00B27F64">
      <w:pPr>
        <w:pStyle w:val="Subtitle"/>
        <w:jc w:val="center"/>
        <w:rPr>
          <w:sz w:val="24"/>
          <w:szCs w:val="24"/>
        </w:rPr>
      </w:pPr>
      <w:r w:rsidRPr="7B42B98D" w:rsidR="7B42B98D">
        <w:rPr>
          <w:sz w:val="24"/>
          <w:szCs w:val="24"/>
        </w:rPr>
        <w:t>Figure 10, Retention% by Sector Subject Area Bar Graph Including Tooltip</w:t>
      </w:r>
    </w:p>
    <w:p w:rsidR="0AC35582" w:rsidP="72D8AF7D" w:rsidRDefault="0AC35582" w14:paraId="3B0FFF2A" w14:textId="7E0FD340">
      <w:pPr>
        <w:pStyle w:val="Normal"/>
      </w:pPr>
      <w:r>
        <w:drawing>
          <wp:anchor distT="0" distB="0" distL="114300" distR="114300" simplePos="0" relativeHeight="251658240" behindDoc="0" locked="0" layoutInCell="1" allowOverlap="1" wp14:editId="50271E1A" wp14:anchorId="3573A0A8">
            <wp:simplePos x="0" y="0"/>
            <wp:positionH relativeFrom="column">
              <wp:align>left</wp:align>
            </wp:positionH>
            <wp:positionV relativeFrom="paragraph">
              <wp:posOffset>0</wp:posOffset>
            </wp:positionV>
            <wp:extent cx="7456512" cy="3808901"/>
            <wp:effectExtent l="9525" t="9525" r="9525" b="9525"/>
            <wp:wrapSquare wrapText="bothSides"/>
            <wp:docPr id="57012349" name="" title=""/>
            <wp:cNvGraphicFramePr>
              <a:graphicFrameLocks noChangeAspect="1"/>
            </wp:cNvGraphicFramePr>
            <a:graphic>
              <a:graphicData uri="http://schemas.openxmlformats.org/drawingml/2006/picture">
                <pic:pic>
                  <pic:nvPicPr>
                    <pic:cNvPr id="0" name=""/>
                    <pic:cNvPicPr/>
                  </pic:nvPicPr>
                  <pic:blipFill>
                    <a:blip r:embed="R9bb8c68ea25a4e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456512" cy="3808901"/>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p>
    <w:p w:rsidR="2F22BC71" w:rsidP="2F22BC71" w:rsidRDefault="2F22BC71" w14:paraId="34A937DE" w14:textId="7DB09A60">
      <w:pPr>
        <w:pStyle w:val="Normal"/>
        <w:numPr>
          <w:ilvl w:val="0"/>
          <w:numId w:val="0"/>
        </w:numPr>
      </w:pPr>
    </w:p>
    <w:p w:rsidR="2F22BC71" w:rsidP="2F22BC71" w:rsidRDefault="2F22BC71" w14:paraId="04300C9A" w14:textId="1B4B9792">
      <w:pPr>
        <w:pStyle w:val="Normal"/>
        <w:numPr>
          <w:ilvl w:val="0"/>
          <w:numId w:val="0"/>
        </w:numPr>
      </w:pPr>
    </w:p>
    <w:p w:rsidR="2F22BC71" w:rsidP="2F22BC71" w:rsidRDefault="2F22BC71" w14:paraId="069D6C34" w14:textId="7E671B23">
      <w:pPr>
        <w:pStyle w:val="Normal"/>
        <w:numPr>
          <w:ilvl w:val="0"/>
          <w:numId w:val="0"/>
        </w:numPr>
      </w:pPr>
    </w:p>
    <w:p w:rsidR="2F22BC71" w:rsidP="2F22BC71" w:rsidRDefault="2F22BC71" w14:paraId="74922648" w14:textId="3279EAF5">
      <w:pPr>
        <w:pStyle w:val="Normal"/>
        <w:numPr>
          <w:ilvl w:val="0"/>
          <w:numId w:val="0"/>
        </w:numPr>
      </w:pPr>
    </w:p>
    <w:p w:rsidR="2F22BC71" w:rsidP="2F22BC71" w:rsidRDefault="2F22BC71" w14:paraId="43C5C719" w14:textId="2A44BAE2">
      <w:pPr>
        <w:pStyle w:val="Normal"/>
        <w:numPr>
          <w:ilvl w:val="0"/>
          <w:numId w:val="0"/>
        </w:numPr>
      </w:pPr>
    </w:p>
    <w:p w:rsidR="2F22BC71" w:rsidP="699829F1" w:rsidRDefault="2F22BC71" w14:paraId="3405F610" w14:textId="720857B9">
      <w:pPr>
        <w:pStyle w:val="Subtitle"/>
        <w:suppressLineNumbers w:val="0"/>
        <w:bidi w:val="0"/>
        <w:spacing w:before="0" w:beforeAutospacing="off" w:after="160" w:afterAutospacing="off" w:line="279" w:lineRule="auto"/>
        <w:ind w:left="0" w:right="0"/>
        <w:jc w:val="center"/>
        <w:rPr>
          <w:noProof w:val="0"/>
          <w:sz w:val="24"/>
          <w:szCs w:val="24"/>
          <w:lang w:val="en-GB"/>
        </w:rPr>
      </w:pPr>
      <w:r w:rsidRPr="699829F1" w:rsidR="699829F1">
        <w:rPr>
          <w:noProof w:val="0"/>
          <w:sz w:val="24"/>
          <w:szCs w:val="24"/>
          <w:lang w:val="en-GB"/>
        </w:rPr>
        <w:t>Figure 11, Retention% by Qualification Level Bar Graph Including Tooltip</w:t>
      </w:r>
    </w:p>
    <w:p w:rsidR="1AB9E6D9" w:rsidP="699829F1" w:rsidRDefault="1AB9E6D9" w14:paraId="6060ABB4" w14:textId="7B105050">
      <w:pPr>
        <w:pStyle w:val="Subtitle"/>
        <w:suppressLineNumbers w:val="0"/>
        <w:bidi w:val="0"/>
        <w:spacing w:before="0" w:beforeAutospacing="off" w:after="160" w:afterAutospacing="off" w:line="279" w:lineRule="auto"/>
        <w:ind w:left="0" w:right="0"/>
        <w:jc w:val="center"/>
        <w:rPr>
          <w:sz w:val="24"/>
          <w:szCs w:val="24"/>
        </w:rPr>
      </w:pPr>
      <w:r>
        <w:drawing>
          <wp:anchor distT="0" distB="0" distL="114300" distR="114300" simplePos="0" relativeHeight="251658240" behindDoc="0" locked="0" layoutInCell="1" allowOverlap="1" wp14:editId="1472E2E8" wp14:anchorId="3B24D7A4">
            <wp:simplePos x="0" y="0"/>
            <wp:positionH relativeFrom="column">
              <wp:align>left</wp:align>
            </wp:positionH>
            <wp:positionV relativeFrom="paragraph">
              <wp:posOffset>0</wp:posOffset>
            </wp:positionV>
            <wp:extent cx="7458616" cy="4024717"/>
            <wp:effectExtent l="9525" t="9525" r="9525" b="9525"/>
            <wp:wrapSquare wrapText="bothSides"/>
            <wp:docPr id="1187165813" name="" title=""/>
            <wp:cNvGraphicFramePr>
              <a:graphicFrameLocks noChangeAspect="1"/>
            </wp:cNvGraphicFramePr>
            <a:graphic>
              <a:graphicData uri="http://schemas.openxmlformats.org/drawingml/2006/picture">
                <pic:pic>
                  <pic:nvPicPr>
                    <pic:cNvPr id="0" name=""/>
                    <pic:cNvPicPr/>
                  </pic:nvPicPr>
                  <pic:blipFill>
                    <a:blip r:embed="Rbf89b1bc006d4073">
                      <a:extLst xmlns:a="http://schemas.openxmlformats.org/drawingml/2006/main">
                        <a:ext xmlns:a="http://schemas.openxmlformats.org/drawingml/2006/main" uri="{28A0092B-C50C-407E-A947-70E740481C1C}">
                          <a14:useLocalDpi xmlns:a14="http://schemas.microsoft.com/office/drawing/2010/main" val="0"/>
                        </a:ext>
                      </a:extLst>
                    </a:blip>
                    <a:srcRect l="0" t="3193" r="0" b="0"/>
                    <a:stretch>
                      <a:fillRect/>
                    </a:stretch>
                  </pic:blipFill>
                  <pic:spPr xmlns:pic="http://schemas.openxmlformats.org/drawingml/2006/picture">
                    <a:xfrm xmlns:a="http://schemas.openxmlformats.org/drawingml/2006/main" rot="0" flipH="0" flipV="0">
                      <a:off x="0" y="0"/>
                      <a:ext cx="7458616" cy="4024717"/>
                    </a:xfrm>
                    <a:prstGeom xmlns:a="http://schemas.openxmlformats.org/drawingml/2006/main"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p>
    <w:p w:rsidR="0AC35582" w:rsidP="72D8AF7D" w:rsidRDefault="0AC35582" w14:paraId="1AA97BAA" w14:textId="456585E9">
      <w:pPr>
        <w:pStyle w:val="Normal"/>
        <w:jc w:val="center"/>
      </w:pPr>
      <w:r w:rsidRPr="699829F1" w:rsidR="699829F1">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t>Figure 12, Total Leavers by Age Group Donut Chart Including Tooltip</w:t>
      </w:r>
      <w:r>
        <w:drawing>
          <wp:inline wp14:editId="6A5399B4" wp14:anchorId="68BE15C2">
            <wp:extent cx="5724524" cy="4238660"/>
            <wp:effectExtent l="9525" t="9525" r="9525" b="9525"/>
            <wp:docPr id="1666552465" name="" title=""/>
            <wp:cNvGraphicFramePr>
              <a:graphicFrameLocks noChangeAspect="1"/>
            </wp:cNvGraphicFramePr>
            <a:graphic>
              <a:graphicData uri="http://schemas.openxmlformats.org/drawingml/2006/picture">
                <pic:pic>
                  <pic:nvPicPr>
                    <pic:cNvPr id="0" name=""/>
                    <pic:cNvPicPr/>
                  </pic:nvPicPr>
                  <pic:blipFill>
                    <a:blip r:embed="Rd6683246a65b4157">
                      <a:extLst xmlns:a="http://schemas.openxmlformats.org/drawingml/2006/main">
                        <a:ext xmlns:a="http://schemas.openxmlformats.org/drawingml/2006/main" uri="{28A0092B-C50C-407E-A947-70E740481C1C}">
                          <a14:useLocalDpi xmlns:a14="http://schemas.microsoft.com/office/drawing/2010/main" val="0"/>
                        </a:ext>
                      </a:extLst>
                    </a:blip>
                    <a:srcRect l="0" t="2197" r="0" b="0"/>
                    <a:stretch>
                      <a:fillRect/>
                    </a:stretch>
                  </pic:blipFill>
                  <pic:spPr>
                    <a:xfrm rot="0" flipH="0" flipV="0">
                      <a:off x="0" y="0"/>
                      <a:ext cx="5724524" cy="4238660"/>
                    </a:xfrm>
                    <a:prstGeom prst="rect">
                      <a:avLst/>
                    </a:prstGeom>
                    <a:ln w="9525">
                      <a:solidFill>
                        <a:schemeClr val="tx1"/>
                      </a:solidFill>
                      <a:prstDash val="solid"/>
                    </a:ln>
                  </pic:spPr>
                </pic:pic>
              </a:graphicData>
            </a:graphic>
          </wp:inline>
        </w:drawing>
      </w:r>
    </w:p>
    <w:p w:rsidR="0AC35582" w:rsidP="1005F09B" w:rsidRDefault="0AC35582" w14:paraId="1053FAB8" w14:textId="2DF1BD21">
      <w:pPr>
        <w:pStyle w:val="Subtitle"/>
        <w:suppressLineNumbers w:val="0"/>
        <w:spacing w:before="0" w:beforeAutospacing="off" w:after="160" w:afterAutospacing="off" w:line="279" w:lineRule="auto"/>
        <w:ind/>
        <w:jc w:val="center"/>
        <w:rPr/>
      </w:pPr>
      <w:r w:rsidRPr="699829F1" w:rsidR="699829F1">
        <w:rPr>
          <w:noProof w:val="0"/>
          <w:sz w:val="24"/>
          <w:szCs w:val="24"/>
          <w:lang w:val="en-GB"/>
        </w:rPr>
        <w:t>Figure 13, Student Retention Rates Information Pane</w:t>
      </w:r>
    </w:p>
    <w:p w:rsidR="008BA9C2" w:rsidP="699829F1" w:rsidRDefault="008BA9C2" w14:paraId="75011448" w14:textId="14E92F5D">
      <w:pPr>
        <w:pStyle w:val="Normal"/>
        <w:suppressLineNumbers w:val="0"/>
        <w:jc w:val="center"/>
      </w:pPr>
      <w:r>
        <w:drawing>
          <wp:anchor distT="0" distB="0" distL="114300" distR="114300" simplePos="0" relativeHeight="251658240" behindDoc="0" locked="0" layoutInCell="1" allowOverlap="1" wp14:editId="187F99AE" wp14:anchorId="5790FDA9">
            <wp:simplePos x="0" y="0"/>
            <wp:positionH relativeFrom="column">
              <wp:align>left</wp:align>
            </wp:positionH>
            <wp:positionV relativeFrom="paragraph">
              <wp:posOffset>0</wp:posOffset>
            </wp:positionV>
            <wp:extent cx="7450930" cy="1642201"/>
            <wp:effectExtent l="0" t="0" r="0" b="0"/>
            <wp:wrapSquare wrapText="bothSides"/>
            <wp:docPr id="2093046098" name="" title=""/>
            <wp:cNvGraphicFramePr>
              <a:graphicFrameLocks noChangeAspect="1"/>
            </wp:cNvGraphicFramePr>
            <a:graphic>
              <a:graphicData uri="http://schemas.openxmlformats.org/drawingml/2006/picture">
                <pic:pic>
                  <pic:nvPicPr>
                    <pic:cNvPr id="0" name=""/>
                    <pic:cNvPicPr/>
                  </pic:nvPicPr>
                  <pic:blipFill>
                    <a:blip r:embed="R06d71ac14bcb49df">
                      <a:extLst>
                        <a:ext xmlns:a="http://schemas.openxmlformats.org/drawingml/2006/main" uri="{28A0092B-C50C-407E-A947-70E740481C1C}">
                          <a14:useLocalDpi val="0"/>
                        </a:ext>
                      </a:extLst>
                    </a:blip>
                    <a:srcRect l="0" t="1148" r="0" b="0"/>
                    <a:stretch>
                      <a:fillRect/>
                    </a:stretch>
                  </pic:blipFill>
                  <pic:spPr>
                    <a:xfrm>
                      <a:off x="0" y="0"/>
                      <a:ext cx="7450930" cy="1642201"/>
                    </a:xfrm>
                    <a:prstGeom prst="rect">
                      <a:avLst/>
                    </a:prstGeom>
                  </pic:spPr>
                </pic:pic>
              </a:graphicData>
            </a:graphic>
            <wp14:sizeRelH relativeFrom="page">
              <wp14:pctWidth>0</wp14:pctWidth>
            </wp14:sizeRelH>
            <wp14:sizeRelV relativeFrom="page">
              <wp14:pctHeight>0</wp14:pctHeight>
            </wp14:sizeRelV>
          </wp:anchor>
        </w:drawing>
      </w:r>
      <w:r>
        <w:br/>
      </w:r>
      <w:r w:rsidRPr="699829F1" w:rsidR="1005F09B">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t>Figure 14, Leavers, Achievement, and Retention Trends Information Pane</w:t>
      </w:r>
    </w:p>
    <w:p w:rsidR="404E2E04" w:rsidP="699829F1" w:rsidRDefault="404E2E04" w14:paraId="3316E472" w14:textId="0B823B43">
      <w:pPr>
        <w:pStyle w:val="Normal"/>
        <w:suppressLineNumbers w:val="0"/>
        <w:jc w:val="center"/>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pPr>
      <w:r>
        <w:drawing>
          <wp:anchor distT="0" distB="0" distL="114300" distR="114300" simplePos="0" relativeHeight="251658240" behindDoc="0" locked="0" layoutInCell="1" allowOverlap="1" wp14:editId="41BD98D4" wp14:anchorId="38F9849A">
            <wp:simplePos x="0" y="0"/>
            <wp:positionH relativeFrom="column">
              <wp:align>left</wp:align>
            </wp:positionH>
            <wp:positionV relativeFrom="paragraph">
              <wp:posOffset>0</wp:posOffset>
            </wp:positionV>
            <wp:extent cx="7477124" cy="1667113"/>
            <wp:effectExtent l="0" t="0" r="0" b="0"/>
            <wp:wrapSquare wrapText="bothSides"/>
            <wp:docPr id="2093353278" name="" title=""/>
            <wp:cNvGraphicFramePr>
              <a:graphicFrameLocks noChangeAspect="1"/>
            </wp:cNvGraphicFramePr>
            <a:graphic>
              <a:graphicData uri="http://schemas.openxmlformats.org/drawingml/2006/picture">
                <pic:pic>
                  <pic:nvPicPr>
                    <pic:cNvPr id="0" name=""/>
                    <pic:cNvPicPr/>
                  </pic:nvPicPr>
                  <pic:blipFill>
                    <a:blip r:embed="R87f0fa209ec047c1">
                      <a:extLst>
                        <a:ext xmlns:a="http://schemas.openxmlformats.org/drawingml/2006/main" uri="{28A0092B-C50C-407E-A947-70E740481C1C}">
                          <a14:useLocalDpi val="0"/>
                        </a:ext>
                      </a:extLst>
                    </a:blip>
                    <a:stretch>
                      <a:fillRect/>
                    </a:stretch>
                  </pic:blipFill>
                  <pic:spPr>
                    <a:xfrm>
                      <a:off x="0" y="0"/>
                      <a:ext cx="7477124" cy="1667113"/>
                    </a:xfrm>
                    <a:prstGeom prst="rect">
                      <a:avLst/>
                    </a:prstGeom>
                  </pic:spPr>
                </pic:pic>
              </a:graphicData>
            </a:graphic>
            <wp14:sizeRelH relativeFrom="page">
              <wp14:pctWidth>0</wp14:pctWidth>
            </wp14:sizeRelH>
            <wp14:sizeRelV relativeFrom="page">
              <wp14:pctHeight>0</wp14:pctHeight>
            </wp14:sizeRelV>
          </wp:anchor>
        </w:drawing>
      </w:r>
      <w:r>
        <w:br/>
      </w:r>
      <w:r w:rsidRPr="699829F1" w:rsidR="1005F09B">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t>F</w:t>
      </w:r>
      <w:r w:rsidRPr="699829F1" w:rsidR="1005F09B">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t>igure 15, Student Achievement Rates Mobile View</w:t>
      </w:r>
    </w:p>
    <w:tbl>
      <w:tblPr>
        <w:tblStyle w:val="TableGrid"/>
        <w:tblW w:w="0" w:type="auto"/>
        <w:jc w:val="center"/>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4440"/>
        <w:gridCol w:w="4575"/>
      </w:tblGrid>
      <w:tr w:rsidR="1005F09B" w:rsidTr="699829F1" w14:paraId="7D16DCF4">
        <w:trPr>
          <w:trHeight w:val="6810"/>
        </w:trPr>
        <w:tc>
          <w:tcPr>
            <w:tcW w:w="4440" w:type="dxa"/>
            <w:tcMar/>
          </w:tcPr>
          <w:p w:rsidR="1005F09B" w:rsidP="1005F09B" w:rsidRDefault="1005F09B" w14:paraId="1EA0BEB2" w14:textId="170F5440">
            <w:pPr>
              <w:pStyle w:val="Normal"/>
              <w:jc w:val="center"/>
            </w:pPr>
            <w:r>
              <w:drawing>
                <wp:inline wp14:editId="0C344856" wp14:anchorId="71024DE5">
                  <wp:extent cx="2632824" cy="4654014"/>
                  <wp:effectExtent l="0" t="0" r="0" b="0"/>
                  <wp:docPr id="2139789301" name="" title=""/>
                  <wp:cNvGraphicFramePr>
                    <a:graphicFrameLocks noChangeAspect="1"/>
                  </wp:cNvGraphicFramePr>
                  <a:graphic>
                    <a:graphicData uri="http://schemas.openxmlformats.org/drawingml/2006/picture">
                      <pic:pic>
                        <pic:nvPicPr>
                          <pic:cNvPr id="0" name=""/>
                          <pic:cNvPicPr/>
                        </pic:nvPicPr>
                        <pic:blipFill>
                          <a:blip r:embed="Re1c0db243cab43a0">
                            <a:extLst>
                              <a:ext xmlns:a="http://schemas.openxmlformats.org/drawingml/2006/main" uri="{28A0092B-C50C-407E-A947-70E740481C1C}">
                                <a14:useLocalDpi val="0"/>
                              </a:ext>
                            </a:extLst>
                          </a:blip>
                          <a:srcRect l="877" t="0" r="0" b="0"/>
                          <a:stretch>
                            <a:fillRect/>
                          </a:stretch>
                        </pic:blipFill>
                        <pic:spPr>
                          <a:xfrm>
                            <a:off x="0" y="0"/>
                            <a:ext cx="2632824" cy="4654014"/>
                          </a:xfrm>
                          <a:prstGeom prst="rect">
                            <a:avLst/>
                          </a:prstGeom>
                        </pic:spPr>
                      </pic:pic>
                    </a:graphicData>
                  </a:graphic>
                </wp:inline>
              </w:drawing>
            </w:r>
          </w:p>
        </w:tc>
        <w:tc>
          <w:tcPr>
            <w:tcW w:w="4575" w:type="dxa"/>
            <w:tcMar/>
          </w:tcPr>
          <w:p w:rsidR="1005F09B" w:rsidP="1005F09B" w:rsidRDefault="1005F09B" w14:paraId="4DE0F79D" w14:textId="3C433B54">
            <w:pPr>
              <w:pStyle w:val="Normal"/>
              <w:jc w:val="center"/>
            </w:pPr>
            <w:r>
              <w:drawing>
                <wp:inline wp14:editId="1397268B" wp14:anchorId="519B35D2">
                  <wp:extent cx="2632824" cy="4694500"/>
                  <wp:effectExtent l="0" t="0" r="0" b="0"/>
                  <wp:docPr id="1129020046" name="" title=""/>
                  <wp:cNvGraphicFramePr>
                    <a:graphicFrameLocks noChangeAspect="1"/>
                  </wp:cNvGraphicFramePr>
                  <a:graphic>
                    <a:graphicData uri="http://schemas.openxmlformats.org/drawingml/2006/picture">
                      <pic:pic>
                        <pic:nvPicPr>
                          <pic:cNvPr id="0" name=""/>
                          <pic:cNvPicPr/>
                        </pic:nvPicPr>
                        <pic:blipFill>
                          <a:blip r:embed="R7838b192b2224d6c">
                            <a:extLst>
                              <a:ext xmlns:a="http://schemas.openxmlformats.org/drawingml/2006/main" uri="{28A0092B-C50C-407E-A947-70E740481C1C}">
                                <a14:useLocalDpi val="0"/>
                              </a:ext>
                            </a:extLst>
                          </a:blip>
                          <a:stretch>
                            <a:fillRect/>
                          </a:stretch>
                        </pic:blipFill>
                        <pic:spPr>
                          <a:xfrm>
                            <a:off x="0" y="0"/>
                            <a:ext cx="2632824" cy="4694500"/>
                          </a:xfrm>
                          <a:prstGeom prst="rect">
                            <a:avLst/>
                          </a:prstGeom>
                        </pic:spPr>
                      </pic:pic>
                    </a:graphicData>
                  </a:graphic>
                </wp:inline>
              </w:drawing>
            </w:r>
          </w:p>
        </w:tc>
      </w:tr>
    </w:tbl>
    <w:p w:rsidR="404E2E04" w:rsidP="404E2E04" w:rsidRDefault="404E2E04" w14:paraId="6E784D36" w14:textId="681F8FCC">
      <w:pPr>
        <w:pStyle w:val="Normal"/>
        <w:suppressLineNumbers w:val="0"/>
      </w:pPr>
    </w:p>
    <w:p w:rsidR="404E2E04" w:rsidP="699829F1" w:rsidRDefault="404E2E04" w14:paraId="1331F0E4" w14:textId="0EE04910">
      <w:pPr>
        <w:pStyle w:val="Normal"/>
        <w:suppressLineNumbers w:val="0"/>
        <w:bidi w:val="0"/>
        <w:spacing w:before="0" w:beforeAutospacing="off" w:after="160" w:afterAutospacing="off" w:line="279" w:lineRule="auto"/>
        <w:ind w:left="0" w:right="0"/>
        <w:jc w:val="center"/>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pPr>
      <w:r w:rsidRPr="699829F1" w:rsidR="699829F1">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t>Figure 16, Student Retention Rates Mobile View</w:t>
      </w:r>
    </w:p>
    <w:tbl>
      <w:tblPr>
        <w:tblStyle w:val="TableGrid"/>
        <w:tblW w:w="0" w:type="auto"/>
        <w:jc w:val="center"/>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4410"/>
        <w:gridCol w:w="4605"/>
      </w:tblGrid>
      <w:tr w:rsidR="1005F09B" w:rsidTr="699829F1" w14:paraId="52B6E47B">
        <w:trPr>
          <w:trHeight w:val="300"/>
        </w:trPr>
        <w:tc>
          <w:tcPr>
            <w:tcW w:w="4410" w:type="dxa"/>
            <w:tcMar/>
          </w:tcPr>
          <w:p w:rsidR="1005F09B" w:rsidP="1005F09B" w:rsidRDefault="1005F09B" w14:paraId="2FACC092" w14:textId="4E983D15">
            <w:pPr>
              <w:pStyle w:val="Normal"/>
            </w:pPr>
            <w:r>
              <w:drawing>
                <wp:inline wp14:editId="7F8A3E27" wp14:anchorId="4D111492">
                  <wp:extent cx="2632824" cy="4659380"/>
                  <wp:effectExtent l="0" t="0" r="0" b="0"/>
                  <wp:docPr id="1564676799" name="" title=""/>
                  <wp:cNvGraphicFramePr>
                    <a:graphicFrameLocks noChangeAspect="1"/>
                  </wp:cNvGraphicFramePr>
                  <a:graphic>
                    <a:graphicData uri="http://schemas.openxmlformats.org/drawingml/2006/picture">
                      <pic:pic>
                        <pic:nvPicPr>
                          <pic:cNvPr id="0" name=""/>
                          <pic:cNvPicPr/>
                        </pic:nvPicPr>
                        <pic:blipFill>
                          <a:blip r:embed="R8d3a72a800f841f0">
                            <a:extLst>
                              <a:ext xmlns:a="http://schemas.openxmlformats.org/drawingml/2006/main" uri="{28A0092B-C50C-407E-A947-70E740481C1C}">
                                <a14:useLocalDpi val="0"/>
                              </a:ext>
                            </a:extLst>
                          </a:blip>
                          <a:srcRect l="1449" t="0" r="2415" b="3292"/>
                          <a:stretch>
                            <a:fillRect/>
                          </a:stretch>
                        </pic:blipFill>
                        <pic:spPr>
                          <a:xfrm>
                            <a:off x="0" y="0"/>
                            <a:ext cx="2632824" cy="4659380"/>
                          </a:xfrm>
                          <a:prstGeom prst="rect">
                            <a:avLst/>
                          </a:prstGeom>
                        </pic:spPr>
                      </pic:pic>
                    </a:graphicData>
                  </a:graphic>
                </wp:inline>
              </w:drawing>
            </w:r>
          </w:p>
        </w:tc>
        <w:tc>
          <w:tcPr>
            <w:tcW w:w="4605" w:type="dxa"/>
            <w:tcMar/>
          </w:tcPr>
          <w:p w:rsidR="1005F09B" w:rsidP="1005F09B" w:rsidRDefault="1005F09B" w14:paraId="2A873A1F" w14:textId="6DCE7BF4">
            <w:pPr>
              <w:pStyle w:val="Normal"/>
            </w:pPr>
            <w:r>
              <w:drawing>
                <wp:inline wp14:editId="2AA09755" wp14:anchorId="6757B88F">
                  <wp:extent cx="2633282" cy="4661398"/>
                  <wp:effectExtent l="0" t="0" r="0" b="0"/>
                  <wp:docPr id="1868249433" name="" title=""/>
                  <wp:cNvGraphicFramePr>
                    <a:graphicFrameLocks noChangeAspect="1"/>
                  </wp:cNvGraphicFramePr>
                  <a:graphic>
                    <a:graphicData uri="http://schemas.openxmlformats.org/drawingml/2006/picture">
                      <pic:pic>
                        <pic:nvPicPr>
                          <pic:cNvPr id="0" name=""/>
                          <pic:cNvPicPr/>
                        </pic:nvPicPr>
                        <pic:blipFill>
                          <a:blip r:embed="R91792104f9c24c2c">
                            <a:extLst>
                              <a:ext xmlns:a="http://schemas.openxmlformats.org/drawingml/2006/main" uri="{28A0092B-C50C-407E-A947-70E740481C1C}">
                                <a14:useLocalDpi val="0"/>
                              </a:ext>
                            </a:extLst>
                          </a:blip>
                          <a:stretch>
                            <a:fillRect/>
                          </a:stretch>
                        </pic:blipFill>
                        <pic:spPr>
                          <a:xfrm>
                            <a:off x="0" y="0"/>
                            <a:ext cx="2633282" cy="4661398"/>
                          </a:xfrm>
                          <a:prstGeom prst="rect">
                            <a:avLst/>
                          </a:prstGeom>
                        </pic:spPr>
                      </pic:pic>
                    </a:graphicData>
                  </a:graphic>
                </wp:inline>
              </w:drawing>
            </w:r>
          </w:p>
        </w:tc>
      </w:tr>
    </w:tbl>
    <w:p w:rsidR="404E2E04" w:rsidP="1005F09B" w:rsidRDefault="404E2E04" w14:paraId="3E2E2EC4" w14:textId="6E728CB6">
      <w:pPr>
        <w:pStyle w:val="Normal"/>
        <w:suppressLineNumbers w:val="0"/>
        <w:jc w:val="center"/>
        <w:rPr>
          <w:rFonts w:ascii="Aptos" w:hAnsi="Aptos" w:eastAsia="Aptos" w:cs="Aptos"/>
          <w:b w:val="0"/>
          <w:bCs w:val="0"/>
          <w:i w:val="0"/>
          <w:iCs w:val="0"/>
          <w:noProof w:val="0"/>
          <w:color w:val="595959" w:themeColor="text1" w:themeTint="A6" w:themeShade="FF"/>
          <w:sz w:val="24"/>
          <w:szCs w:val="24"/>
          <w:lang w:val="en-GB"/>
        </w:rPr>
      </w:pPr>
    </w:p>
    <w:p w:rsidR="404E2E04" w:rsidP="1005F09B" w:rsidRDefault="404E2E04" w14:paraId="7BD562CE" w14:textId="06978D4D">
      <w:pPr>
        <w:pStyle w:val="Normal"/>
        <w:suppressLineNumbers w:val="0"/>
        <w:jc w:val="center"/>
        <w:rPr>
          <w:rFonts w:ascii="Aptos" w:hAnsi="Aptos" w:eastAsia="Aptos" w:cs="Aptos"/>
          <w:b w:val="0"/>
          <w:bCs w:val="0"/>
          <w:i w:val="0"/>
          <w:iCs w:val="0"/>
          <w:noProof w:val="0"/>
          <w:color w:val="595959" w:themeColor="text1" w:themeTint="A6" w:themeShade="FF"/>
          <w:sz w:val="24"/>
          <w:szCs w:val="24"/>
          <w:lang w:val="en-GB"/>
        </w:rPr>
      </w:pPr>
    </w:p>
    <w:p w:rsidR="404E2E04" w:rsidP="1005F09B" w:rsidRDefault="404E2E04" w14:paraId="138CDB07" w14:textId="6C2E5396">
      <w:pPr>
        <w:pStyle w:val="Normal"/>
        <w:suppressLineNumbers w:val="0"/>
        <w:jc w:val="center"/>
        <w:rPr>
          <w:rFonts w:ascii="Aptos" w:hAnsi="Aptos" w:eastAsia="Aptos" w:cs="Aptos"/>
          <w:b w:val="0"/>
          <w:bCs w:val="0"/>
          <w:i w:val="0"/>
          <w:iCs w:val="0"/>
          <w:noProof w:val="0"/>
          <w:color w:val="595959" w:themeColor="text1" w:themeTint="A6" w:themeShade="FF"/>
          <w:sz w:val="24"/>
          <w:szCs w:val="24"/>
          <w:lang w:val="en-GB"/>
        </w:rPr>
      </w:pPr>
    </w:p>
    <w:p w:rsidR="404E2E04" w:rsidP="1005F09B" w:rsidRDefault="404E2E04" w14:paraId="5195141E" w14:textId="69AC1658">
      <w:pPr>
        <w:pStyle w:val="Normal"/>
        <w:suppressLineNumbers w:val="0"/>
        <w:jc w:val="center"/>
        <w:rPr>
          <w:rFonts w:ascii="Aptos" w:hAnsi="Aptos" w:eastAsia="Aptos" w:cs="Aptos"/>
          <w:b w:val="0"/>
          <w:bCs w:val="0"/>
          <w:i w:val="0"/>
          <w:iCs w:val="0"/>
          <w:noProof w:val="0"/>
          <w:color w:val="595959" w:themeColor="text1" w:themeTint="A6" w:themeShade="FF"/>
          <w:sz w:val="24"/>
          <w:szCs w:val="24"/>
          <w:lang w:val="en-GB"/>
        </w:rPr>
      </w:pPr>
    </w:p>
    <w:p w:rsidR="404E2E04" w:rsidP="1005F09B" w:rsidRDefault="404E2E04" w14:paraId="428E5B67" w14:textId="4681A70D">
      <w:pPr>
        <w:pStyle w:val="Normal"/>
        <w:suppressLineNumbers w:val="0"/>
        <w:jc w:val="center"/>
        <w:rPr>
          <w:rFonts w:ascii="Aptos" w:hAnsi="Aptos" w:eastAsia="Aptos" w:cs="Aptos"/>
          <w:b w:val="0"/>
          <w:bCs w:val="0"/>
          <w:i w:val="0"/>
          <w:iCs w:val="0"/>
          <w:noProof w:val="0"/>
          <w:color w:val="595959" w:themeColor="text1" w:themeTint="A6" w:themeShade="FF"/>
          <w:sz w:val="24"/>
          <w:szCs w:val="24"/>
          <w:lang w:val="en-GB"/>
        </w:rPr>
      </w:pPr>
    </w:p>
    <w:p w:rsidR="404E2E04" w:rsidP="1005F09B" w:rsidRDefault="404E2E04" w14:paraId="2E807FDF" w14:textId="4ECC97F9">
      <w:pPr>
        <w:pStyle w:val="Normal"/>
        <w:suppressLineNumbers w:val="0"/>
        <w:jc w:val="center"/>
        <w:rPr>
          <w:rFonts w:ascii="Aptos" w:hAnsi="Aptos" w:eastAsia="Aptos" w:cs="Aptos"/>
          <w:b w:val="0"/>
          <w:bCs w:val="0"/>
          <w:i w:val="0"/>
          <w:iCs w:val="0"/>
          <w:noProof w:val="0"/>
          <w:color w:val="595959" w:themeColor="text1" w:themeTint="A6" w:themeShade="FF"/>
          <w:sz w:val="24"/>
          <w:szCs w:val="24"/>
          <w:lang w:val="en-GB"/>
        </w:rPr>
      </w:pPr>
    </w:p>
    <w:p w:rsidR="404E2E04" w:rsidP="1005F09B" w:rsidRDefault="404E2E04" w14:paraId="48245159" w14:textId="3E7F2011">
      <w:pPr>
        <w:pStyle w:val="Normal"/>
        <w:suppressLineNumbers w:val="0"/>
        <w:jc w:val="center"/>
        <w:rPr>
          <w:rFonts w:ascii="Aptos" w:hAnsi="Aptos" w:eastAsia="Aptos" w:cs="Aptos"/>
          <w:b w:val="0"/>
          <w:bCs w:val="0"/>
          <w:i w:val="0"/>
          <w:iCs w:val="0"/>
          <w:noProof w:val="0"/>
          <w:color w:val="595959" w:themeColor="text1" w:themeTint="A6" w:themeShade="FF"/>
          <w:sz w:val="24"/>
          <w:szCs w:val="24"/>
          <w:lang w:val="en-GB"/>
        </w:rPr>
      </w:pPr>
    </w:p>
    <w:p w:rsidR="404E2E04" w:rsidP="1005F09B" w:rsidRDefault="404E2E04" w14:paraId="3BADA782" w14:textId="5392C07D">
      <w:pPr>
        <w:pStyle w:val="Normal"/>
        <w:suppressLineNumbers w:val="0"/>
        <w:jc w:val="center"/>
        <w:rPr>
          <w:rFonts w:ascii="Aptos" w:hAnsi="Aptos" w:eastAsia="Aptos" w:cs="Aptos"/>
          <w:b w:val="0"/>
          <w:bCs w:val="0"/>
          <w:i w:val="0"/>
          <w:iCs w:val="0"/>
          <w:noProof w:val="0"/>
          <w:color w:val="595959" w:themeColor="text1" w:themeTint="A6" w:themeShade="FF"/>
          <w:sz w:val="24"/>
          <w:szCs w:val="24"/>
          <w:lang w:val="en-GB"/>
        </w:rPr>
      </w:pPr>
    </w:p>
    <w:p w:rsidR="404E2E04" w:rsidP="1005F09B" w:rsidRDefault="404E2E04" w14:paraId="69B87985" w14:textId="77D2B2AC">
      <w:pPr>
        <w:pStyle w:val="Normal"/>
        <w:suppressLineNumbers w:val="0"/>
        <w:jc w:val="center"/>
        <w:rPr>
          <w:rFonts w:ascii="Aptos" w:hAnsi="Aptos" w:eastAsia="Aptos" w:cs="Aptos"/>
          <w:b w:val="0"/>
          <w:bCs w:val="0"/>
          <w:i w:val="0"/>
          <w:iCs w:val="0"/>
          <w:noProof w:val="0"/>
          <w:color w:val="595959" w:themeColor="text1" w:themeTint="A6" w:themeShade="FF"/>
          <w:sz w:val="24"/>
          <w:szCs w:val="24"/>
          <w:lang w:val="en-GB"/>
        </w:rPr>
      </w:pPr>
    </w:p>
    <w:p w:rsidR="404E2E04" w:rsidP="1005F09B" w:rsidRDefault="404E2E04" w14:paraId="2E43A3D4" w14:textId="681F1D22">
      <w:pPr>
        <w:pStyle w:val="Normal"/>
        <w:suppressLineNumbers w:val="0"/>
        <w:jc w:val="center"/>
        <w:rPr>
          <w:rFonts w:ascii="Aptos" w:hAnsi="Aptos" w:eastAsia="Aptos" w:cs="Aptos"/>
          <w:b w:val="0"/>
          <w:bCs w:val="0"/>
          <w:i w:val="0"/>
          <w:iCs w:val="0"/>
          <w:noProof w:val="0"/>
          <w:color w:val="595959" w:themeColor="text1" w:themeTint="A6" w:themeShade="FF"/>
          <w:sz w:val="24"/>
          <w:szCs w:val="24"/>
          <w:lang w:val="en-GB"/>
        </w:rPr>
      </w:pPr>
    </w:p>
    <w:p w:rsidR="404E2E04" w:rsidP="1005F09B" w:rsidRDefault="404E2E04" w14:paraId="1785C8F3" w14:textId="2A93DA7E">
      <w:pPr>
        <w:pStyle w:val="Normal"/>
        <w:suppressLineNumbers w:val="0"/>
        <w:jc w:val="center"/>
        <w:rPr>
          <w:rFonts w:ascii="Aptos" w:hAnsi="Aptos" w:eastAsia="Aptos" w:cs="Aptos"/>
          <w:b w:val="0"/>
          <w:bCs w:val="0"/>
          <w:i w:val="0"/>
          <w:iCs w:val="0"/>
          <w:noProof w:val="0"/>
          <w:color w:val="595959" w:themeColor="text1" w:themeTint="A6" w:themeShade="FF"/>
          <w:sz w:val="24"/>
          <w:szCs w:val="24"/>
          <w:lang w:val="en-GB"/>
        </w:rPr>
      </w:pPr>
    </w:p>
    <w:p w:rsidR="404E2E04" w:rsidP="1005F09B" w:rsidRDefault="404E2E04" w14:paraId="2FFF9C9A" w14:textId="623A8EDF">
      <w:pPr>
        <w:pStyle w:val="Normal"/>
        <w:suppressLineNumbers w:val="0"/>
        <w:jc w:val="center"/>
        <w:rPr>
          <w:rFonts w:ascii="Aptos" w:hAnsi="Aptos" w:eastAsia="Aptos" w:cs="Aptos"/>
          <w:b w:val="0"/>
          <w:bCs w:val="0"/>
          <w:i w:val="0"/>
          <w:iCs w:val="0"/>
          <w:noProof w:val="0"/>
          <w:color w:val="595959" w:themeColor="text1" w:themeTint="A6" w:themeShade="FF"/>
          <w:sz w:val="24"/>
          <w:szCs w:val="24"/>
          <w:lang w:val="en-GB"/>
        </w:rPr>
      </w:pPr>
    </w:p>
    <w:p w:rsidR="404E2E04" w:rsidP="1005F09B" w:rsidRDefault="404E2E04" w14:paraId="58D01575" w14:textId="59D42481">
      <w:pPr>
        <w:pStyle w:val="Normal"/>
        <w:suppressLineNumbers w:val="0"/>
        <w:jc w:val="center"/>
        <w:rPr>
          <w:rFonts w:ascii="Aptos" w:hAnsi="Aptos" w:eastAsia="Aptos" w:cs="Aptos"/>
          <w:b w:val="0"/>
          <w:bCs w:val="0"/>
          <w:i w:val="0"/>
          <w:iCs w:val="0"/>
          <w:noProof w:val="0"/>
          <w:color w:val="595959" w:themeColor="text1" w:themeTint="A6" w:themeShade="FF"/>
          <w:sz w:val="24"/>
          <w:szCs w:val="24"/>
          <w:lang w:val="en-GB"/>
        </w:rPr>
      </w:pPr>
    </w:p>
    <w:p w:rsidR="404E2E04" w:rsidP="1005F09B" w:rsidRDefault="404E2E04" w14:paraId="4D783D59" w14:textId="39E1DF2E">
      <w:pPr>
        <w:pStyle w:val="Normal"/>
        <w:suppressLineNumbers w:val="0"/>
        <w:jc w:val="center"/>
        <w:rPr>
          <w:rFonts w:ascii="Aptos" w:hAnsi="Aptos" w:eastAsia="Aptos" w:cs="Aptos"/>
          <w:b w:val="0"/>
          <w:bCs w:val="0"/>
          <w:i w:val="0"/>
          <w:iCs w:val="0"/>
          <w:noProof w:val="0"/>
          <w:color w:val="595959" w:themeColor="text1" w:themeTint="A6" w:themeShade="FF"/>
          <w:sz w:val="24"/>
          <w:szCs w:val="24"/>
          <w:lang w:val="en-GB"/>
        </w:rPr>
      </w:pPr>
    </w:p>
    <w:p w:rsidR="404E2E04" w:rsidP="699829F1" w:rsidRDefault="404E2E04" w14:paraId="1767D9DC" w14:textId="2DC386F6">
      <w:pPr>
        <w:pStyle w:val="Normal"/>
        <w:suppressLineNumbers w:val="0"/>
        <w:jc w:val="center"/>
        <w:rPr>
          <w:rFonts w:ascii="Aptos" w:hAnsi="Aptos" w:eastAsia="Aptos" w:cs="Aptos"/>
          <w:b w:val="0"/>
          <w:bCs w:val="0"/>
          <w:i w:val="0"/>
          <w:iCs w:val="0"/>
          <w:noProof w:val="0"/>
          <w:color w:val="000000" w:themeColor="text1" w:themeTint="FF" w:themeShade="FF"/>
          <w:sz w:val="24"/>
          <w:szCs w:val="24"/>
          <w:lang w:val="en-GB"/>
        </w:rPr>
      </w:pPr>
      <w:r w:rsidRPr="699829F1" w:rsidR="699829F1">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t>F</w:t>
      </w:r>
      <w:r w:rsidRPr="699829F1" w:rsidR="699829F1">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t>i</w:t>
      </w:r>
      <w:r w:rsidRPr="699829F1" w:rsidR="699829F1">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t>gure 17, Leavers, Achievement, and Retention Trends Mobile View</w:t>
      </w:r>
    </w:p>
    <w:p w:rsidR="404E2E04" w:rsidP="1005F09B" w:rsidRDefault="404E2E04" w14:paraId="523F98B3" w14:textId="40885BAA">
      <w:pPr>
        <w:pStyle w:val="Normal"/>
        <w:suppressLineNumbers w:val="0"/>
        <w:jc w:val="center"/>
      </w:pPr>
      <w:r>
        <w:drawing>
          <wp:inline wp14:editId="46ADB2D2" wp14:anchorId="37CD3B06">
            <wp:extent cx="3079952" cy="4698096"/>
            <wp:effectExtent l="0" t="0" r="0" b="0"/>
            <wp:docPr id="1722907908" name="" title=""/>
            <wp:cNvGraphicFramePr>
              <a:graphicFrameLocks noChangeAspect="1"/>
            </wp:cNvGraphicFramePr>
            <a:graphic>
              <a:graphicData uri="http://schemas.openxmlformats.org/drawingml/2006/picture">
                <pic:pic>
                  <pic:nvPicPr>
                    <pic:cNvPr id="0" name=""/>
                    <pic:cNvPicPr/>
                  </pic:nvPicPr>
                  <pic:blipFill>
                    <a:blip r:embed="R0cea8b7475dd4ad9">
                      <a:extLst xmlns:a="http://schemas.openxmlformats.org/drawingml/2006/main">
                        <a:ext xmlns:a="http://schemas.openxmlformats.org/drawingml/2006/main" uri="{28A0092B-C50C-407E-A947-70E740481C1C}">
                          <a14:useLocalDpi xmlns:a14="http://schemas.microsoft.com/office/drawing/2010/main" val="0"/>
                        </a:ext>
                      </a:extLst>
                    </a:blip>
                    <a:srcRect l="1990" t="0" r="0" b="0"/>
                    <a:stretch>
                      <a:fillRect/>
                    </a:stretch>
                  </pic:blipFill>
                  <pic:spPr>
                    <a:xfrm rot="0" flipH="0" flipV="0">
                      <a:off x="0" y="0"/>
                      <a:ext cx="3079952" cy="4698096"/>
                    </a:xfrm>
                    <a:prstGeom prst="rect">
                      <a:avLst/>
                    </a:prstGeom>
                  </pic:spPr>
                </pic:pic>
              </a:graphicData>
            </a:graphic>
          </wp:inline>
        </w:drawing>
      </w:r>
    </w:p>
    <w:p w:rsidR="591E2678" w:rsidP="591E2678" w:rsidRDefault="591E2678" w14:paraId="6F34F88C" w14:textId="263888D2">
      <w:pPr>
        <w:pStyle w:val="Normal"/>
        <w:suppressLineNumbers w:val="0"/>
        <w:jc w:val="center"/>
      </w:pPr>
    </w:p>
    <w:p w:rsidR="591E2678" w:rsidP="591E2678" w:rsidRDefault="591E2678" w14:paraId="2FE18167" w14:textId="6DA0222D">
      <w:pPr>
        <w:pStyle w:val="Normal"/>
        <w:suppressLineNumbers w:val="0"/>
        <w:jc w:val="center"/>
      </w:pPr>
    </w:p>
    <w:p w:rsidR="591E2678" w:rsidP="591E2678" w:rsidRDefault="591E2678" w14:paraId="0D4BB0FF" w14:textId="30EB1525">
      <w:pPr>
        <w:pStyle w:val="Normal"/>
        <w:suppressLineNumbers w:val="0"/>
        <w:jc w:val="center"/>
      </w:pPr>
    </w:p>
    <w:p w:rsidR="591E2678" w:rsidP="591E2678" w:rsidRDefault="591E2678" w14:paraId="39F81ED2" w14:textId="14D484A5">
      <w:pPr>
        <w:pStyle w:val="Normal"/>
        <w:suppressLineNumbers w:val="0"/>
        <w:jc w:val="center"/>
      </w:pPr>
    </w:p>
    <w:p w:rsidR="591E2678" w:rsidP="591E2678" w:rsidRDefault="591E2678" w14:paraId="0E86079D" w14:textId="15E3CA50">
      <w:pPr>
        <w:pStyle w:val="Normal"/>
        <w:suppressLineNumbers w:val="0"/>
        <w:jc w:val="center"/>
      </w:pPr>
    </w:p>
    <w:p w:rsidR="591E2678" w:rsidP="591E2678" w:rsidRDefault="591E2678" w14:paraId="044EE1E1" w14:textId="2A2D6C31">
      <w:pPr>
        <w:pStyle w:val="Normal"/>
        <w:suppressLineNumbers w:val="0"/>
        <w:jc w:val="center"/>
      </w:pPr>
    </w:p>
    <w:p w:rsidR="591E2678" w:rsidP="591E2678" w:rsidRDefault="591E2678" w14:paraId="5D0C5596" w14:textId="3F18B0A5">
      <w:pPr>
        <w:pStyle w:val="Normal"/>
        <w:suppressLineNumbers w:val="0"/>
        <w:jc w:val="center"/>
      </w:pPr>
    </w:p>
    <w:p w:rsidR="591E2678" w:rsidP="591E2678" w:rsidRDefault="591E2678" w14:paraId="7F398DD7" w14:textId="39C1361B">
      <w:pPr>
        <w:pStyle w:val="Normal"/>
        <w:suppressLineNumbers w:val="0"/>
        <w:jc w:val="center"/>
      </w:pPr>
    </w:p>
    <w:p w:rsidR="591E2678" w:rsidP="591E2678" w:rsidRDefault="591E2678" w14:paraId="4087405D" w14:textId="21EEE0FE">
      <w:pPr>
        <w:pStyle w:val="Normal"/>
        <w:suppressLineNumbers w:val="0"/>
        <w:jc w:val="center"/>
      </w:pPr>
    </w:p>
    <w:p w:rsidR="591E2678" w:rsidP="591E2678" w:rsidRDefault="591E2678" w14:paraId="00EB5905" w14:textId="28C36A7B">
      <w:pPr>
        <w:pStyle w:val="Normal"/>
        <w:suppressLineNumbers w:val="0"/>
        <w:jc w:val="center"/>
      </w:pPr>
    </w:p>
    <w:p w:rsidR="591E2678" w:rsidP="591E2678" w:rsidRDefault="591E2678" w14:paraId="585D7E3E" w14:textId="5FCD44E9">
      <w:pPr>
        <w:pStyle w:val="Normal"/>
        <w:suppressLineNumbers w:val="0"/>
        <w:jc w:val="center"/>
      </w:pPr>
    </w:p>
    <w:p w:rsidR="591E2678" w:rsidP="591E2678" w:rsidRDefault="591E2678" w14:paraId="0A236642" w14:textId="45462180">
      <w:pPr>
        <w:pStyle w:val="Normal"/>
        <w:suppressLineNumbers w:val="0"/>
        <w:jc w:val="center"/>
      </w:pPr>
    </w:p>
    <w:p w:rsidR="591E2678" w:rsidP="591E2678" w:rsidRDefault="591E2678" w14:paraId="6C6A0816" w14:textId="5720FF48">
      <w:pPr>
        <w:pStyle w:val="Normal"/>
        <w:suppressLineNumbers w:val="0"/>
        <w:jc w:val="center"/>
      </w:pPr>
    </w:p>
    <w:p w:rsidR="591E2678" w:rsidP="591E2678" w:rsidRDefault="591E2678" w14:paraId="0B3B1955" w14:textId="509816BE">
      <w:pPr>
        <w:pStyle w:val="Normal"/>
        <w:suppressLineNumbers w:val="0"/>
        <w:jc w:val="center"/>
      </w:pPr>
    </w:p>
    <w:p w:rsidR="6FCAEE94" w:rsidP="699829F1" w:rsidRDefault="6FCAEE94" w14:paraId="11C5F83C" w14:textId="17229A9C">
      <w:pPr>
        <w:pStyle w:val="Normal"/>
        <w:suppressLineNumbers w:val="0"/>
        <w:bidi w:val="0"/>
        <w:spacing w:before="0" w:beforeAutospacing="off" w:after="160" w:afterAutospacing="off" w:line="279" w:lineRule="auto"/>
        <w:ind w:left="0" w:right="0"/>
        <w:jc w:val="center"/>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pPr>
      <w:r>
        <w:br/>
      </w:r>
      <w:r w:rsidRPr="699829F1" w:rsidR="699829F1">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t>Figure 18, Drilling down on ‘Business Administration and Law’ Sector Subject Area on Student Achievement Rates Page</w:t>
      </w:r>
    </w:p>
    <w:p w:rsidR="404E2E04" w:rsidP="6FCAEE94" w:rsidRDefault="404E2E04" w14:paraId="6042DA41" w14:textId="159F8738">
      <w:pPr>
        <w:pStyle w:val="Normal"/>
        <w:suppressLineNumbers w:val="0"/>
        <w:bidi w:val="0"/>
        <w:spacing w:before="0" w:beforeAutospacing="off" w:after="160" w:afterAutospacing="off" w:line="279" w:lineRule="auto"/>
        <w:ind w:left="0" w:right="0"/>
        <w:jc w:val="center"/>
        <w:rPr>
          <w:rFonts w:ascii="Aptos" w:hAnsi="Aptos" w:eastAsia="Aptos" w:cs="Aptos"/>
          <w:b w:val="0"/>
          <w:bCs w:val="0"/>
          <w:i w:val="0"/>
          <w:iCs w:val="0"/>
          <w:noProof w:val="0"/>
          <w:color w:val="000000" w:themeColor="text1" w:themeTint="FF" w:themeShade="FF"/>
          <w:sz w:val="24"/>
          <w:szCs w:val="24"/>
          <w:lang w:val="en-GB"/>
        </w:rPr>
      </w:pPr>
      <w:r>
        <w:drawing>
          <wp:anchor distT="0" distB="0" distL="114300" distR="114300" simplePos="0" relativeHeight="251658240" behindDoc="0" locked="0" layoutInCell="1" allowOverlap="1" wp14:editId="48575AF2" wp14:anchorId="75B4B912">
            <wp:simplePos x="0" y="0"/>
            <wp:positionH relativeFrom="column">
              <wp:align>left</wp:align>
            </wp:positionH>
            <wp:positionV relativeFrom="paragraph">
              <wp:posOffset>0</wp:posOffset>
            </wp:positionV>
            <wp:extent cx="7461442" cy="4475147"/>
            <wp:effectExtent l="0" t="0" r="0" b="0"/>
            <wp:wrapSquare wrapText="bothSides"/>
            <wp:docPr id="1448613523" name="" title=""/>
            <wp:cNvGraphicFramePr>
              <a:graphicFrameLocks noChangeAspect="1"/>
            </wp:cNvGraphicFramePr>
            <a:graphic>
              <a:graphicData uri="http://schemas.openxmlformats.org/drawingml/2006/picture">
                <pic:pic>
                  <pic:nvPicPr>
                    <pic:cNvPr id="0" name=""/>
                    <pic:cNvPicPr/>
                  </pic:nvPicPr>
                  <pic:blipFill>
                    <a:blip r:embed="Rc738b54a80ee45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7461442" cy="4475147"/>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p>
    <w:p w:rsidR="6FCAEE94" w:rsidP="699829F1" w:rsidRDefault="6FCAEE94" w14:paraId="25737BD9" w14:textId="44C22489">
      <w:pPr>
        <w:pStyle w:val="Normal"/>
        <w:suppressLineNumbers w:val="0"/>
        <w:bidi w:val="0"/>
        <w:spacing w:before="0" w:beforeAutospacing="off" w:after="160" w:afterAutospacing="off" w:line="279" w:lineRule="auto"/>
        <w:ind w:left="0" w:right="0"/>
        <w:jc w:val="center"/>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pPr>
      <w:r w:rsidRPr="699829F1" w:rsidR="699829F1">
        <w:rPr>
          <w:rFonts w:ascii="Aptos" w:hAnsi="Aptos" w:eastAsia="" w:cs="" w:asciiTheme="minorAscii" w:hAnsiTheme="minorAscii" w:eastAsiaTheme="majorEastAsia" w:cstheme="majorBidi"/>
          <w:noProof w:val="0"/>
          <w:color w:val="595959" w:themeColor="text1" w:themeTint="A6" w:themeShade="FF"/>
          <w:sz w:val="24"/>
          <w:szCs w:val="24"/>
          <w:lang w:val="en-GB" w:eastAsia="ja-JP" w:bidi="ar-SA"/>
        </w:rPr>
        <w:t>Figure 19, Leavers, Achievement and Retention Trends by Entry Level Qualifications Including Tooltip</w:t>
      </w:r>
    </w:p>
    <w:p w:rsidR="404E2E04" w:rsidP="0DDB4B9B" w:rsidRDefault="404E2E04" w14:paraId="1DE58E02" w14:textId="435F925A">
      <w:pPr>
        <w:pStyle w:val="Normal"/>
        <w:suppressLineNumbers w:val="0"/>
        <w:jc w:val="center"/>
      </w:pPr>
      <w:r>
        <w:drawing>
          <wp:anchor distT="0" distB="0" distL="114300" distR="114300" simplePos="0" relativeHeight="251658240" behindDoc="0" locked="0" layoutInCell="1" allowOverlap="1" wp14:editId="133249A5" wp14:anchorId="33E097EA">
            <wp:simplePos x="0" y="0"/>
            <wp:positionH relativeFrom="column">
              <wp:align>left</wp:align>
            </wp:positionH>
            <wp:positionV relativeFrom="paragraph">
              <wp:posOffset>0</wp:posOffset>
            </wp:positionV>
            <wp:extent cx="7454698" cy="3324225"/>
            <wp:effectExtent l="0" t="0" r="0" b="0"/>
            <wp:wrapSquare wrapText="bothSides"/>
            <wp:docPr id="799969346" name="" title=""/>
            <wp:cNvGraphicFramePr>
              <a:graphicFrameLocks noChangeAspect="1"/>
            </wp:cNvGraphicFramePr>
            <a:graphic>
              <a:graphicData uri="http://schemas.openxmlformats.org/drawingml/2006/picture">
                <pic:pic>
                  <pic:nvPicPr>
                    <pic:cNvPr id="0" name=""/>
                    <pic:cNvPicPr/>
                  </pic:nvPicPr>
                  <pic:blipFill>
                    <a:blip r:embed="R351f18ec43b143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454698" cy="3324225"/>
                    </a:xfrm>
                    <a:prstGeom prst="rect">
                      <a:avLst/>
                    </a:prstGeom>
                  </pic:spPr>
                </pic:pic>
              </a:graphicData>
            </a:graphic>
            <wp14:sizeRelH relativeFrom="page">
              <wp14:pctWidth>0</wp14:pctWidth>
            </wp14:sizeRelH>
            <wp14:sizeRelV relativeFrom="page">
              <wp14:pctHeight>0</wp14:pctHeight>
            </wp14:sizeRelV>
          </wp:anchor>
        </w:drawing>
      </w:r>
    </w:p>
    <w:p w:rsidR="79134FB5" w:rsidP="699829F1" w:rsidRDefault="79134FB5" w14:paraId="1597A5C7" w14:textId="413D6F05">
      <w:pPr>
        <w:pStyle w:val="Normal"/>
        <w:suppressLineNumbers w:val="0"/>
        <w:bidi w:val="0"/>
        <w:spacing w:before="0" w:beforeAutospacing="off" w:after="160" w:afterAutospacing="off" w:line="279" w:lineRule="auto"/>
        <w:ind w:left="0" w:right="0"/>
        <w:jc w:val="center"/>
        <w:rPr>
          <w:rFonts w:ascii="Aptos" w:hAnsi="Aptos" w:eastAsia="" w:cs="" w:asciiTheme="minorAscii" w:hAnsiTheme="minorAscii" w:eastAsiaTheme="majorEastAsia" w:cstheme="majorBidi"/>
          <w:color w:val="595959" w:themeColor="text1" w:themeTint="A6" w:themeShade="FF"/>
          <w:sz w:val="24"/>
          <w:szCs w:val="24"/>
          <w:lang w:eastAsia="ja-JP" w:bidi="ar-SA"/>
        </w:rPr>
      </w:pPr>
      <w:r w:rsidRPr="699829F1" w:rsidR="699829F1">
        <w:rPr>
          <w:rFonts w:ascii="Aptos" w:hAnsi="Aptos" w:eastAsia="" w:cs="" w:asciiTheme="minorAscii" w:hAnsiTheme="minorAscii" w:eastAsiaTheme="majorEastAsia" w:cstheme="majorBidi"/>
          <w:color w:val="595959" w:themeColor="text1" w:themeTint="A6" w:themeShade="FF"/>
          <w:sz w:val="24"/>
          <w:szCs w:val="24"/>
          <w:lang w:eastAsia="ja-JP" w:bidi="ar-SA"/>
        </w:rPr>
        <w:t>Figure 20, The Five Sector Subject Area Twos with the Lowest Retention Rates Including Tooltip</w:t>
      </w:r>
    </w:p>
    <w:p w:rsidR="79134FB5" w:rsidP="79134FB5" w:rsidRDefault="79134FB5" w14:paraId="248A045E" w14:textId="71B54F77">
      <w:pPr>
        <w:pStyle w:val="Normal"/>
        <w:jc w:val="center"/>
      </w:pPr>
      <w:r>
        <w:drawing>
          <wp:anchor distT="0" distB="0" distL="114300" distR="114300" simplePos="0" relativeHeight="251658240" behindDoc="0" locked="0" layoutInCell="1" allowOverlap="1" wp14:editId="66677C33" wp14:anchorId="25F97F26">
            <wp:simplePos x="0" y="0"/>
            <wp:positionH relativeFrom="column">
              <wp:align>left</wp:align>
            </wp:positionH>
            <wp:positionV relativeFrom="paragraph">
              <wp:posOffset>0</wp:posOffset>
            </wp:positionV>
            <wp:extent cx="7460504" cy="4183345"/>
            <wp:effectExtent l="0" t="0" r="0" b="0"/>
            <wp:wrapSquare wrapText="bothSides"/>
            <wp:docPr id="2088206758" name="" title=""/>
            <wp:cNvGraphicFramePr>
              <a:graphicFrameLocks noChangeAspect="1"/>
            </wp:cNvGraphicFramePr>
            <a:graphic>
              <a:graphicData uri="http://schemas.openxmlformats.org/drawingml/2006/picture">
                <pic:pic>
                  <pic:nvPicPr>
                    <pic:cNvPr id="0" name=""/>
                    <pic:cNvPicPr/>
                  </pic:nvPicPr>
                  <pic:blipFill>
                    <a:blip r:embed="Rd2cfbfe2b0b94d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460504" cy="4183345"/>
                    </a:xfrm>
                    <a:prstGeom prst="rect">
                      <a:avLst/>
                    </a:prstGeom>
                  </pic:spPr>
                </pic:pic>
              </a:graphicData>
            </a:graphic>
            <wp14:sizeRelH relativeFrom="page">
              <wp14:pctWidth>0</wp14:pctWidth>
            </wp14:sizeRelH>
            <wp14:sizeRelV relativeFrom="page">
              <wp14:pctHeight>0</wp14:pctHeight>
            </wp14:sizeRelV>
          </wp:anchor>
        </w:drawing>
      </w:r>
    </w:p>
    <w:p w:rsidR="79134FB5" w:rsidP="15B20EEC" w:rsidRDefault="79134FB5" w14:paraId="0E2FF5CD" w14:textId="4A318F3E">
      <w:pPr/>
      <w:r>
        <w:br w:type="page"/>
      </w:r>
    </w:p>
    <w:p w:rsidR="79134FB5" w:rsidP="699829F1" w:rsidRDefault="79134FB5" w14:paraId="0041CA69" w14:textId="24E97247">
      <w:pPr>
        <w:pStyle w:val="Normal"/>
        <w:suppressLineNumbers w:val="0"/>
        <w:bidi w:val="0"/>
        <w:spacing w:before="0" w:beforeAutospacing="off" w:after="160" w:afterAutospacing="off" w:line="279" w:lineRule="auto"/>
        <w:ind w:left="0" w:right="0"/>
        <w:jc w:val="center"/>
        <w:rPr>
          <w:rFonts w:ascii="Aptos" w:hAnsi="Aptos" w:eastAsia="" w:cs="" w:asciiTheme="minorAscii" w:hAnsiTheme="minorAscii" w:eastAsiaTheme="majorEastAsia" w:cstheme="majorBidi"/>
          <w:color w:val="595959" w:themeColor="text1" w:themeTint="A6" w:themeShade="FF"/>
          <w:sz w:val="24"/>
          <w:szCs w:val="24"/>
          <w:lang w:eastAsia="ja-JP" w:bidi="ar-SA"/>
        </w:rPr>
      </w:pPr>
      <w:r w:rsidRPr="699829F1" w:rsidR="699829F1">
        <w:rPr>
          <w:rFonts w:ascii="Aptos" w:hAnsi="Aptos" w:eastAsia="" w:cs="" w:asciiTheme="minorAscii" w:hAnsiTheme="minorAscii" w:eastAsiaTheme="majorEastAsia" w:cstheme="majorBidi"/>
          <w:color w:val="595959" w:themeColor="text1" w:themeTint="A6" w:themeShade="FF"/>
          <w:sz w:val="24"/>
          <w:szCs w:val="24"/>
          <w:lang w:eastAsia="ja-JP" w:bidi="ar-SA"/>
        </w:rPr>
        <w:t>Figure 21, Leavers, Achievement, and Retention Trends by Age Group</w:t>
      </w:r>
    </w:p>
    <w:p w:rsidR="7A9E9D8B" w:rsidP="7A9E9D8B" w:rsidRDefault="7A9E9D8B" w14:paraId="27E58701" w14:textId="377D5D0B">
      <w:pPr>
        <w:pStyle w:val="Normal"/>
        <w:jc w:val="center"/>
      </w:pPr>
      <w:r>
        <w:drawing>
          <wp:anchor distT="0" distB="0" distL="114300" distR="114300" simplePos="0" relativeHeight="251658240" behindDoc="0" locked="0" layoutInCell="1" allowOverlap="1" wp14:editId="16EA873C" wp14:anchorId="4CEC64B4">
            <wp:simplePos x="0" y="0"/>
            <wp:positionH relativeFrom="column">
              <wp:align>left</wp:align>
            </wp:positionH>
            <wp:positionV relativeFrom="paragraph">
              <wp:posOffset>0</wp:posOffset>
            </wp:positionV>
            <wp:extent cx="7475422" cy="3544918"/>
            <wp:effectExtent l="0" t="0" r="0" b="0"/>
            <wp:wrapSquare wrapText="bothSides"/>
            <wp:docPr id="1541179062" name="" title=""/>
            <wp:cNvGraphicFramePr>
              <a:graphicFrameLocks noChangeAspect="1"/>
            </wp:cNvGraphicFramePr>
            <a:graphic>
              <a:graphicData uri="http://schemas.openxmlformats.org/drawingml/2006/picture">
                <pic:pic>
                  <pic:nvPicPr>
                    <pic:cNvPr id="0" name=""/>
                    <pic:cNvPicPr/>
                  </pic:nvPicPr>
                  <pic:blipFill>
                    <a:blip r:embed="Ra605cecc2d27433e">
                      <a:extLst>
                        <a:ext xmlns:a="http://schemas.openxmlformats.org/drawingml/2006/main" uri="{28A0092B-C50C-407E-A947-70E740481C1C}">
                          <a14:useLocalDpi val="0"/>
                        </a:ext>
                      </a:extLst>
                    </a:blip>
                    <a:stretch>
                      <a:fillRect/>
                    </a:stretch>
                  </pic:blipFill>
                  <pic:spPr>
                    <a:xfrm>
                      <a:off x="0" y="0"/>
                      <a:ext cx="7475422" cy="3544918"/>
                    </a:xfrm>
                    <a:prstGeom prst="rect">
                      <a:avLst/>
                    </a:prstGeom>
                  </pic:spPr>
                </pic:pic>
              </a:graphicData>
            </a:graphic>
            <wp14:sizeRelH relativeFrom="page">
              <wp14:pctWidth>0</wp14:pctWidth>
            </wp14:sizeRelH>
            <wp14:sizeRelV relativeFrom="page">
              <wp14:pctHeight>0</wp14:pctHeight>
            </wp14:sizeRelV>
          </wp:anchor>
        </w:drawing>
      </w:r>
    </w:p>
    <w:p w:rsidR="15B20EEC" w:rsidP="15B20EEC" w:rsidRDefault="15B20EEC" w14:paraId="695976D0" w14:textId="27EC0AB6">
      <w:pPr>
        <w:pStyle w:val="Normal"/>
        <w:jc w:val="center"/>
      </w:pPr>
      <w:r>
        <w:drawing>
          <wp:anchor distT="0" distB="0" distL="114300" distR="114300" simplePos="0" relativeHeight="251658240" behindDoc="0" locked="0" layoutInCell="1" allowOverlap="1" wp14:editId="301D95F3" wp14:anchorId="788CC840">
            <wp:simplePos x="0" y="0"/>
            <wp:positionH relativeFrom="column">
              <wp:align>left</wp:align>
            </wp:positionH>
            <wp:positionV relativeFrom="paragraph">
              <wp:posOffset>0</wp:posOffset>
            </wp:positionV>
            <wp:extent cx="7450488" cy="3520698"/>
            <wp:effectExtent l="0" t="0" r="0" b="0"/>
            <wp:wrapSquare wrapText="bothSides"/>
            <wp:docPr id="1265666954" name="" title=""/>
            <wp:cNvGraphicFramePr>
              <a:graphicFrameLocks noChangeAspect="1"/>
            </wp:cNvGraphicFramePr>
            <a:graphic>
              <a:graphicData uri="http://schemas.openxmlformats.org/drawingml/2006/picture">
                <pic:pic>
                  <pic:nvPicPr>
                    <pic:cNvPr id="0" name=""/>
                    <pic:cNvPicPr/>
                  </pic:nvPicPr>
                  <pic:blipFill>
                    <a:blip r:embed="Rffe992196bc14043">
                      <a:extLst>
                        <a:ext xmlns:a="http://schemas.openxmlformats.org/drawingml/2006/main" uri="{28A0092B-C50C-407E-A947-70E740481C1C}">
                          <a14:useLocalDpi val="0"/>
                        </a:ext>
                      </a:extLst>
                    </a:blip>
                    <a:stretch>
                      <a:fillRect/>
                    </a:stretch>
                  </pic:blipFill>
                  <pic:spPr>
                    <a:xfrm>
                      <a:off x="0" y="0"/>
                      <a:ext cx="7450488" cy="3520698"/>
                    </a:xfrm>
                    <a:prstGeom prst="rect">
                      <a:avLst/>
                    </a:prstGeom>
                  </pic:spPr>
                </pic:pic>
              </a:graphicData>
            </a:graphic>
            <wp14:sizeRelH relativeFrom="page">
              <wp14:pctWidth>0</wp14:pctWidth>
            </wp14:sizeRelH>
            <wp14:sizeRelV relativeFrom="page">
              <wp14:pctHeight>0</wp14:pctHeight>
            </wp14:sizeRelV>
          </wp:anchor>
        </w:drawing>
      </w:r>
    </w:p>
    <w:p w:rsidR="51F172F6" w:rsidRDefault="51F172F6" w14:paraId="397D968D" w14:textId="2AFD2CF3">
      <w:r>
        <w:br w:type="page"/>
      </w:r>
    </w:p>
    <w:p w:rsidR="51F172F6" w:rsidP="699829F1" w:rsidRDefault="51F172F6" w14:paraId="5CD7361A" w14:textId="6C6F46AC">
      <w:pPr>
        <w:pStyle w:val="Normal"/>
        <w:suppressLineNumbers w:val="0"/>
        <w:bidi w:val="0"/>
        <w:spacing w:before="0" w:beforeAutospacing="off" w:after="160" w:afterAutospacing="off" w:line="279" w:lineRule="auto"/>
        <w:ind w:left="0" w:right="0"/>
        <w:jc w:val="center"/>
        <w:rPr>
          <w:rFonts w:ascii="Aptos" w:hAnsi="Aptos" w:eastAsia="" w:cs="" w:asciiTheme="minorAscii" w:hAnsiTheme="minorAscii" w:eastAsiaTheme="majorEastAsia" w:cstheme="majorBidi"/>
          <w:color w:val="595959" w:themeColor="text1" w:themeTint="A6" w:themeShade="FF"/>
          <w:sz w:val="24"/>
          <w:szCs w:val="24"/>
          <w:lang w:eastAsia="ja-JP" w:bidi="ar-SA"/>
        </w:rPr>
      </w:pPr>
      <w:r w:rsidRPr="699829F1" w:rsidR="699829F1">
        <w:rPr>
          <w:rFonts w:ascii="Aptos" w:hAnsi="Aptos" w:eastAsia="" w:cs="" w:asciiTheme="minorAscii" w:hAnsiTheme="minorAscii" w:eastAsiaTheme="majorEastAsia" w:cstheme="majorBidi"/>
          <w:color w:val="595959" w:themeColor="text1" w:themeTint="A6" w:themeShade="FF"/>
          <w:sz w:val="24"/>
          <w:szCs w:val="24"/>
          <w:lang w:eastAsia="ja-JP" w:bidi="ar-SA"/>
        </w:rPr>
        <w:t>Figure 22, Achievement Rates of Level 2 Qualifications</w:t>
      </w:r>
    </w:p>
    <w:p w:rsidR="51F172F6" w:rsidP="51F172F6" w:rsidRDefault="51F172F6" w14:paraId="66FF0C37" w14:textId="1485FB75">
      <w:pPr>
        <w:pStyle w:val="Normal"/>
        <w:jc w:val="center"/>
      </w:pPr>
      <w:r>
        <w:drawing>
          <wp:anchor distT="0" distB="0" distL="114300" distR="114300" simplePos="0" relativeHeight="251658240" behindDoc="0" locked="0" layoutInCell="1" allowOverlap="1" wp14:editId="7F4FE60F" wp14:anchorId="48F66C9E">
            <wp:simplePos x="0" y="0"/>
            <wp:positionH relativeFrom="column">
              <wp:align>left</wp:align>
            </wp:positionH>
            <wp:positionV relativeFrom="paragraph">
              <wp:posOffset>0</wp:posOffset>
            </wp:positionV>
            <wp:extent cx="7338706" cy="4200525"/>
            <wp:effectExtent l="0" t="0" r="0" b="0"/>
            <wp:wrapSquare wrapText="bothSides"/>
            <wp:docPr id="404778088" name="" title=""/>
            <wp:cNvGraphicFramePr>
              <a:graphicFrameLocks noChangeAspect="1"/>
            </wp:cNvGraphicFramePr>
            <a:graphic>
              <a:graphicData uri="http://schemas.openxmlformats.org/drawingml/2006/picture">
                <pic:pic>
                  <pic:nvPicPr>
                    <pic:cNvPr id="0" name=""/>
                    <pic:cNvPicPr/>
                  </pic:nvPicPr>
                  <pic:blipFill>
                    <a:blip r:embed="Rf9a257308495461f">
                      <a:extLst>
                        <a:ext xmlns:a="http://schemas.openxmlformats.org/drawingml/2006/main" uri="{28A0092B-C50C-407E-A947-70E740481C1C}">
                          <a14:useLocalDpi val="0"/>
                        </a:ext>
                      </a:extLst>
                    </a:blip>
                    <a:stretch>
                      <a:fillRect/>
                    </a:stretch>
                  </pic:blipFill>
                  <pic:spPr>
                    <a:xfrm>
                      <a:off x="0" y="0"/>
                      <a:ext cx="7338706" cy="4200525"/>
                    </a:xfrm>
                    <a:prstGeom prst="rect">
                      <a:avLst/>
                    </a:prstGeom>
                  </pic:spPr>
                </pic:pic>
              </a:graphicData>
            </a:graphic>
            <wp14:sizeRelH relativeFrom="page">
              <wp14:pctWidth>0</wp14:pctWidth>
            </wp14:sizeRelH>
            <wp14:sizeRelV relativeFrom="page">
              <wp14:pctHeight>0</wp14:pctHeight>
            </wp14:sizeRelV>
          </wp:anchor>
        </w:drawing>
      </w:r>
    </w:p>
    <w:p w:rsidR="0C376BC6" w:rsidP="699829F1" w:rsidRDefault="0C376BC6" w14:paraId="79D167C6" w14:textId="56FDE2A7">
      <w:pPr>
        <w:pStyle w:val="Normal"/>
        <w:suppressLineNumbers w:val="0"/>
        <w:bidi w:val="0"/>
        <w:spacing w:before="0" w:beforeAutospacing="off" w:after="160" w:afterAutospacing="off" w:line="279" w:lineRule="auto"/>
        <w:ind w:left="0" w:right="0"/>
        <w:jc w:val="center"/>
        <w:rPr>
          <w:rFonts w:ascii="Aptos" w:hAnsi="Aptos" w:eastAsia="" w:cs="" w:asciiTheme="minorAscii" w:hAnsiTheme="minorAscii" w:eastAsiaTheme="majorEastAsia" w:cstheme="majorBidi"/>
          <w:color w:val="595959" w:themeColor="text1" w:themeTint="A6" w:themeShade="FF"/>
          <w:sz w:val="24"/>
          <w:szCs w:val="24"/>
          <w:lang w:eastAsia="ja-JP" w:bidi="ar-SA"/>
        </w:rPr>
      </w:pPr>
      <w:r w:rsidRPr="699829F1" w:rsidR="699829F1">
        <w:rPr>
          <w:rFonts w:ascii="Aptos" w:hAnsi="Aptos" w:eastAsia="" w:cs="" w:asciiTheme="minorAscii" w:hAnsiTheme="minorAscii" w:eastAsiaTheme="majorEastAsia" w:cstheme="majorBidi"/>
          <w:color w:val="595959" w:themeColor="text1" w:themeTint="A6" w:themeShade="FF"/>
          <w:sz w:val="24"/>
          <w:szCs w:val="24"/>
          <w:lang w:eastAsia="ja-JP" w:bidi="ar-SA"/>
        </w:rPr>
        <w:t xml:space="preserve">Figure 23, Arts </w:t>
      </w:r>
      <w:r w:rsidRPr="699829F1" w:rsidR="699829F1">
        <w:rPr>
          <w:rFonts w:ascii="Aptos" w:hAnsi="Aptos" w:eastAsia="" w:cs="" w:asciiTheme="minorAscii" w:hAnsiTheme="minorAscii" w:eastAsiaTheme="majorEastAsia" w:cstheme="majorBidi"/>
          <w:color w:val="595959" w:themeColor="text1" w:themeTint="A6" w:themeShade="FF"/>
          <w:sz w:val="24"/>
          <w:szCs w:val="24"/>
          <w:lang w:eastAsia="ja-JP" w:bidi="ar-SA"/>
        </w:rPr>
        <w:t>Media</w:t>
      </w:r>
      <w:r w:rsidRPr="699829F1" w:rsidR="699829F1">
        <w:rPr>
          <w:rFonts w:ascii="Aptos" w:hAnsi="Aptos" w:eastAsia="" w:cs="" w:asciiTheme="minorAscii" w:hAnsiTheme="minorAscii" w:eastAsiaTheme="majorEastAsia" w:cstheme="majorBidi"/>
          <w:color w:val="595959" w:themeColor="text1" w:themeTint="A6" w:themeShade="FF"/>
          <w:sz w:val="24"/>
          <w:szCs w:val="24"/>
          <w:lang w:eastAsia="ja-JP" w:bidi="ar-SA"/>
        </w:rPr>
        <w:t xml:space="preserve"> and Publishing Trends</w:t>
      </w:r>
    </w:p>
    <w:p w:rsidR="0C376BC6" w:rsidP="0C376BC6" w:rsidRDefault="0C376BC6" w14:paraId="5DE67863" w14:textId="2624F7A7">
      <w:pPr>
        <w:pStyle w:val="Normal"/>
        <w:jc w:val="center"/>
      </w:pPr>
      <w:r>
        <w:drawing>
          <wp:anchor distT="0" distB="0" distL="114300" distR="114300" simplePos="0" relativeHeight="251658240" behindDoc="0" locked="0" layoutInCell="1" allowOverlap="1" wp14:editId="248E794D" wp14:anchorId="4443F9C1">
            <wp:simplePos x="0" y="0"/>
            <wp:positionH relativeFrom="column">
              <wp:align>left</wp:align>
            </wp:positionH>
            <wp:positionV relativeFrom="paragraph">
              <wp:posOffset>0</wp:posOffset>
            </wp:positionV>
            <wp:extent cx="7475604" cy="3433058"/>
            <wp:effectExtent l="0" t="0" r="0" b="0"/>
            <wp:wrapSquare wrapText="bothSides"/>
            <wp:docPr id="1148082186" name="" title=""/>
            <wp:cNvGraphicFramePr>
              <a:graphicFrameLocks noChangeAspect="1"/>
            </wp:cNvGraphicFramePr>
            <a:graphic>
              <a:graphicData uri="http://schemas.openxmlformats.org/drawingml/2006/picture">
                <pic:pic>
                  <pic:nvPicPr>
                    <pic:cNvPr id="0" name=""/>
                    <pic:cNvPicPr/>
                  </pic:nvPicPr>
                  <pic:blipFill>
                    <a:blip r:embed="Rf4e4dbc107f94ece">
                      <a:extLst>
                        <a:ext xmlns:a="http://schemas.openxmlformats.org/drawingml/2006/main" uri="{28A0092B-C50C-407E-A947-70E740481C1C}">
                          <a14:useLocalDpi val="0"/>
                        </a:ext>
                      </a:extLst>
                    </a:blip>
                    <a:stretch>
                      <a:fillRect/>
                    </a:stretch>
                  </pic:blipFill>
                  <pic:spPr>
                    <a:xfrm>
                      <a:off x="0" y="0"/>
                      <a:ext cx="7475604" cy="3433058"/>
                    </a:xfrm>
                    <a:prstGeom prst="rect">
                      <a:avLst/>
                    </a:prstGeom>
                  </pic:spPr>
                </pic:pic>
              </a:graphicData>
            </a:graphic>
            <wp14:sizeRelH relativeFrom="page">
              <wp14:pctWidth>0</wp14:pctWidth>
            </wp14:sizeRelH>
            <wp14:sizeRelV relativeFrom="page">
              <wp14:pctHeight>0</wp14:pctHeight>
            </wp14:sizeRelV>
          </wp:anchor>
        </w:drawing>
      </w:r>
    </w:p>
    <w:sectPr>
      <w:pgSz w:w="11906" w:h="16838" w:orient="portrait"/>
      <w:pgMar w:top="720" w:right="1440" w:bottom="81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xduFyMNe2/qQtW" int2:id="sjFyl6RI">
      <int2:state int2:type="AugLoop_Text_Critique" int2:value="Rejected"/>
    </int2:textHash>
    <int2:bookmark int2:bookmarkName="_Int_oOLT0B4k" int2:invalidationBookmarkName="" int2:hashCode="n4DnLMGogrndrr" int2:id="tjOMm7QA">
      <int2:state int2:type="AugLoop_Text_Critique" int2:value="Rejected"/>
    </int2:bookmark>
    <int2:bookmark int2:bookmarkName="_Int_w2d4nOUB" int2:invalidationBookmarkName="" int2:hashCode="idcgm2z7whRgIf" int2:id="SDrrSniF">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6">
    <w:nsid w:val="52b6872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6f61fc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91f36e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1c79ab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1ddc9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437cd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rPr/>
    </w:lvl>
    <w:lvl xmlns:w="http://schemas.openxmlformats.org/wordprocessingml/2006/main" w:ilvl="2">
      <w:start w:val="1"/>
      <w:numFmt w:val="lowerRoman"/>
      <w:lvlText w:val="%3."/>
      <w:lvlJc w:val="right"/>
      <w:pPr>
        <w:ind w:left="2160" w:hanging="180"/>
      </w:pPr>
      <w:rPr/>
    </w:lvl>
    <w:lvl xmlns:w="http://schemas.openxmlformats.org/wordprocessingml/2006/main" w:ilvl="3">
      <w:start w:val="1"/>
      <w:numFmt w:val="decimal"/>
      <w:lvlText w:val="%4."/>
      <w:lvlJc w:val="left"/>
      <w:pPr>
        <w:ind w:left="2880" w:hanging="360"/>
      </w:pPr>
      <w:rPr/>
    </w:lvl>
    <w:lvl xmlns:w="http://schemas.openxmlformats.org/wordprocessingml/2006/main" w:ilvl="4">
      <w:start w:val="1"/>
      <w:numFmt w:val="lowerLetter"/>
      <w:lvlText w:val="%5."/>
      <w:lvlJc w:val="left"/>
      <w:pPr>
        <w:ind w:left="3600" w:hanging="360"/>
      </w:pPr>
      <w:rPr/>
    </w:lvl>
    <w:lvl xmlns:w="http://schemas.openxmlformats.org/wordprocessingml/2006/main" w:ilvl="5">
      <w:start w:val="1"/>
      <w:numFmt w:val="lowerRoman"/>
      <w:lvlText w:val="%6."/>
      <w:lvlJc w:val="right"/>
      <w:pPr>
        <w:ind w:left="4320" w:hanging="180"/>
      </w:pPr>
      <w:rPr/>
    </w:lvl>
    <w:lvl xmlns:w="http://schemas.openxmlformats.org/wordprocessingml/2006/main" w:ilvl="6">
      <w:start w:val="1"/>
      <w:numFmt w:val="decimal"/>
      <w:lvlText w:val="%7."/>
      <w:lvlJc w:val="left"/>
      <w:pPr>
        <w:ind w:left="5040" w:hanging="360"/>
      </w:pPr>
      <w:rPr/>
    </w:lvl>
    <w:lvl xmlns:w="http://schemas.openxmlformats.org/wordprocessingml/2006/main" w:ilvl="7">
      <w:start w:val="1"/>
      <w:numFmt w:val="lowerLetter"/>
      <w:lvlText w:val="%8."/>
      <w:lvlJc w:val="left"/>
      <w:pPr>
        <w:ind w:left="5760" w:hanging="360"/>
      </w:pPr>
      <w:rPr/>
    </w:lvl>
    <w:lvl xmlns:w="http://schemas.openxmlformats.org/wordprocessingml/2006/main" w:ilvl="8">
      <w:start w:val="1"/>
      <w:numFmt w:val="lowerRoman"/>
      <w:lvlText w:val="%9."/>
      <w:lvlJc w:val="right"/>
      <w:pPr>
        <w:ind w:left="6480" w:hanging="180"/>
      </w:pPr>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CC56A16"/>
    <w:rsid w:val="008BA9C2"/>
    <w:rsid w:val="08A2A5D2"/>
    <w:rsid w:val="0AC35582"/>
    <w:rsid w:val="0C376BC6"/>
    <w:rsid w:val="0DDB4B9B"/>
    <w:rsid w:val="1005F09B"/>
    <w:rsid w:val="15B20EEC"/>
    <w:rsid w:val="1AB9E6D9"/>
    <w:rsid w:val="1CC56A16"/>
    <w:rsid w:val="24F93351"/>
    <w:rsid w:val="25F2A797"/>
    <w:rsid w:val="2E0B4C7F"/>
    <w:rsid w:val="2F22BC71"/>
    <w:rsid w:val="3983411C"/>
    <w:rsid w:val="404E2E04"/>
    <w:rsid w:val="4D5C6D8F"/>
    <w:rsid w:val="4EAF7E92"/>
    <w:rsid w:val="51C3DDFE"/>
    <w:rsid w:val="51F172F6"/>
    <w:rsid w:val="576299B2"/>
    <w:rsid w:val="591E2678"/>
    <w:rsid w:val="668F2655"/>
    <w:rsid w:val="699829F1"/>
    <w:rsid w:val="6F777143"/>
    <w:rsid w:val="6F794DC1"/>
    <w:rsid w:val="6FCAEE94"/>
    <w:rsid w:val="6FD0E35C"/>
    <w:rsid w:val="72D8AF7D"/>
    <w:rsid w:val="79134FB5"/>
    <w:rsid w:val="7A9E9D8B"/>
    <w:rsid w:val="7B42B9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56A16"/>
  <w15:chartTrackingRefBased/>
  <w15:docId w15:val="{1CDCD2DD-C9F2-4B0D-AAFC-B237E5A1478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microsoft.com/office/2020/10/relationships/intelligence" Target="/word/intelligence2.xml" Id="R6e31118716504aa3" /><Relationship Type="http://schemas.openxmlformats.org/officeDocument/2006/relationships/numbering" Target="/word/numbering.xml" Id="R6e2db0660c3d46cf" /><Relationship Type="http://schemas.openxmlformats.org/officeDocument/2006/relationships/image" Target="/media/image2.png" Id="Rf32c3cc01c6f4f76" /><Relationship Type="http://schemas.openxmlformats.org/officeDocument/2006/relationships/image" Target="/media/image3.png" Id="Rf8882700f482402e" /><Relationship Type="http://schemas.openxmlformats.org/officeDocument/2006/relationships/image" Target="/media/image4.png" Id="Rffa50fe4ab624fbf" /><Relationship Type="http://schemas.openxmlformats.org/officeDocument/2006/relationships/image" Target="/media/image5.png" Id="R8a104347595146af" /><Relationship Type="http://schemas.openxmlformats.org/officeDocument/2006/relationships/image" Target="/media/image7.png" Id="R8aac24b0a9554447" /><Relationship Type="http://schemas.openxmlformats.org/officeDocument/2006/relationships/image" Target="/media/imagec.png" Id="R7f348a99740f4642" /><Relationship Type="http://schemas.openxmlformats.org/officeDocument/2006/relationships/image" Target="/media/imaged.png" Id="R6ccf2d9ff3a74c10" /><Relationship Type="http://schemas.openxmlformats.org/officeDocument/2006/relationships/image" Target="/media/imagee.png" Id="R9bb8c68ea25a4e5c" /><Relationship Type="http://schemas.openxmlformats.org/officeDocument/2006/relationships/image" Target="/media/imagef.png" Id="Rbf89b1bc006d4073" /><Relationship Type="http://schemas.openxmlformats.org/officeDocument/2006/relationships/image" Target="/media/image11.png" Id="R06d71ac14bcb49df" /><Relationship Type="http://schemas.openxmlformats.org/officeDocument/2006/relationships/image" Target="/media/image13.png" Id="R87f0fa209ec047c1" /><Relationship Type="http://schemas.openxmlformats.org/officeDocument/2006/relationships/image" Target="/media/image12.png" Id="Re1c0db243cab43a0" /><Relationship Type="http://schemas.openxmlformats.org/officeDocument/2006/relationships/image" Target="/media/image14.png" Id="R7838b192b2224d6c" /><Relationship Type="http://schemas.openxmlformats.org/officeDocument/2006/relationships/image" Target="/media/image15.png" Id="R8d3a72a800f841f0" /><Relationship Type="http://schemas.openxmlformats.org/officeDocument/2006/relationships/image" Target="/media/image16.png" Id="R91792104f9c24c2c" /><Relationship Type="http://schemas.openxmlformats.org/officeDocument/2006/relationships/image" Target="/media/image17.png" Id="R0cea8b7475dd4ad9" /><Relationship Type="http://schemas.openxmlformats.org/officeDocument/2006/relationships/image" Target="/media/image18.png" Id="Rc738b54a80ee4523" /><Relationship Type="http://schemas.openxmlformats.org/officeDocument/2006/relationships/hyperlink" Target="https://assets.publishing.service.gov.uk/media/64de03b63fde6100134a542f/Education_and_training_qualification_achievement_rates_technical_specification_2022_to_2023_1.pdf" TargetMode="External" Id="R081e559a4a404acc" /><Relationship Type="http://schemas.openxmlformats.org/officeDocument/2006/relationships/hyperlink" Target="https://doi.org/10.1145/1518701.1518897" TargetMode="External" Id="R638c3ef6d5e84db1" /><Relationship Type="http://schemas.openxmlformats.org/officeDocument/2006/relationships/image" Target="/media/image1a.png" Id="R351f18ec43b14395" /><Relationship Type="http://schemas.openxmlformats.org/officeDocument/2006/relationships/hyperlink" Target="https://doi.org/10.1111/cgf.13325" TargetMode="External" Id="Rb41a8f701da140d9" /><Relationship Type="http://schemas.openxmlformats.org/officeDocument/2006/relationships/hyperlink" Target="https://doi.org/10.1109/TVCG.2018.2864903" TargetMode="External" Id="Rd8822cdab0204ec3" /><Relationship Type="http://schemas.openxmlformats.org/officeDocument/2006/relationships/image" Target="/media/image1b.png" Id="Rd2cfbfe2b0b94d62" /><Relationship Type="http://schemas.openxmlformats.org/officeDocument/2006/relationships/hyperlink" Target="https://discovery.ucl.ac.uk/id/eprint/10173372/" TargetMode="External" Id="R1ce845ae8a2e4b80" /><Relationship Type="http://schemas.openxmlformats.org/officeDocument/2006/relationships/hyperlink" Target="https://doi-org.ezproxy.neu.edu/10.1080/03098770500353714" TargetMode="External" Id="R4e8e548e69c04da0" /><Relationship Type="http://schemas.openxmlformats.org/officeDocument/2006/relationships/image" Target="/media/image1c.png" Id="Ra605cecc2d27433e" /><Relationship Type="http://schemas.openxmlformats.org/officeDocument/2006/relationships/image" Target="/media/image1d.png" Id="Rffe992196bc14043" /><Relationship Type="http://schemas.openxmlformats.org/officeDocument/2006/relationships/image" Target="/media/image1e.png" Id="Rf9a257308495461f" /><Relationship Type="http://schemas.openxmlformats.org/officeDocument/2006/relationships/image" Target="/media/image1f.png" Id="Rf4e4dbc107f94ece" /><Relationship Type="http://schemas.openxmlformats.org/officeDocument/2006/relationships/image" Target="/media/image20.png" Id="R71e0d4c349da406e" /><Relationship Type="http://schemas.openxmlformats.org/officeDocument/2006/relationships/image" Target="/media/image21.png" Id="Rd7da1181bfb94879" /><Relationship Type="http://schemas.openxmlformats.org/officeDocument/2006/relationships/image" Target="/media/image22.png" Id="Rd6683246a65b415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Harry Garwood</dc:creator>
  <keywords/>
  <dc:description/>
  <lastModifiedBy>Harry Garwood</lastModifiedBy>
  <revision>31</revision>
  <dcterms:created xsi:type="dcterms:W3CDTF">2024-08-22T08:16:14.0488222Z</dcterms:created>
  <dcterms:modified xsi:type="dcterms:W3CDTF">2024-08-31T11:06:13.4295683Z</dcterms:modified>
</coreProperties>
</file>