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Due Diligence Report</w:t>
      </w:r>
    </w:p>
    <w:p>
      <w:pPr>
        <w:jc w:val="center"/>
      </w:pPr>
      <w:r>
        <w:t>Mecha Health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Date:</w:t>
            </w:r>
          </w:p>
        </w:tc>
        <w:tc>
          <w:tcPr>
            <w:tcW w:type="dxa" w:w="4320"/>
          </w:tcPr>
          <w:p>
            <w:r>
              <w:t>2026-03-14</w:t>
            </w:r>
          </w:p>
        </w:tc>
      </w:tr>
      <w:tr>
        <w:tc>
          <w:tcPr>
            <w:tcW w:type="dxa" w:w="4320"/>
          </w:tcPr>
          <w:p>
            <w:r>
              <w:t>Prepared By:</w:t>
            </w:r>
          </w:p>
        </w:tc>
        <w:tc>
          <w:tcPr>
            <w:tcW w:type="dxa" w:w="4320"/>
          </w:tcPr>
          <w:p>
            <w:r>
              <w:t>Gemini CLI Startup Due Diligence Agent</w:t>
            </w:r>
          </w:p>
        </w:tc>
      </w:tr>
      <w:tr>
        <w:tc>
          <w:tcPr>
            <w:tcW w:type="dxa" w:w="4320"/>
          </w:tcPr>
          <w:p>
            <w:r>
              <w:t>Investment Stage:</w:t>
            </w:r>
          </w:p>
        </w:tc>
        <w:tc>
          <w:tcPr>
            <w:tcW w:type="dxa" w:w="4320"/>
          </w:tcPr>
          <w:p>
            <w:r>
              <w:t>Seed (YC W25)</w:t>
            </w:r>
          </w:p>
        </w:tc>
      </w:tr>
      <w:tr>
        <w:tc>
          <w:tcPr>
            <w:tcW w:type="dxa" w:w="4320"/>
          </w:tcPr>
          <w:p>
            <w:r>
              <w:t>State of Incorporation:</w:t>
            </w:r>
          </w:p>
        </w:tc>
        <w:tc>
          <w:tcPr>
            <w:tcW w:type="dxa" w:w="4320"/>
          </w:tcPr>
          <w:p>
            <w:r>
              <w:t>Delaware (Assumed)</w:t>
            </w:r>
          </w:p>
        </w:tc>
      </w:tr>
      <w:tr>
        <w:tc>
          <w:tcPr>
            <w:tcW w:type="dxa" w:w="4320"/>
          </w:tcPr>
          <w:p>
            <w:r>
              <w:t>Entity Type:</w:t>
            </w:r>
          </w:p>
        </w:tc>
        <w:tc>
          <w:tcPr>
            <w:tcW w:type="dxa" w:w="4320"/>
          </w:tcPr>
          <w:p>
            <w:r>
              <w:t>Corporation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b w:val="0"/>
        </w:rPr>
        <w:t>Mecha Health is a high-potential AI lab developing 'vision-language foundation models' for radiology. While the technology is impressive (MechaNet XR/CT) and the team is world-class, critical risks exist regarding University IP ownership and FDA regulatory status for automated diagnostic reporting. Immediate investigation into IP assignment from UCL/Cambridge/Imperial and FDA 510(k) strategy is recommended.</w:t>
      </w:r>
    </w:p>
    <w:p>
      <w:pPr>
        <w:pStyle w:val="Heading1"/>
      </w:pPr>
      <w:r>
        <w:t>Issue Summary</w:t>
      </w:r>
    </w:p>
    <w:p>
      <w:pPr>
        <w:pStyle w:val="Heading2"/>
      </w:pPr>
      <w:r>
        <w:t>Critical Issues (🔴)</w:t>
      </w:r>
    </w:p>
    <w:p>
      <w:r>
        <w:rPr>
          <w:b w:val="0"/>
        </w:rPr>
        <w:t>1. **University IP Claims**: Founders' PhD backgrounds at UCL/Cambridge/Imperial pose a risk of IP ownership disputes. (CRITICAL)\n2. **FDA Regulatory Status**: Lack of clarity on FDA clearance for automated radiology analysis. (CRITICAL)\n3. **83(b) Elections**: Missing 83(b) filings for founders would create significant tax liability. (CRITICAL)</w:t>
      </w:r>
    </w:p>
    <w:p>
      <w:pPr>
        <w:pStyle w:val="Heading2"/>
      </w:pPr>
      <w:r>
        <w:t>Material Issues (🟠)</w:t>
      </w:r>
    </w:p>
    <w:p>
      <w:r>
        <w:rPr>
          <w:b w:val="0"/>
        </w:rPr>
        <w:t>1. **Founder Vesting**: Need to confirm founders are on a standard 4-year vesting schedule. (MATERIAL)\n2. **LLaMA License Compliance**: Ensure commercial use of LLaMA 3.1 8B adheres to Meta's Acceptable Use Policy. (MATERIAL)\n3. **HIPAA Compliance**: Verification of data handling practices for medical imaging scans. (MATERIAL)</w:t>
      </w:r>
    </w:p>
    <w:p>
      <w:pPr>
        <w:pStyle w:val="Heading2"/>
      </w:pPr>
      <w:r>
        <w:t>Minor Issues (🟡)</w:t>
      </w:r>
    </w:p>
    <w:p>
      <w:r>
        <w:rPr>
          <w:b w:val="0"/>
        </w:rPr>
        <w:t>1. **Corporate Recordkeeping**: Reconstruct/verify all board/stockholder minutes. (MINOR)\n2. **Domain Registration**: Ensure all mecha-health.* domains are in the company's name. (MINOR)</w:t>
      </w:r>
    </w:p>
    <w:p>
      <w:pPr>
        <w:pStyle w:val="Heading1"/>
      </w:pPr>
      <w:r>
        <w:t>Detailed Findings</w:t>
      </w:r>
    </w:p>
    <w:p>
      <w:pPr>
        <w:pStyle w:val="Heading2"/>
      </w:pPr>
      <w:r>
        <w:t>Corporate Formation &amp; Governance</w:t>
      </w:r>
    </w:p>
    <w:p>
      <w:r>
        <w:rPr>
          <w:b w:val="0"/>
        </w:rPr>
        <w:t>Mecha Health is currently in good standing, having recently successfully closed a seed round. Corporate records should be verified for proper board authorization of the recent financing and equity grants.</w:t>
      </w:r>
    </w:p>
    <w:p>
      <w:pPr>
        <w:pStyle w:val="Heading2"/>
      </w:pPr>
      <w:r>
        <w:t>Capitalization &amp; Securities</w:t>
      </w:r>
    </w:p>
    <w:p>
      <w:r>
        <w:rPr>
          <w:b w:val="0"/>
        </w:rPr>
        <w:t>The cap table includes four co-founders and likely early employees/advisors. Standard YC/Seed financing documents (SAFEs) are expected. 83(b) elections for early founders must be verified to prevent massive future tax exposure.</w:t>
      </w:r>
    </w:p>
    <w:p>
      <w:pPr>
        <w:pStyle w:val="Heading2"/>
      </w:pPr>
      <w:r>
        <w:t>Intellectual Property</w:t>
      </w:r>
    </w:p>
    <w:p>
      <w:r>
        <w:rPr>
          <w:b w:val="0"/>
        </w:rPr>
        <w:t>Core technology (MechaNet) was developed by founders during their doctoral research at UCL, Cambridge, and Imperial College London. This creates a significant risk of University IP claims unless formal assignments or waivers are in place. Additionally, the reliance on LLaMA 3.1 (8B) requires verification of license compliance.</w:t>
      </w:r>
    </w:p>
    <w:p>
      <w:pPr>
        <w:pStyle w:val="Heading2"/>
      </w:pPr>
      <w:r>
        <w:t>Employment &amp; Founders</w:t>
      </w:r>
    </w:p>
    <w:p>
      <w:r>
        <w:rPr>
          <w:b w:val="0"/>
        </w:rPr>
        <w:t>Founders are high-caliber medical and ML experts. Standard vesting schedules (4 years/1 year cliff) should be confirmed to ensure long-term alignment and investor protection.</w:t>
      </w:r>
    </w:p>
    <w:p>
      <w:pPr>
        <w:pStyle w:val="Heading2"/>
      </w:pPr>
      <w:r>
        <w:t>Material Contracts</w:t>
      </w:r>
    </w:p>
    <w:p>
      <w:r>
        <w:rPr>
          <w:b w:val="0"/>
        </w:rPr>
        <w:t>The partnership with AmeriRad Radiology Solutions is a key material contract. Review for termination rights, exclusivity, and liability allocation in the event of AI diagnostic errors.</w:t>
      </w:r>
    </w:p>
    <w:p>
      <w:pPr>
        <w:pStyle w:val="Heading2"/>
      </w:pPr>
      <w:r>
        <w:t>Compliance &amp; Regulatory</w:t>
      </w:r>
    </w:p>
    <w:p>
      <w:r>
        <w:rPr>
          <w:b w:val="0"/>
        </w:rPr>
        <w:t>As a healthcare AI company, FDA clearance (e.g., 510(k)) is critical for autonomous or semi-autonomous diagnostic reporting. Operating without clear regulatory status poses a significant legal and business risk. HIPAA/GDPR compliance for PHI handling also needs auditing.</w:t>
      </w:r>
    </w:p>
    <w:p>
      <w:pPr>
        <w:pStyle w:val="Heading2"/>
      </w:pPr>
      <w:r>
        <w:t>Litigation &amp; Disputes</w:t>
      </w:r>
    </w:p>
    <w:p>
      <w:r>
        <w:rPr>
          <w:b w:val="0"/>
        </w:rPr>
        <w:t>No material litigation identified through public records search.</w:t>
      </w:r>
    </w:p>
    <w:p>
      <w:pPr>
        <w:pStyle w:val="Heading2"/>
      </w:pPr>
      <w:r>
        <w:t>Financial</w:t>
      </w:r>
    </w:p>
    <w:p>
      <w:r>
        <w:rPr>
          <w:b w:val="0"/>
        </w:rPr>
        <w:t>Recent $4.6M seed funding provides sufficient runway. Future financial diligence should focus on burn rate and cost of computing for training foundation models.</w:t>
      </w:r>
    </w:p>
    <w:p>
      <w:pPr>
        <w:pStyle w:val="Heading1"/>
      </w:pPr>
      <w:r>
        <w:t>Recommendations</w:t>
      </w:r>
    </w:p>
    <w:p>
      <w:r>
        <w:rPr>
          <w:b w:val="0"/>
        </w:rPr>
        <w:t>1. Obtain formal IP assignment/waiver letters from UCL, Cambridge, and Imperial. \n2. Retain specialist FDA counsel to confirm regulatory pathway for MechaNet. \n3. Conduct a full cap table audit including 83(b) verification. \n4. Implement robust HIPAA-compliant data infrastructure.</w:t>
      </w:r>
    </w:p>
    <w:p>
      <w:pPr>
        <w:pStyle w:val="Heading1"/>
      </w:pPr>
      <w:r>
        <w:t>Open Items</w:t>
      </w:r>
    </w:p>
    <w:p>
      <w:r>
        <w:rPr>
          <w:b w:val="0"/>
        </w:rPr>
        <w:t>1. Review Certificate of Incorporation and Bylaws. \n2. Audit PIIA agreements for all technical staff. \n3. Review AmeriRad partnership agreement. \n4. Verify FDA submission status (if any).</w:t>
      </w:r>
    </w:p>
    <w:p/>
    <w:p>
      <w:r>
        <w:rPr>
          <w:b/>
        </w:rPr>
        <w:t xml:space="preserve">DISCLAIMER: </w:t>
      </w:r>
      <w:r>
        <w:t>This report is provided for informational purposes only and does not constitute legal advice. All findings should be reviewed by qualified legal counsel before any investment decision.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