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Due Diligence Report</w:t>
      </w:r>
    </w:p>
    <w:p>
      <w:pPr>
        <w:jc w:val="center"/>
      </w:pPr>
      <w:r>
        <w:t>Mecha Health</w:t>
      </w:r>
    </w:p>
    <w:p/>
    <w:tbl>
      <w:tblPr>
        <w:tblStyle w:val="TableGrid"/>
        <w:tblW w:type="auto" w:w="0"/>
        <w:tblLook w:firstColumn="1" w:firstRow="1" w:lastColumn="0" w:lastRow="0" w:noHBand="0" w:noVBand="1" w:val="04A0"/>
      </w:tblPr>
      <w:tblGrid>
        <w:gridCol w:w="4320"/>
        <w:gridCol w:w="4320"/>
      </w:tblGrid>
      <w:tr>
        <w:tc>
          <w:tcPr>
            <w:tcW w:type="dxa" w:w="4320"/>
          </w:tcPr>
          <w:p>
            <w:r>
              <w:t>Report Date:</w:t>
            </w:r>
          </w:p>
        </w:tc>
        <w:tc>
          <w:tcPr>
            <w:tcW w:type="dxa" w:w="4320"/>
          </w:tcPr>
          <w:p>
            <w:r>
              <w:t>2026-03-14</w:t>
            </w:r>
          </w:p>
        </w:tc>
      </w:tr>
      <w:tr>
        <w:tc>
          <w:tcPr>
            <w:tcW w:type="dxa" w:w="4320"/>
          </w:tcPr>
          <w:p>
            <w:r>
              <w:t>Prepared By:</w:t>
            </w:r>
          </w:p>
        </w:tc>
        <w:tc>
          <w:tcPr>
            <w:tcW w:type="dxa" w:w="4320"/>
          </w:tcPr>
          <w:p>
            <w:r>
              <w:t>Gemini CLI Startup Due Diligence Agent</w:t>
            </w:r>
          </w:p>
        </w:tc>
      </w:tr>
      <w:tr>
        <w:tc>
          <w:tcPr>
            <w:tcW w:type="dxa" w:w="4320"/>
          </w:tcPr>
          <w:p>
            <w:r>
              <w:t>Investment Stage:</w:t>
            </w:r>
          </w:p>
        </w:tc>
        <w:tc>
          <w:tcPr>
            <w:tcW w:type="dxa" w:w="4320"/>
          </w:tcPr>
          <w:p>
            <w:r>
              <w:t>Seed (YC W25)</w:t>
            </w:r>
          </w:p>
        </w:tc>
      </w:tr>
      <w:tr>
        <w:tc>
          <w:tcPr>
            <w:tcW w:type="dxa" w:w="4320"/>
          </w:tcPr>
          <w:p>
            <w:r>
              <w:t>State of Incorporation:</w:t>
            </w:r>
          </w:p>
        </w:tc>
        <w:tc>
          <w:tcPr>
            <w:tcW w:type="dxa" w:w="4320"/>
          </w:tcPr>
          <w:p>
            <w:r>
              <w:t>Delaware (Assumed)</w:t>
            </w:r>
          </w:p>
        </w:tc>
      </w:tr>
      <w:tr>
        <w:tc>
          <w:tcPr>
            <w:tcW w:type="dxa" w:w="4320"/>
          </w:tcPr>
          <w:p>
            <w:r>
              <w:t>Entity Type:</w:t>
            </w:r>
          </w:p>
        </w:tc>
        <w:tc>
          <w:tcPr>
            <w:tcW w:type="dxa" w:w="4320"/>
          </w:tcPr>
          <w:p>
            <w:r>
              <w:t>Corporation</w:t>
            </w:r>
          </w:p>
        </w:tc>
      </w:tr>
    </w:tbl>
    <w:p>
      <w:pPr>
        <w:pStyle w:val="Heading1"/>
      </w:pPr>
      <w:r>
        <w:t>Executive Summary</w:t>
      </w:r>
    </w:p>
    <w:p>
      <w:r>
        <w:rPr>
          <w:b w:val="0"/>
        </w:rPr>
        <w:t>Mecha Health is a disruptive AI lab developing 'vision-language foundation models' (VLMs) for radiology, specifically MechaNet XR and CT. While competitors like Gleamer and Annalise.ai utilize more conventional deep-learning CAD approaches for triage and detection, Mecha Health generates full, context-aware narrative reports. This 'generalist' approach offers a step-change in workflow efficiency but carries significantly higher regulatory and validation risk. The recent $30M ARR acquisition of Gleamer by RadNet provides a clear valuation benchmark for the sector, highlighting the immense upside for Mecha if it can clear regulatory hurdles.</w:t>
      </w:r>
    </w:p>
    <w:p>
      <w:pPr>
        <w:pStyle w:val="Heading1"/>
      </w:pPr>
      <w:r>
        <w:t>Issue Summary</w:t>
      </w:r>
    </w:p>
    <w:p>
      <w:pPr>
        <w:pStyle w:val="Heading2"/>
      </w:pPr>
      <w:r>
        <w:t>Critical Issues (🔴)</w:t>
      </w:r>
    </w:p>
    <w:p>
      <w:r>
        <w:rPr>
          <w:b w:val="0"/>
        </w:rPr>
        <w:t>1. **Lack of Regulatory Clearance**: Unlike Gleamer/Annalise, Mecha has no FDA 510(k) for its diagnostic reporting models. (CRITICAL)\n2. **University IP Assignment**: Potential ownership claims from UCL/Cambridge/Imperial researchers. (CRITICAL)\n3. **Validation Gap**: Absence of large-scale, independent multi-center clinical trials compared to incumbents. (CRITICAL)</w:t>
      </w:r>
    </w:p>
    <w:p>
      <w:pPr>
        <w:pStyle w:val="Heading2"/>
      </w:pPr>
      <w:r>
        <w:t>Material Issues (🟠)</w:t>
      </w:r>
    </w:p>
    <w:p>
      <w:r>
        <w:rPr>
          <w:b w:val="0"/>
        </w:rPr>
        <w:t>1. **Regulatory Complexity of Online Learning**: SaMD regulations generally favor static models; Mecha's 'continual adaptation' is a regulatory high-wire act. (MATERIAL)\n2. **Model Robustness/Generalization**: Need evidence of performance on diverse datasets beyond internal n=3,403 samples. (MATERIAL)\n3. **Compute Costs**: Sustainability of burn rate given the massive GPU requirements for foundation VLMs. (MATERIAL)</w:t>
      </w:r>
    </w:p>
    <w:p>
      <w:pPr>
        <w:pStyle w:val="Heading2"/>
      </w:pPr>
      <w:r>
        <w:t>Minor Issues (🟡)</w:t>
      </w:r>
    </w:p>
    <w:p>
      <w:r>
        <w:rPr>
          <w:b w:val="0"/>
        </w:rPr>
        <w:t>1. **Pricing Transparency**: Verify $99/mo third-party pricing vs enterprise AmeriRad terms. (MINOR)\n2. **Documentation Gaps**: Lack of technical whitepapers on parameter scale and architecture. (MINOR)</w:t>
      </w:r>
    </w:p>
    <w:p>
      <w:pPr>
        <w:pStyle w:val="Heading1"/>
      </w:pPr>
      <w:r>
        <w:t>Detailed Findings</w:t>
      </w:r>
    </w:p>
    <w:p>
      <w:pPr>
        <w:pStyle w:val="Heading2"/>
      </w:pPr>
      <w:r>
        <w:t>Corporate Formation &amp; Governance</w:t>
      </w:r>
    </w:p>
    <w:p>
      <w:r>
        <w:rPr>
          <w:b w:val="0"/>
        </w:rPr>
        <w:t>Mecha Health is a 2024 San Francisco-based startup with UCL origins. It has secured $4.6M in seed funding from Valia Ventures and Y Combinator. The corporate structure must be verified for Delaware compliance and proper board oversight of the recent seed round.</w:t>
      </w:r>
    </w:p>
    <w:p>
      <w:pPr>
        <w:pStyle w:val="Heading2"/>
      </w:pPr>
      <w:r>
        <w:t>Capitalization &amp; Securities</w:t>
      </w:r>
    </w:p>
    <w:p>
      <w:r>
        <w:rPr>
          <w:b w:val="0"/>
        </w:rPr>
        <w:t>Seed stage cap table with founder concentration and YC involvement. Pro-forma modeling against incumbents like Gleamer ($30M ARR at acquisition) suggests significant growth potential. Verification of 83(b) elections and standard vesting remains critical.</w:t>
      </w:r>
    </w:p>
    <w:p>
      <w:pPr>
        <w:pStyle w:val="Heading2"/>
      </w:pPr>
      <w:r>
        <w:t>Intellectual Property</w:t>
      </w:r>
    </w:p>
    <w:p>
      <w:r>
        <w:rPr>
          <w:b w:val="0"/>
        </w:rPr>
        <w:t>Mecha Health's VLM technology (MechaNet) and SAE-Rad interpretability framework are core assets. The reliance on open-weight models like LLaMA 3.1 8B requires careful licensing audit. The primary risk remains IP assignment from the founders' previous academic work at UCL, Cambridge, and Imperial.</w:t>
      </w:r>
    </w:p>
    <w:p>
      <w:pPr>
        <w:pStyle w:val="Heading2"/>
      </w:pPr>
      <w:r>
        <w:t>Employment &amp; Founders</w:t>
      </w:r>
    </w:p>
    <w:p>
      <w:r>
        <w:rPr>
          <w:b w:val="0"/>
        </w:rPr>
        <w:t>Founders possess high-caliber ML and clinical backgrounds. Competitive talent retention is a risk given the aggressive hiring and high valuations in the medical AI sector (evidenced by the Gleamer/RadNet exit).</w:t>
      </w:r>
    </w:p>
    <w:p>
      <w:pPr>
        <w:pStyle w:val="Heading2"/>
      </w:pPr>
      <w:r>
        <w:t>Material Contracts</w:t>
      </w:r>
    </w:p>
    <w:p>
      <w:r>
        <w:rPr>
          <w:b w:val="0"/>
        </w:rPr>
        <w:t>The AmeriRad teleradiology partnership is the primary commercial validator. Unlike Gleamer, which has massive clinical footprints (thousands of sites), Mecha is in the early integration phase. Contracts must be reviewed for liability in automated reporting scenarios.</w:t>
      </w:r>
    </w:p>
    <w:p>
      <w:pPr>
        <w:pStyle w:val="Heading2"/>
      </w:pPr>
      <w:r>
        <w:t>Compliance &amp; Regulatory</w:t>
      </w:r>
    </w:p>
    <w:p>
      <w:r>
        <w:rPr>
          <w:b w:val="0"/>
        </w:rPr>
        <w:t>Mecha Health lacks the 510(k) clearances held by Gleamer (BoneView/ChestView) and Annalise.ai. This is the single largest deal-blocker. The 'online learning' and 'continual adaptation' features claimed by Mecha introduce additional regulatory complexity regarding software-as-a-medical-device (SaMD) stability.</w:t>
      </w:r>
    </w:p>
    <w:p>
      <w:pPr>
        <w:pStyle w:val="Heading2"/>
      </w:pPr>
      <w:r>
        <w:t>Litigation &amp; Disputes</w:t>
      </w:r>
    </w:p>
    <w:p>
      <w:r>
        <w:rPr>
          <w:b w:val="0"/>
        </w:rPr>
        <w:t>No material litigation identified. The sector remains litigious regarding IP; freedom-to-operate analysis is recommended.</w:t>
      </w:r>
    </w:p>
    <w:p>
      <w:pPr>
        <w:pStyle w:val="Heading2"/>
      </w:pPr>
      <w:r>
        <w:t>Financial</w:t>
      </w:r>
    </w:p>
    <w:p>
      <w:r>
        <w:rPr>
          <w:b w:val="0"/>
        </w:rPr>
        <w:t>$4.6M seed funding provides runway, but compute costs for training multi-modal foundation models will be significantly higher than conventional CAD development. Future rounds must account for high GPU overhead.</w:t>
      </w:r>
    </w:p>
    <w:p>
      <w:pPr>
        <w:pStyle w:val="Heading1"/>
      </w:pPr>
      <w:r>
        <w:t>Recommendations</w:t>
      </w:r>
    </w:p>
    <w:p>
      <w:r>
        <w:rPr>
          <w:b w:val="0"/>
        </w:rPr>
        <w:t>1. Immediate priority: Secure a clear FDA 510(k) pathway memo from specialized counsel. \n2. Obtain third-party validation reports on model edit rates and error frequencies from AmeriRad integration. \n3. Reconcile valuation against the Gleamer/RadNet exit benchmark. \n4. Audit LLaMA 3.1 8B license for specific commercial radiology use cases.</w:t>
      </w:r>
    </w:p>
    <w:p>
      <w:pPr>
        <w:pStyle w:val="Heading1"/>
      </w:pPr>
      <w:r>
        <w:t>Open Items</w:t>
      </w:r>
    </w:p>
    <w:p>
      <w:r>
        <w:rPr>
          <w:b w:val="0"/>
        </w:rPr>
        <w:t>1. Confirm FDA pre-submission status. \n2. Verify ARR and customer pipeline. \n3. Audit IP filings and academic waiver status. \n4. Review clinical safety protocols for automated draft generation.</w:t>
      </w:r>
    </w:p>
    <w:p/>
    <w:p>
      <w:r>
        <w:rPr>
          <w:b/>
        </w:rPr>
        <w:t xml:space="preserve">DISCLAIMER: </w:t>
      </w:r>
      <w:r>
        <w:t>This report is provided for informational purposes only and does not constitute legal advice. All findings should be reviewed by qualified legal counsel before any investment decision.</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