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Due Diligence Issue Summary</w:t>
      </w:r>
    </w:p>
    <w:p/>
    <w:p>
      <w:r>
        <w:rPr>
          <w:b w:val="0"/>
        </w:rPr>
        <w:t>Company: Mecha Health</w:t>
      </w:r>
    </w:p>
    <w:p>
      <w:r>
        <w:rPr>
          <w:b w:val="0"/>
        </w:rPr>
        <w:t>Review Date: 2026-03-14</w:t>
      </w:r>
    </w:p>
    <w:p>
      <w:r>
        <w:rPr>
          <w:b w:val="0"/>
        </w:rPr>
        <w:t>Reviewed By: Gemini CLI</w:t>
      </w:r>
    </w:p>
    <w:p/>
    <w:p>
      <w:pPr>
        <w:pStyle w:val="Heading2"/>
      </w:pPr>
      <w:r>
        <w:t>Issue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🔴 Critical Issues: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🟠 Material Issues: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🟡 Minor Issues: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2"/>
      </w:pPr>
      <w:r>
        <w:t>Issues Identified</w:t>
      </w:r>
    </w:p>
    <w:p>
      <w:r>
        <w:rPr>
          <w:b w:val="0"/>
        </w:rPr>
        <w:t>- University IP Claims (CRITICAL)\n- FDA Regulatory Status (CRITICAL)\n- 83(b) Elections (CRITICAL)\n- Founder Vesting (MATERIAL)\n- LLaMA License Compliance (MATERIAL)\n- HIPAA Compliance (MATERIAL)\n- Corporate Recordkeeping (MINOR)\n- Domain Registration (MINOR)</w:t>
      </w:r>
    </w:p>
    <w:p>
      <w:pPr>
        <w:pStyle w:val="Heading2"/>
      </w:pPr>
      <w:r>
        <w:t>Next Steps</w:t>
      </w:r>
    </w:p>
    <w:p>
      <w:r>
        <w:rPr>
          <w:b w:val="0"/>
        </w:rPr>
        <w:t>Request IP assignment documents, FDA strategy memo, and 83(b) election proofs from founders.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