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Due Diligence Issue Summary</w:t>
      </w:r>
    </w:p>
    <w:p/>
    <w:p>
      <w:r>
        <w:rPr>
          <w:b w:val="0"/>
        </w:rPr>
        <w:t>Company: Mecha Health</w:t>
      </w:r>
    </w:p>
    <w:p>
      <w:r>
        <w:rPr>
          <w:b w:val="0"/>
        </w:rPr>
        <w:t>Review Date: 2026-03-14</w:t>
      </w:r>
    </w:p>
    <w:p>
      <w:r>
        <w:rPr>
          <w:b w:val="0"/>
        </w:rPr>
        <w:t>Reviewed By: Gemini CLI</w:t>
      </w:r>
    </w:p>
    <w:p/>
    <w:p>
      <w:pPr>
        <w:pStyle w:val="Heading2"/>
      </w:pPr>
      <w:r>
        <w:t>Issue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🔴 Critical Issues: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🟠 Material Issues: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🟡 Minor Issues: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Issues Identified</w:t>
      </w:r>
    </w:p>
    <w:p>
      <w:r>
        <w:rPr>
          <w:b w:val="0"/>
        </w:rPr>
        <w:t>- Lack of Regulatory Clearance (CRITICAL)\n- University IP Assignment (CRITICAL)\n- Validation Gap (CRITICAL)\n- Regulatory Complexity of Online Learning (MATERIAL)\n- Model Robustness/Generalization (MATERIAL)\n- Compute Costs (MATERIAL)\n- Pricing Transparency (MINOR)\n- Documentation Gaps (MINOR)</w:t>
      </w:r>
    </w:p>
    <w:p>
      <w:pPr>
        <w:pStyle w:val="Heading2"/>
      </w:pPr>
      <w:r>
        <w:t>Next Steps</w:t>
      </w:r>
    </w:p>
    <w:p>
      <w:r>
        <w:rPr>
          <w:b w:val="0"/>
        </w:rPr>
        <w:t>Request FDA strategy, AmeriRad telemetry data, and academic IP waivers.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