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r>
        <w:rPr>
          <w:rFonts w:ascii="Helvetica" w:hAnsi="Helvetica" w:cs="Helvetica"/>
          <w:b/>
          <w:bCs/>
          <w:sz w:val="28"/>
          <w:szCs w:val="28"/>
        </w:rPr>
        <w:t xml:space="preserve">Pterosoar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17CB2E0D"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 xml:space="preserve">and </w:t>
      </w:r>
      <w:r w:rsidR="004662CA">
        <w:rPr>
          <w:rFonts w:ascii="Helvetica" w:hAnsi="Helvetica" w:cs="Helvetica"/>
          <w:sz w:val="20"/>
          <w:szCs w:val="20"/>
        </w:rPr>
        <w:t>Analysis/</w:t>
      </w:r>
      <w:r>
        <w:rPr>
          <w:rFonts w:ascii="Helvetica" w:hAnsi="Helvetica" w:cs="Helvetica"/>
          <w:sz w:val="20"/>
          <w:szCs w:val="20"/>
        </w:rPr>
        <w:t>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56009DC6" w:rsidR="00B93CAB" w:rsidRDefault="001A296F" w:rsidP="00100307">
      <w:pPr>
        <w:spacing w:after="120"/>
        <w:rPr>
          <w:rFonts w:ascii="Helvetica" w:hAnsi="Helvetica" w:cs="Helvetica"/>
          <w:sz w:val="20"/>
          <w:szCs w:val="20"/>
        </w:rPr>
      </w:pPr>
      <w:r w:rsidRPr="00381142">
        <w:rPr>
          <w:rFonts w:ascii="Helvetica" w:hAnsi="Helvetica" w:cs="Helvetica"/>
          <w:sz w:val="20"/>
          <w:szCs w:val="20"/>
        </w:rPr>
        <w:t>Pterosoar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Pterosoar has demonstrated that it </w:t>
      </w:r>
      <w:r w:rsidR="00F27ED4">
        <w:rPr>
          <w:rFonts w:ascii="Helvetica" w:hAnsi="Helvetica" w:cs="Helvetica"/>
          <w:sz w:val="20"/>
          <w:szCs w:val="20"/>
        </w:rPr>
        <w:t>performs within</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r w:rsidR="008C044C">
        <w:rPr>
          <w:rFonts w:ascii="Helvetica" w:hAnsi="Helvetica" w:cs="Helvetica"/>
          <w:sz w:val="20"/>
          <w:szCs w:val="20"/>
        </w:rPr>
        <w:t>Pterosoar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operations in controlled airspace;</w:t>
      </w:r>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operations at a distance of less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operations at a distance of less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aircraft;</w:t>
      </w:r>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(i)</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(e.g.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(e.g. considerations for buildings, trees, valleys etc.). The accuracy should be clearly identified in the limitations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taken into account.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Atmospheric errors are caused by the Ionosphere and the Troposphere, which are both capable of refracting GNSS radio signals. Ionospheric Density is diurnally dependent, which means that it varies with time of day (or night). The density is affected by, among other factors, humidity, temperature and pressure. These variations adversely affects the "signal speed x time" equation built into GNSS position calculations. To correct for these errors, a number of steps are taken. Troposphere errors can be caused by moisture absorbing/refracting signal and cause errors up to 6m. Ionosphere errors can be caused by the atmospheric refraction of the GNSS signals and may be up to 40-60 m by day and 6-12 m at night. These errors can be mitigated by the use of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DOP occurs when there is no adequate cross cut in the "fix" (i.e. all satellites are all too closely located to each other). The consequence is that all of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2A4889B0"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 xml:space="preserve">and </w:t>
      </w:r>
      <w:r w:rsidR="004662CA">
        <w:rPr>
          <w:rFonts w:ascii="Helvetica" w:hAnsi="Helvetica" w:cs="Helvetica"/>
          <w:b/>
          <w:bCs/>
          <w:sz w:val="24"/>
          <w:szCs w:val="24"/>
        </w:rPr>
        <w:t>Analysis/</w:t>
      </w:r>
      <w:r w:rsidR="00ED0889" w:rsidRPr="007C7C66">
        <w:rPr>
          <w:rFonts w:ascii="Helvetica" w:hAnsi="Helvetica" w:cs="Helvetica"/>
          <w:b/>
          <w:bCs/>
          <w:sz w:val="24"/>
          <w:szCs w:val="24"/>
        </w:rPr>
        <w:t>Results</w:t>
      </w:r>
    </w:p>
    <w:p w14:paraId="1E431373" w14:textId="642EEE96" w:rsidR="00ED0889" w:rsidRPr="007C7C66" w:rsidRDefault="001372AD" w:rsidP="00100307">
      <w:pPr>
        <w:spacing w:after="120"/>
        <w:rPr>
          <w:rFonts w:ascii="Helvetica" w:hAnsi="Helvetica" w:cs="Helvetica"/>
          <w:b/>
          <w:bCs/>
          <w:sz w:val="20"/>
          <w:szCs w:val="20"/>
        </w:rPr>
      </w:pPr>
      <w:r>
        <w:rPr>
          <w:rFonts w:ascii="Helvetica" w:hAnsi="Helvetica" w:cs="Helvetica"/>
          <w:b/>
          <w:bCs/>
          <w:sz w:val="20"/>
          <w:szCs w:val="20"/>
        </w:rPr>
        <w:t xml:space="preserve">Test </w:t>
      </w:r>
      <w:r w:rsidR="00ED0889"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r w:rsidRPr="007C7C66">
        <w:rPr>
          <w:rFonts w:ascii="Helvetica" w:hAnsi="Helvetica" w:cs="Helvetica"/>
          <w:sz w:val="20"/>
          <w:szCs w:val="20"/>
        </w:rPr>
        <w:t xml:space="preserve">Pterosoar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r w:rsidRPr="007C7C66">
        <w:rPr>
          <w:rFonts w:ascii="Helvetica" w:hAnsi="Helvetica" w:cs="Helvetica"/>
          <w:sz w:val="20"/>
          <w:szCs w:val="20"/>
        </w:rPr>
        <w:t xml:space="preserve">Pterosoar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r>
        <w:rPr>
          <w:rFonts w:ascii="Helvetica" w:hAnsi="Helvetica" w:cs="Helvetica"/>
          <w:sz w:val="20"/>
          <w:szCs w:val="20"/>
        </w:rPr>
        <w:t>Pterosoar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lat</w:t>
            </w:r>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lat</w:t>
            </w:r>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37C557AD" w:rsidR="00E223F9" w:rsidRDefault="005D4042" w:rsidP="00100307">
      <w:pPr>
        <w:spacing w:after="120"/>
        <w:rPr>
          <w:rFonts w:ascii="Helvetica" w:hAnsi="Helvetica" w:cs="Helvetica"/>
          <w:b/>
          <w:bCs/>
        </w:rPr>
      </w:pPr>
      <w:r w:rsidRPr="004D1ACB">
        <w:rPr>
          <w:rFonts w:ascii="Helvetica" w:hAnsi="Helvetica" w:cs="Helvetica"/>
          <w:b/>
          <w:bCs/>
        </w:rPr>
        <w:t>Analysis</w:t>
      </w:r>
      <w:r w:rsidR="004662CA">
        <w:rPr>
          <w:rFonts w:ascii="Helvetica" w:hAnsi="Helvetica" w:cs="Helvetica"/>
          <w:b/>
          <w:bCs/>
        </w:rPr>
        <w:t>/Results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292BF5E" w:rsidR="001A6671" w:rsidRDefault="00FB3ADA" w:rsidP="00100307">
      <w:pPr>
        <w:spacing w:after="120"/>
        <w:rPr>
          <w:rFonts w:ascii="Helvetica" w:hAnsi="Helvetica" w:cs="Helvetica"/>
          <w:sz w:val="20"/>
          <w:szCs w:val="20"/>
        </w:rPr>
      </w:pPr>
      <w:r>
        <w:rPr>
          <w:rFonts w:ascii="Helvetica" w:hAnsi="Helvetica" w:cs="Helvetica"/>
          <w:sz w:val="20"/>
          <w:szCs w:val="20"/>
        </w:rPr>
        <w:t xml:space="preserve">The measured GPS position error </w:t>
      </w:r>
      <w:r w:rsidR="00F27ED4">
        <w:rPr>
          <w:rFonts w:ascii="Helvetica" w:hAnsi="Helvetica" w:cs="Helvetica"/>
          <w:sz w:val="20"/>
          <w:szCs w:val="20"/>
        </w:rPr>
        <w:t>is within than</w:t>
      </w:r>
      <w:r>
        <w:rPr>
          <w:rFonts w:ascii="Helvetica" w:hAnsi="Helvetica" w:cs="Helvetica"/>
          <w:sz w:val="20"/>
          <w:szCs w:val="20"/>
        </w:rPr>
        <w:t xml:space="preserve"> the 10m requirement of CAR 901.69, 901.76, and Standard 922.</w:t>
      </w:r>
    </w:p>
    <w:p w14:paraId="1FB6B4E2" w14:textId="11FACF62"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The need to consider terrain masking of the GPS signal is included in the Pterosoar operations manual</w:t>
      </w:r>
      <w:r w:rsidR="004A0AAF">
        <w:rPr>
          <w:rFonts w:ascii="Helvetica" w:hAnsi="Helvetica" w:cs="Helvetica"/>
          <w:sz w:val="20"/>
          <w:szCs w:val="20"/>
        </w:rPr>
        <w:t xml:space="preserve"> as a result of this testing</w:t>
      </w:r>
      <w:r w:rsidR="00AD2CEA">
        <w:rPr>
          <w:rFonts w:ascii="Helvetica" w:hAnsi="Helvetica" w:cs="Helvetica"/>
          <w:sz w:val="20"/>
          <w:szCs w:val="20"/>
        </w:rPr>
        <w:t>.</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5D4FB2C9"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w:t>
      </w:r>
      <w:r w:rsidR="00F27ED4">
        <w:rPr>
          <w:rFonts w:ascii="Helvetica" w:hAnsi="Helvetica" w:cs="Helvetica"/>
          <w:sz w:val="20"/>
          <w:szCs w:val="20"/>
        </w:rPr>
        <w:t>is within</w:t>
      </w:r>
      <w:r w:rsidR="00B537BA">
        <w:rPr>
          <w:rFonts w:ascii="Helvetica" w:hAnsi="Helvetica" w:cs="Helvetica"/>
          <w:sz w:val="20"/>
          <w:szCs w:val="20"/>
        </w:rPr>
        <w:t xml:space="preserve">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lastRenderedPageBreak/>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4ADBE454" w:rsidR="00052D68" w:rsidRDefault="00506738" w:rsidP="00052D68">
      <w:pPr>
        <w:spacing w:after="120"/>
        <w:rPr>
          <w:rFonts w:ascii="Helvetica" w:hAnsi="Helvetica" w:cs="Helvetica"/>
          <w:sz w:val="20"/>
          <w:szCs w:val="20"/>
        </w:rPr>
      </w:pPr>
      <w:r>
        <w:rPr>
          <w:rFonts w:ascii="Helvetica" w:hAnsi="Helvetica" w:cs="Helvetica"/>
          <w:sz w:val="20"/>
          <w:szCs w:val="20"/>
        </w:rPr>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w:t>
      </w:r>
      <w:r w:rsidR="00F27ED4">
        <w:rPr>
          <w:rFonts w:ascii="Helvetica" w:hAnsi="Helvetica" w:cs="Helvetica"/>
          <w:sz w:val="20"/>
          <w:szCs w:val="20"/>
        </w:rPr>
        <w:t>is within</w:t>
      </w:r>
      <w:r w:rsidR="00E902F2">
        <w:rPr>
          <w:rFonts w:ascii="Helvetica" w:hAnsi="Helvetica" w:cs="Helvetica"/>
          <w:sz w:val="20"/>
          <w:szCs w:val="20"/>
        </w:rPr>
        <w:t xml:space="preserve">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134698D"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r w:rsidR="00BB36B7">
        <w:rPr>
          <w:rFonts w:ascii="Helvetica" w:hAnsi="Helvetica" w:cs="Helvetica"/>
          <w:sz w:val="20"/>
          <w:szCs w:val="20"/>
        </w:rPr>
        <w:t>baralt</w:t>
      </w:r>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time period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 xml:space="preserve">It is likely that the local barometric pressure (i.e.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Pterosoar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4614B">
        <w:rPr>
          <w:rFonts w:ascii="Helvetica" w:hAnsi="Helvetica" w:cs="Helvetica"/>
          <w:sz w:val="20"/>
          <w:szCs w:val="20"/>
        </w:rPr>
        <w:t xml:space="preserve"> as a result of this testing</w:t>
      </w:r>
      <w:r w:rsidR="00325C98">
        <w:rPr>
          <w:rFonts w:ascii="Helvetica" w:hAnsi="Helvetica" w:cs="Helvetica"/>
          <w:sz w:val="20"/>
          <w:szCs w:val="20"/>
        </w:rPr>
        <w:t>.</w:t>
      </w:r>
    </w:p>
    <w:p w14:paraId="1CDFAF24" w14:textId="7896016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 xml:space="preserve">m. This </w:t>
      </w:r>
      <w:r w:rsidR="00F27ED4">
        <w:rPr>
          <w:rFonts w:ascii="Helvetica" w:hAnsi="Helvetica" w:cs="Helvetica"/>
          <w:sz w:val="20"/>
          <w:szCs w:val="20"/>
        </w:rPr>
        <w:t>is within</w:t>
      </w:r>
      <w:r w:rsidR="00723A8D">
        <w:rPr>
          <w:rFonts w:ascii="Helvetica" w:hAnsi="Helvetica" w:cs="Helvetica"/>
          <w:sz w:val="20"/>
          <w:szCs w:val="20"/>
        </w:rPr>
        <w:t xml:space="preserve">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4EA4E779" w:rsidR="002D7700" w:rsidRPr="002D7700" w:rsidRDefault="002D7700" w:rsidP="00E223F9">
      <w:pPr>
        <w:rPr>
          <w:rFonts w:ascii="Helvetica" w:hAnsi="Helvetica" w:cs="Helvetica"/>
          <w:sz w:val="20"/>
          <w:szCs w:val="20"/>
        </w:rPr>
      </w:pPr>
      <w:r>
        <w:rPr>
          <w:rFonts w:ascii="Helvetica" w:hAnsi="Helvetica" w:cs="Helvetica"/>
          <w:sz w:val="20"/>
          <w:szCs w:val="20"/>
        </w:rPr>
        <w:t xml:space="preserve">Pterosoar has demonstrated that it </w:t>
      </w:r>
      <w:r w:rsidR="0008652C">
        <w:rPr>
          <w:rFonts w:ascii="Helvetica" w:hAnsi="Helvetica" w:cs="Helvetica"/>
          <w:sz w:val="20"/>
          <w:szCs w:val="20"/>
        </w:rPr>
        <w:t>meets and in fact surpasses</w:t>
      </w:r>
      <w:r>
        <w:rPr>
          <w:rFonts w:ascii="Helvetica" w:hAnsi="Helvetica" w:cs="Helvetica"/>
          <w:sz w:val="20"/>
          <w:szCs w:val="20"/>
        </w:rPr>
        <w:t xml:space="preserve">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41F5"/>
    <w:rsid w:val="0007731B"/>
    <w:rsid w:val="0008652C"/>
    <w:rsid w:val="00094657"/>
    <w:rsid w:val="000C7362"/>
    <w:rsid w:val="000F736A"/>
    <w:rsid w:val="00100307"/>
    <w:rsid w:val="00115182"/>
    <w:rsid w:val="001372AD"/>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4614B"/>
    <w:rsid w:val="003760FB"/>
    <w:rsid w:val="00381142"/>
    <w:rsid w:val="003822E4"/>
    <w:rsid w:val="003A52C8"/>
    <w:rsid w:val="003B2F6B"/>
    <w:rsid w:val="003B3643"/>
    <w:rsid w:val="003E2F18"/>
    <w:rsid w:val="003E59A7"/>
    <w:rsid w:val="0041265A"/>
    <w:rsid w:val="004219D4"/>
    <w:rsid w:val="004479DE"/>
    <w:rsid w:val="00455601"/>
    <w:rsid w:val="004624FB"/>
    <w:rsid w:val="004662CA"/>
    <w:rsid w:val="00486F7D"/>
    <w:rsid w:val="004A0AAF"/>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2E7C"/>
    <w:rsid w:val="006B3E17"/>
    <w:rsid w:val="00723A8D"/>
    <w:rsid w:val="00736D6A"/>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4793C"/>
    <w:rsid w:val="009738F1"/>
    <w:rsid w:val="00992503"/>
    <w:rsid w:val="009A22DC"/>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17BF6"/>
    <w:rsid w:val="00C408ED"/>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F27ED4"/>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169</cp:revision>
  <cp:lastPrinted>2022-04-06T06:25:00Z</cp:lastPrinted>
  <dcterms:created xsi:type="dcterms:W3CDTF">2022-04-05T16:25:00Z</dcterms:created>
  <dcterms:modified xsi:type="dcterms:W3CDTF">2022-04-06T06:26:00Z</dcterms:modified>
</cp:coreProperties>
</file>