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6BEFD991" w:rsidR="00097A81" w:rsidRDefault="00097A81">
            <w:r>
              <w:t>Available at all times: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6EE35F63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4938343E" w:rsidR="00097A81" w:rsidRDefault="00097A81" w:rsidP="00097A81">
            <w:r>
              <w:t>Available at all times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7565C0">
        <w:trPr>
          <w:trHeight w:val="701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2A6E0A18" w:rsidR="00BF31D1" w:rsidRDefault="00AB4970" w:rsidP="00097A81">
            <w:r>
              <w:t>Immediately available to all crew members: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otherwise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>nsure that there is a sufficient amount of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18522491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r>
              <w:t>Take into account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aerodromes, airports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there is no likelihood of collision with another aircraft, person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recovery, as the case may be, is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7C43"/>
    <w:rsid w:val="00574D9B"/>
    <w:rsid w:val="00583F8E"/>
    <w:rsid w:val="006A112B"/>
    <w:rsid w:val="007565C0"/>
    <w:rsid w:val="007B03DE"/>
    <w:rsid w:val="00832323"/>
    <w:rsid w:val="00921B2B"/>
    <w:rsid w:val="00AB4970"/>
    <w:rsid w:val="00BF31D1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12</cp:revision>
  <dcterms:created xsi:type="dcterms:W3CDTF">2021-07-03T18:22:00Z</dcterms:created>
  <dcterms:modified xsi:type="dcterms:W3CDTF">2022-04-01T06:38:00Z</dcterms:modified>
</cp:coreProperties>
</file>