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64BDE" w14:textId="77777777" w:rsidR="00B601B4" w:rsidRDefault="00B601B4">
      <w:pPr>
        <w:pStyle w:val="BodyText"/>
        <w:rPr>
          <w:rFonts w:ascii="Times New Roman"/>
          <w:sz w:val="20"/>
        </w:rPr>
      </w:pPr>
    </w:p>
    <w:p w14:paraId="4CB9722B" w14:textId="77777777" w:rsidR="00B601B4" w:rsidRDefault="00B601B4">
      <w:pPr>
        <w:pStyle w:val="BodyText"/>
        <w:spacing w:before="8"/>
        <w:rPr>
          <w:rFonts w:ascii="Times New Roman"/>
          <w:sz w:val="22"/>
        </w:rPr>
      </w:pPr>
    </w:p>
    <w:p w14:paraId="015DB278" w14:textId="77777777" w:rsidR="00B601B4" w:rsidRDefault="00611418">
      <w:pPr>
        <w:pStyle w:val="Heading1"/>
        <w:tabs>
          <w:tab w:val="left" w:pos="2319"/>
        </w:tabs>
        <w:spacing w:before="101"/>
      </w:pPr>
      <w:r>
        <w:t>COURSE</w:t>
      </w:r>
      <w:r>
        <w:rPr>
          <w:spacing w:val="-1"/>
        </w:rPr>
        <w:t xml:space="preserve"> </w:t>
      </w:r>
      <w:r>
        <w:t>CODE:</w:t>
      </w:r>
      <w:r>
        <w:tab/>
        <w:t>QF602</w:t>
      </w:r>
    </w:p>
    <w:p w14:paraId="029446B7" w14:textId="77777777" w:rsidR="00B601B4" w:rsidRDefault="00611418">
      <w:pPr>
        <w:tabs>
          <w:tab w:val="left" w:pos="2319"/>
        </w:tabs>
        <w:ind w:left="160"/>
        <w:rPr>
          <w:b/>
          <w:sz w:val="24"/>
        </w:rPr>
      </w:pPr>
      <w:r>
        <w:rPr>
          <w:b/>
          <w:sz w:val="24"/>
        </w:rPr>
        <w:t>COURSE</w:t>
      </w:r>
      <w:r>
        <w:rPr>
          <w:b/>
          <w:spacing w:val="-2"/>
          <w:sz w:val="24"/>
        </w:rPr>
        <w:t xml:space="preserve"> </w:t>
      </w:r>
      <w:r>
        <w:rPr>
          <w:b/>
          <w:sz w:val="24"/>
        </w:rPr>
        <w:t>TITLE:</w:t>
      </w:r>
      <w:r>
        <w:rPr>
          <w:b/>
          <w:sz w:val="24"/>
        </w:rPr>
        <w:tab/>
        <w:t>Derivatives</w:t>
      </w:r>
    </w:p>
    <w:p w14:paraId="0D6998E6" w14:textId="77777777" w:rsidR="00B601B4" w:rsidRDefault="00B601B4">
      <w:pPr>
        <w:pStyle w:val="BodyText"/>
        <w:spacing w:before="3"/>
        <w:rPr>
          <w:b/>
          <w:sz w:val="24"/>
        </w:rPr>
      </w:pPr>
    </w:p>
    <w:p w14:paraId="271B7A4C" w14:textId="77777777" w:rsidR="00B601B4" w:rsidRDefault="00611418">
      <w:pPr>
        <w:pStyle w:val="BodyText"/>
        <w:tabs>
          <w:tab w:val="left" w:pos="1599"/>
        </w:tabs>
        <w:spacing w:before="1"/>
        <w:ind w:left="160"/>
      </w:pPr>
      <w:r>
        <w:rPr>
          <w:w w:val="105"/>
        </w:rPr>
        <w:t>Instructor</w:t>
      </w:r>
      <w:r>
        <w:rPr>
          <w:w w:val="105"/>
        </w:rPr>
        <w:tab/>
        <w:t xml:space="preserve">: Dr </w:t>
      </w:r>
      <w:r w:rsidR="00D94FF7">
        <w:rPr>
          <w:w w:val="105"/>
        </w:rPr>
        <w:t>Harry Lo</w:t>
      </w:r>
    </w:p>
    <w:p w14:paraId="642F6C6B" w14:textId="77777777" w:rsidR="00B601B4" w:rsidRDefault="00611418">
      <w:pPr>
        <w:pStyle w:val="BodyText"/>
        <w:tabs>
          <w:tab w:val="left" w:pos="1599"/>
        </w:tabs>
        <w:spacing w:before="12"/>
        <w:ind w:left="160"/>
      </w:pPr>
      <w:r>
        <w:rPr>
          <w:w w:val="105"/>
        </w:rPr>
        <w:t>Title</w:t>
      </w:r>
      <w:r>
        <w:rPr>
          <w:w w:val="105"/>
        </w:rPr>
        <w:tab/>
        <w:t xml:space="preserve">: </w:t>
      </w:r>
      <w:r w:rsidR="00D94FF7">
        <w:rPr>
          <w:w w:val="105"/>
        </w:rPr>
        <w:t>TBD</w:t>
      </w:r>
    </w:p>
    <w:p w14:paraId="0A5F2CEA" w14:textId="77777777" w:rsidR="00B601B4" w:rsidRDefault="00611418">
      <w:pPr>
        <w:pStyle w:val="BodyText"/>
        <w:tabs>
          <w:tab w:val="left" w:pos="1599"/>
        </w:tabs>
        <w:spacing w:before="13"/>
        <w:ind w:left="160"/>
      </w:pPr>
      <w:r>
        <w:rPr>
          <w:w w:val="105"/>
        </w:rPr>
        <w:t>Email</w:t>
      </w:r>
      <w:r>
        <w:rPr>
          <w:w w:val="105"/>
        </w:rPr>
        <w:tab/>
        <w:t xml:space="preserve">: </w:t>
      </w:r>
      <w:hyperlink r:id="rId7">
        <w:r w:rsidR="00D94FF7">
          <w:rPr>
            <w:w w:val="105"/>
          </w:rPr>
          <w:t>TBD</w:t>
        </w:r>
      </w:hyperlink>
    </w:p>
    <w:p w14:paraId="004AB553" w14:textId="77777777" w:rsidR="00B601B4" w:rsidRDefault="00B601B4">
      <w:pPr>
        <w:pStyle w:val="BodyText"/>
        <w:rPr>
          <w:sz w:val="23"/>
        </w:rPr>
      </w:pPr>
    </w:p>
    <w:p w14:paraId="4D1AD9FD" w14:textId="77777777" w:rsidR="00B601B4" w:rsidRDefault="00611418">
      <w:pPr>
        <w:pStyle w:val="Heading2"/>
      </w:pPr>
      <w:r>
        <w:rPr>
          <w:w w:val="105"/>
        </w:rPr>
        <w:t>PRE-REQUISITE/CO-REQUISITE/MUTUALLY EXCLUSIVE COURSE(S)</w:t>
      </w:r>
    </w:p>
    <w:p w14:paraId="1A299887" w14:textId="77777777" w:rsidR="00B601B4" w:rsidRDefault="00611418">
      <w:pPr>
        <w:pStyle w:val="BodyText"/>
        <w:spacing w:before="12"/>
        <w:ind w:left="160"/>
      </w:pPr>
      <w:r>
        <w:rPr>
          <w:w w:val="105"/>
        </w:rPr>
        <w:t>None</w:t>
      </w:r>
    </w:p>
    <w:p w14:paraId="48CD3E32" w14:textId="77777777" w:rsidR="00B601B4" w:rsidRDefault="00B601B4">
      <w:pPr>
        <w:pStyle w:val="BodyText"/>
        <w:spacing w:before="1"/>
        <w:rPr>
          <w:sz w:val="23"/>
        </w:rPr>
      </w:pPr>
    </w:p>
    <w:p w14:paraId="04D7E520" w14:textId="77777777" w:rsidR="00B601B4" w:rsidRDefault="00611418">
      <w:pPr>
        <w:pStyle w:val="Heading2"/>
      </w:pPr>
      <w:r>
        <w:rPr>
          <w:w w:val="105"/>
        </w:rPr>
        <w:t>COURSE AREA</w:t>
      </w:r>
    </w:p>
    <w:p w14:paraId="697DB1BF" w14:textId="77777777" w:rsidR="00B601B4" w:rsidRDefault="00611418">
      <w:pPr>
        <w:pStyle w:val="BodyText"/>
        <w:spacing w:before="12"/>
        <w:ind w:left="160"/>
      </w:pPr>
      <w:r>
        <w:rPr>
          <w:w w:val="105"/>
        </w:rPr>
        <w:t>Quantitative Finance</w:t>
      </w:r>
    </w:p>
    <w:p w14:paraId="1618E446" w14:textId="77777777" w:rsidR="00B601B4" w:rsidRDefault="00B601B4">
      <w:pPr>
        <w:pStyle w:val="BodyText"/>
        <w:spacing w:before="1"/>
        <w:rPr>
          <w:sz w:val="23"/>
        </w:rPr>
      </w:pPr>
    </w:p>
    <w:p w14:paraId="53FA1CE2" w14:textId="77777777" w:rsidR="00B601B4" w:rsidRDefault="00611418">
      <w:pPr>
        <w:pStyle w:val="Heading2"/>
      </w:pPr>
      <w:r>
        <w:rPr>
          <w:w w:val="105"/>
        </w:rPr>
        <w:t>GRADING BASIS</w:t>
      </w:r>
    </w:p>
    <w:p w14:paraId="3D32E092" w14:textId="77777777" w:rsidR="00B601B4" w:rsidRDefault="00611418">
      <w:pPr>
        <w:pStyle w:val="BodyText"/>
        <w:spacing w:before="12"/>
        <w:ind w:left="160"/>
      </w:pPr>
      <w:r>
        <w:rPr>
          <w:w w:val="105"/>
        </w:rPr>
        <w:t>Graded</w:t>
      </w:r>
    </w:p>
    <w:p w14:paraId="63DE0C0A" w14:textId="77777777" w:rsidR="00B601B4" w:rsidRDefault="00B601B4">
      <w:pPr>
        <w:pStyle w:val="BodyText"/>
        <w:spacing w:before="8"/>
        <w:rPr>
          <w:sz w:val="22"/>
        </w:rPr>
      </w:pPr>
    </w:p>
    <w:p w14:paraId="5880D504" w14:textId="77777777" w:rsidR="00B601B4" w:rsidRDefault="00611418">
      <w:pPr>
        <w:pStyle w:val="Heading2"/>
      </w:pPr>
      <w:r>
        <w:rPr>
          <w:w w:val="105"/>
        </w:rPr>
        <w:t>COURSE UNIT</w:t>
      </w:r>
    </w:p>
    <w:p w14:paraId="6178DE2E" w14:textId="77777777" w:rsidR="00B601B4" w:rsidRDefault="00611418">
      <w:pPr>
        <w:pStyle w:val="BodyText"/>
        <w:spacing w:before="13"/>
        <w:ind w:left="160"/>
      </w:pPr>
      <w:r>
        <w:rPr>
          <w:w w:val="105"/>
        </w:rPr>
        <w:t>1 CU</w:t>
      </w:r>
    </w:p>
    <w:p w14:paraId="74F081D8" w14:textId="77777777" w:rsidR="00B601B4" w:rsidRDefault="00B601B4">
      <w:pPr>
        <w:pStyle w:val="BodyText"/>
        <w:rPr>
          <w:sz w:val="23"/>
        </w:rPr>
      </w:pPr>
    </w:p>
    <w:p w14:paraId="49B23454" w14:textId="77777777" w:rsidR="00B601B4" w:rsidRDefault="00611418">
      <w:pPr>
        <w:pStyle w:val="Heading2"/>
      </w:pPr>
      <w:r>
        <w:rPr>
          <w:w w:val="105"/>
        </w:rPr>
        <w:t>FIRST OFFERING TERM</w:t>
      </w:r>
    </w:p>
    <w:p w14:paraId="548E53E7" w14:textId="3ACEB236" w:rsidR="00B601B4" w:rsidRDefault="00611418">
      <w:pPr>
        <w:pStyle w:val="BodyText"/>
        <w:spacing w:before="13" w:line="252" w:lineRule="auto"/>
        <w:ind w:left="160" w:right="6175"/>
      </w:pPr>
      <w:r>
        <w:rPr>
          <w:w w:val="105"/>
        </w:rPr>
        <w:t>Academic Year: AY201</w:t>
      </w:r>
      <w:r w:rsidR="00D3551A">
        <w:rPr>
          <w:w w:val="105"/>
        </w:rPr>
        <w:t>9</w:t>
      </w:r>
      <w:r>
        <w:rPr>
          <w:w w:val="105"/>
        </w:rPr>
        <w:t xml:space="preserve"> Academic Term: Term </w:t>
      </w:r>
      <w:r w:rsidR="00D94FF7">
        <w:rPr>
          <w:w w:val="105"/>
        </w:rPr>
        <w:t>2</w:t>
      </w:r>
    </w:p>
    <w:p w14:paraId="7335B981" w14:textId="77777777" w:rsidR="00B601B4" w:rsidRDefault="00B601B4">
      <w:pPr>
        <w:pStyle w:val="BodyText"/>
        <w:spacing w:before="11"/>
      </w:pPr>
    </w:p>
    <w:p w14:paraId="6F1A7BFA" w14:textId="77777777" w:rsidR="00B601B4" w:rsidRDefault="00611418">
      <w:pPr>
        <w:pStyle w:val="Heading2"/>
      </w:pPr>
      <w:r>
        <w:rPr>
          <w:w w:val="105"/>
        </w:rPr>
        <w:t>COURSE DESCRIPTION</w:t>
      </w:r>
    </w:p>
    <w:p w14:paraId="6613183C" w14:textId="77777777" w:rsidR="00B601B4" w:rsidRDefault="00611418">
      <w:pPr>
        <w:pStyle w:val="BodyText"/>
        <w:spacing w:before="13" w:line="252" w:lineRule="auto"/>
        <w:ind w:left="160" w:right="110"/>
        <w:jc w:val="both"/>
      </w:pPr>
      <w:r>
        <w:rPr>
          <w:w w:val="105"/>
        </w:rPr>
        <w:t xml:space="preserve">Derivatives are financial instruments that deliver cash flows based on the value of an external factor, such as the price of a physical commodity or financial asset. Derivatives have become a staple tool of the financial industry, giving rise to a wealth of innovative (and </w:t>
      </w:r>
      <w:r w:rsidR="00D94FF7">
        <w:rPr>
          <w:w w:val="105"/>
        </w:rPr>
        <w:t>occasionally</w:t>
      </w:r>
      <w:r>
        <w:rPr>
          <w:w w:val="105"/>
        </w:rPr>
        <w:t xml:space="preserve"> dangerous) financial engineering. This course will provide an introduction to the characteristics and properties of standard derivatives such as forwards, futures, options and swaps. We will investigate how derivatives can be used for financial hedging and speculation, and also how they should be priced in an arbitrage-free market.</w:t>
      </w:r>
    </w:p>
    <w:p w14:paraId="05959DBA" w14:textId="77777777" w:rsidR="00B601B4" w:rsidRDefault="00B601B4">
      <w:pPr>
        <w:pStyle w:val="BodyText"/>
        <w:spacing w:before="7"/>
        <w:rPr>
          <w:sz w:val="20"/>
        </w:rPr>
      </w:pPr>
    </w:p>
    <w:p w14:paraId="57D09993" w14:textId="77777777" w:rsidR="00B601B4" w:rsidRDefault="00611418">
      <w:pPr>
        <w:pStyle w:val="Heading2"/>
        <w:spacing w:before="1"/>
      </w:pPr>
      <w:r>
        <w:rPr>
          <w:w w:val="105"/>
        </w:rPr>
        <w:t>LEARNING OBJECTIVES</w:t>
      </w:r>
    </w:p>
    <w:p w14:paraId="78A06E4C" w14:textId="77777777" w:rsidR="00B601B4" w:rsidRDefault="00611418">
      <w:pPr>
        <w:pStyle w:val="BodyText"/>
        <w:spacing w:before="12"/>
        <w:ind w:left="160"/>
      </w:pPr>
      <w:r>
        <w:rPr>
          <w:w w:val="105"/>
        </w:rPr>
        <w:t>On successful completion of the course, students should be able to:</w:t>
      </w:r>
    </w:p>
    <w:p w14:paraId="3DB447E7" w14:textId="77777777" w:rsidR="00B601B4" w:rsidRDefault="00611418">
      <w:pPr>
        <w:pStyle w:val="ListParagraph"/>
        <w:numPr>
          <w:ilvl w:val="0"/>
          <w:numId w:val="1"/>
        </w:numPr>
        <w:tabs>
          <w:tab w:val="left" w:pos="519"/>
          <w:tab w:val="left" w:pos="520"/>
        </w:tabs>
        <w:rPr>
          <w:sz w:val="21"/>
        </w:rPr>
      </w:pPr>
      <w:r>
        <w:rPr>
          <w:w w:val="105"/>
          <w:sz w:val="21"/>
        </w:rPr>
        <w:t>Describe the characteristics and cash flows of standard derivatives</w:t>
      </w:r>
      <w:r w:rsidR="00D94FF7">
        <w:rPr>
          <w:w w:val="105"/>
          <w:sz w:val="21"/>
        </w:rPr>
        <w:t>.</w:t>
      </w:r>
    </w:p>
    <w:p w14:paraId="48375125" w14:textId="77777777" w:rsidR="00B601B4" w:rsidRDefault="00611418">
      <w:pPr>
        <w:pStyle w:val="ListParagraph"/>
        <w:numPr>
          <w:ilvl w:val="0"/>
          <w:numId w:val="1"/>
        </w:numPr>
        <w:tabs>
          <w:tab w:val="left" w:pos="519"/>
          <w:tab w:val="left" w:pos="520"/>
        </w:tabs>
        <w:spacing w:before="2"/>
        <w:rPr>
          <w:sz w:val="21"/>
        </w:rPr>
      </w:pPr>
      <w:r>
        <w:rPr>
          <w:w w:val="105"/>
          <w:sz w:val="21"/>
        </w:rPr>
        <w:t>Explain how derivatives can be used for hedging and</w:t>
      </w:r>
      <w:r>
        <w:rPr>
          <w:spacing w:val="5"/>
          <w:w w:val="105"/>
          <w:sz w:val="21"/>
        </w:rPr>
        <w:t xml:space="preserve"> </w:t>
      </w:r>
      <w:r>
        <w:rPr>
          <w:w w:val="105"/>
          <w:sz w:val="21"/>
        </w:rPr>
        <w:t>speculation</w:t>
      </w:r>
      <w:r w:rsidR="00D94FF7">
        <w:rPr>
          <w:w w:val="105"/>
          <w:sz w:val="21"/>
        </w:rPr>
        <w:t>.</w:t>
      </w:r>
    </w:p>
    <w:p w14:paraId="0D30C552" w14:textId="77777777" w:rsidR="00B601B4" w:rsidRDefault="00611418">
      <w:pPr>
        <w:pStyle w:val="ListParagraph"/>
        <w:numPr>
          <w:ilvl w:val="0"/>
          <w:numId w:val="1"/>
        </w:numPr>
        <w:tabs>
          <w:tab w:val="left" w:pos="519"/>
          <w:tab w:val="left" w:pos="520"/>
        </w:tabs>
        <w:spacing w:line="252" w:lineRule="auto"/>
        <w:ind w:right="113"/>
        <w:rPr>
          <w:sz w:val="21"/>
        </w:rPr>
      </w:pPr>
      <w:r>
        <w:rPr>
          <w:w w:val="105"/>
          <w:sz w:val="21"/>
        </w:rPr>
        <w:t>Calculate the price and value of forward and futures contracts</w:t>
      </w:r>
      <w:r w:rsidR="00D94FF7">
        <w:rPr>
          <w:w w:val="105"/>
          <w:sz w:val="21"/>
        </w:rPr>
        <w:t>.</w:t>
      </w:r>
    </w:p>
    <w:p w14:paraId="230E9C34" w14:textId="77777777" w:rsidR="00B601B4" w:rsidRPr="00D94FF7" w:rsidRDefault="00611418">
      <w:pPr>
        <w:pStyle w:val="ListParagraph"/>
        <w:numPr>
          <w:ilvl w:val="0"/>
          <w:numId w:val="1"/>
        </w:numPr>
        <w:tabs>
          <w:tab w:val="left" w:pos="519"/>
          <w:tab w:val="left" w:pos="520"/>
        </w:tabs>
        <w:spacing w:line="247" w:lineRule="auto"/>
        <w:ind w:right="113"/>
        <w:rPr>
          <w:sz w:val="21"/>
        </w:rPr>
      </w:pPr>
      <w:r>
        <w:rPr>
          <w:w w:val="105"/>
          <w:sz w:val="21"/>
        </w:rPr>
        <w:t>Calculate the value of option contracts using the Black– Scholes</w:t>
      </w:r>
      <w:r w:rsidR="00D94FF7">
        <w:rPr>
          <w:w w:val="105"/>
          <w:sz w:val="21"/>
        </w:rPr>
        <w:t xml:space="preserve">, </w:t>
      </w:r>
      <w:proofErr w:type="spellStart"/>
      <w:r w:rsidR="00D94FF7">
        <w:rPr>
          <w:w w:val="105"/>
          <w:sz w:val="21"/>
        </w:rPr>
        <w:t>Bachelier</w:t>
      </w:r>
      <w:proofErr w:type="spellEnd"/>
      <w:r w:rsidR="00D94FF7">
        <w:rPr>
          <w:w w:val="105"/>
          <w:sz w:val="21"/>
        </w:rPr>
        <w:t xml:space="preserve"> and shifted lognormal</w:t>
      </w:r>
      <w:r>
        <w:rPr>
          <w:w w:val="105"/>
          <w:sz w:val="21"/>
        </w:rPr>
        <w:t xml:space="preserve"> option pricing</w:t>
      </w:r>
      <w:r>
        <w:rPr>
          <w:spacing w:val="1"/>
          <w:w w:val="105"/>
          <w:sz w:val="21"/>
        </w:rPr>
        <w:t xml:space="preserve"> </w:t>
      </w:r>
      <w:r>
        <w:rPr>
          <w:w w:val="105"/>
          <w:sz w:val="21"/>
        </w:rPr>
        <w:t>model</w:t>
      </w:r>
      <w:r w:rsidR="00D94FF7">
        <w:rPr>
          <w:w w:val="105"/>
          <w:sz w:val="21"/>
        </w:rPr>
        <w:t>.</w:t>
      </w:r>
    </w:p>
    <w:p w14:paraId="028B4053" w14:textId="77777777" w:rsidR="00D94FF7" w:rsidRPr="00D94FF7" w:rsidRDefault="00D94FF7" w:rsidP="00D94FF7">
      <w:pPr>
        <w:pStyle w:val="ListParagraph"/>
        <w:numPr>
          <w:ilvl w:val="0"/>
          <w:numId w:val="1"/>
        </w:numPr>
        <w:tabs>
          <w:tab w:val="left" w:pos="519"/>
          <w:tab w:val="left" w:pos="520"/>
        </w:tabs>
        <w:spacing w:before="0" w:line="256" w:lineRule="exact"/>
        <w:rPr>
          <w:sz w:val="21"/>
        </w:rPr>
      </w:pPr>
      <w:r>
        <w:rPr>
          <w:w w:val="105"/>
          <w:sz w:val="21"/>
        </w:rPr>
        <w:t>Calculate the price and value of various option strategies</w:t>
      </w:r>
      <w:r w:rsidR="006050B7">
        <w:rPr>
          <w:w w:val="105"/>
          <w:sz w:val="21"/>
        </w:rPr>
        <w:t xml:space="preserve"> and structured products.</w:t>
      </w:r>
    </w:p>
    <w:p w14:paraId="332F63EE" w14:textId="77777777" w:rsidR="006050B7" w:rsidRPr="00D94FF7" w:rsidRDefault="00611418" w:rsidP="006050B7">
      <w:pPr>
        <w:pStyle w:val="ListParagraph"/>
        <w:numPr>
          <w:ilvl w:val="0"/>
          <w:numId w:val="1"/>
        </w:numPr>
        <w:tabs>
          <w:tab w:val="left" w:pos="519"/>
          <w:tab w:val="left" w:pos="520"/>
        </w:tabs>
        <w:spacing w:before="0" w:line="256" w:lineRule="exact"/>
        <w:rPr>
          <w:sz w:val="21"/>
        </w:rPr>
      </w:pPr>
      <w:r>
        <w:rPr>
          <w:w w:val="105"/>
          <w:sz w:val="21"/>
        </w:rPr>
        <w:t xml:space="preserve">Calculate the </w:t>
      </w:r>
      <w:r w:rsidR="00D94FF7">
        <w:rPr>
          <w:w w:val="105"/>
          <w:sz w:val="21"/>
        </w:rPr>
        <w:t>sensitivities/Greeks of various option strategies</w:t>
      </w:r>
      <w:r w:rsidR="006050B7">
        <w:rPr>
          <w:w w:val="105"/>
          <w:sz w:val="21"/>
        </w:rPr>
        <w:t xml:space="preserve"> and structured products.</w:t>
      </w:r>
    </w:p>
    <w:p w14:paraId="3C1968A5" w14:textId="77777777" w:rsidR="00B601B4" w:rsidRPr="00D94FF7" w:rsidRDefault="00B601B4" w:rsidP="00D94FF7">
      <w:pPr>
        <w:pStyle w:val="ListParagraph"/>
        <w:numPr>
          <w:ilvl w:val="0"/>
          <w:numId w:val="1"/>
        </w:numPr>
        <w:tabs>
          <w:tab w:val="left" w:pos="519"/>
          <w:tab w:val="left" w:pos="520"/>
        </w:tabs>
        <w:spacing w:before="0" w:line="261" w:lineRule="exact"/>
        <w:rPr>
          <w:sz w:val="21"/>
        </w:rPr>
        <w:sectPr w:rsidR="00B601B4" w:rsidRPr="00D94FF7">
          <w:headerReference w:type="default" r:id="rId8"/>
          <w:type w:val="continuous"/>
          <w:pgSz w:w="11900" w:h="16840"/>
          <w:pgMar w:top="2360" w:right="1320" w:bottom="280" w:left="1280" w:header="1026" w:footer="720" w:gutter="0"/>
          <w:cols w:space="720"/>
        </w:sectPr>
      </w:pPr>
    </w:p>
    <w:p w14:paraId="35D061DA" w14:textId="77777777" w:rsidR="00B601B4" w:rsidRDefault="00B601B4">
      <w:pPr>
        <w:pStyle w:val="BodyText"/>
        <w:rPr>
          <w:sz w:val="20"/>
        </w:rPr>
      </w:pPr>
    </w:p>
    <w:p w14:paraId="1646AEDB" w14:textId="77777777" w:rsidR="00B601B4" w:rsidRDefault="00B601B4">
      <w:pPr>
        <w:pStyle w:val="BodyText"/>
        <w:spacing w:before="9"/>
        <w:rPr>
          <w:sz w:val="28"/>
        </w:rPr>
      </w:pPr>
    </w:p>
    <w:tbl>
      <w:tblPr>
        <w:tblW w:w="0" w:type="auto"/>
        <w:tblInd w:w="110" w:type="dxa"/>
        <w:tblLayout w:type="fixed"/>
        <w:tblCellMar>
          <w:left w:w="0" w:type="dxa"/>
          <w:right w:w="0" w:type="dxa"/>
        </w:tblCellMar>
        <w:tblLook w:val="01E0" w:firstRow="1" w:lastRow="1" w:firstColumn="1" w:lastColumn="1" w:noHBand="0" w:noVBand="0"/>
      </w:tblPr>
      <w:tblGrid>
        <w:gridCol w:w="3261"/>
        <w:gridCol w:w="1538"/>
      </w:tblGrid>
      <w:tr w:rsidR="00B601B4" w14:paraId="1A40D9DF" w14:textId="77777777">
        <w:trPr>
          <w:trHeight w:val="383"/>
        </w:trPr>
        <w:tc>
          <w:tcPr>
            <w:tcW w:w="3261" w:type="dxa"/>
          </w:tcPr>
          <w:p w14:paraId="30AEC60D" w14:textId="77777777" w:rsidR="00B601B4" w:rsidRDefault="00611418">
            <w:pPr>
              <w:pStyle w:val="TableParagraph"/>
              <w:spacing w:before="5"/>
              <w:ind w:left="50"/>
              <w:jc w:val="left"/>
              <w:rPr>
                <w:b/>
                <w:sz w:val="21"/>
              </w:rPr>
            </w:pPr>
            <w:r>
              <w:rPr>
                <w:b/>
                <w:w w:val="105"/>
                <w:sz w:val="21"/>
              </w:rPr>
              <w:t>ASSESSMENT METHODS</w:t>
            </w:r>
          </w:p>
        </w:tc>
        <w:tc>
          <w:tcPr>
            <w:tcW w:w="1538" w:type="dxa"/>
          </w:tcPr>
          <w:p w14:paraId="3BF0A6EE" w14:textId="77777777" w:rsidR="00B601B4" w:rsidRDefault="00B601B4">
            <w:pPr>
              <w:pStyle w:val="TableParagraph"/>
              <w:spacing w:before="0"/>
              <w:ind w:left="0"/>
              <w:jc w:val="left"/>
              <w:rPr>
                <w:rFonts w:ascii="Times New Roman"/>
                <w:sz w:val="20"/>
              </w:rPr>
            </w:pPr>
          </w:p>
        </w:tc>
      </w:tr>
      <w:tr w:rsidR="00B601B4" w14:paraId="3C502396" w14:textId="77777777">
        <w:trPr>
          <w:trHeight w:val="386"/>
        </w:trPr>
        <w:tc>
          <w:tcPr>
            <w:tcW w:w="3261" w:type="dxa"/>
          </w:tcPr>
          <w:p w14:paraId="44F2F895" w14:textId="77777777" w:rsidR="00B601B4" w:rsidRDefault="00611418">
            <w:pPr>
              <w:pStyle w:val="TableParagraph"/>
              <w:spacing w:before="126" w:line="241" w:lineRule="exact"/>
              <w:ind w:left="50"/>
              <w:jc w:val="left"/>
              <w:rPr>
                <w:sz w:val="21"/>
              </w:rPr>
            </w:pPr>
            <w:r>
              <w:rPr>
                <w:w w:val="105"/>
                <w:sz w:val="21"/>
              </w:rPr>
              <w:t>Class Participation:</w:t>
            </w:r>
          </w:p>
        </w:tc>
        <w:tc>
          <w:tcPr>
            <w:tcW w:w="1538" w:type="dxa"/>
          </w:tcPr>
          <w:p w14:paraId="38374B4A" w14:textId="77777777" w:rsidR="00B601B4" w:rsidRDefault="00611418">
            <w:pPr>
              <w:pStyle w:val="TableParagraph"/>
              <w:spacing w:before="126" w:line="241" w:lineRule="exact"/>
              <w:ind w:left="0" w:right="47"/>
              <w:jc w:val="right"/>
              <w:rPr>
                <w:sz w:val="21"/>
              </w:rPr>
            </w:pPr>
            <w:r>
              <w:rPr>
                <w:sz w:val="21"/>
              </w:rPr>
              <w:t>10%</w:t>
            </w:r>
          </w:p>
        </w:tc>
      </w:tr>
      <w:tr w:rsidR="00B601B4" w14:paraId="1436F15E" w14:textId="77777777">
        <w:trPr>
          <w:trHeight w:val="268"/>
        </w:trPr>
        <w:tc>
          <w:tcPr>
            <w:tcW w:w="3261" w:type="dxa"/>
          </w:tcPr>
          <w:p w14:paraId="6971F2D4" w14:textId="77777777" w:rsidR="00B601B4" w:rsidRDefault="00611418">
            <w:pPr>
              <w:pStyle w:val="TableParagraph"/>
              <w:spacing w:before="8" w:line="241" w:lineRule="exact"/>
              <w:ind w:left="50"/>
              <w:jc w:val="left"/>
              <w:rPr>
                <w:sz w:val="21"/>
              </w:rPr>
            </w:pPr>
            <w:r>
              <w:rPr>
                <w:w w:val="105"/>
                <w:sz w:val="21"/>
              </w:rPr>
              <w:t>Homework Assignments:</w:t>
            </w:r>
          </w:p>
        </w:tc>
        <w:tc>
          <w:tcPr>
            <w:tcW w:w="1538" w:type="dxa"/>
          </w:tcPr>
          <w:p w14:paraId="537D97D7" w14:textId="77777777" w:rsidR="00B601B4" w:rsidRDefault="00611418">
            <w:pPr>
              <w:pStyle w:val="TableParagraph"/>
              <w:spacing w:before="8" w:line="241" w:lineRule="exact"/>
              <w:ind w:left="0" w:right="47"/>
              <w:jc w:val="right"/>
              <w:rPr>
                <w:sz w:val="21"/>
              </w:rPr>
            </w:pPr>
            <w:r>
              <w:rPr>
                <w:sz w:val="21"/>
              </w:rPr>
              <w:t>30%</w:t>
            </w:r>
          </w:p>
        </w:tc>
      </w:tr>
      <w:tr w:rsidR="00B601B4" w14:paraId="0A69684B" w14:textId="77777777">
        <w:trPr>
          <w:trHeight w:val="268"/>
        </w:trPr>
        <w:tc>
          <w:tcPr>
            <w:tcW w:w="3261" w:type="dxa"/>
          </w:tcPr>
          <w:p w14:paraId="1AD669F5" w14:textId="77777777" w:rsidR="00B601B4" w:rsidRDefault="00611418">
            <w:pPr>
              <w:pStyle w:val="TableParagraph"/>
              <w:spacing w:before="8" w:line="241" w:lineRule="exact"/>
              <w:ind w:left="50"/>
              <w:jc w:val="left"/>
              <w:rPr>
                <w:sz w:val="21"/>
              </w:rPr>
            </w:pPr>
            <w:r>
              <w:rPr>
                <w:w w:val="105"/>
                <w:sz w:val="21"/>
              </w:rPr>
              <w:t>Final Examination:</w:t>
            </w:r>
          </w:p>
        </w:tc>
        <w:tc>
          <w:tcPr>
            <w:tcW w:w="1538" w:type="dxa"/>
          </w:tcPr>
          <w:p w14:paraId="2EABA86F" w14:textId="77777777" w:rsidR="00B601B4" w:rsidRDefault="00611418">
            <w:pPr>
              <w:pStyle w:val="TableParagraph"/>
              <w:spacing w:before="8" w:line="241" w:lineRule="exact"/>
              <w:ind w:left="0" w:right="47"/>
              <w:jc w:val="right"/>
              <w:rPr>
                <w:sz w:val="21"/>
              </w:rPr>
            </w:pPr>
            <w:r>
              <w:rPr>
                <w:sz w:val="21"/>
              </w:rPr>
              <w:t>60%</w:t>
            </w:r>
          </w:p>
        </w:tc>
      </w:tr>
      <w:tr w:rsidR="00B601B4" w14:paraId="153714FF" w14:textId="77777777">
        <w:trPr>
          <w:trHeight w:val="266"/>
        </w:trPr>
        <w:tc>
          <w:tcPr>
            <w:tcW w:w="3261" w:type="dxa"/>
          </w:tcPr>
          <w:p w14:paraId="08D2C10B" w14:textId="77777777" w:rsidR="00B601B4" w:rsidRDefault="00611418">
            <w:pPr>
              <w:pStyle w:val="TableParagraph"/>
              <w:spacing w:before="8" w:line="238" w:lineRule="exact"/>
              <w:ind w:left="50"/>
              <w:jc w:val="left"/>
              <w:rPr>
                <w:b/>
                <w:sz w:val="21"/>
              </w:rPr>
            </w:pPr>
            <w:r>
              <w:rPr>
                <w:b/>
                <w:w w:val="105"/>
                <w:sz w:val="21"/>
              </w:rPr>
              <w:t>Total:</w:t>
            </w:r>
          </w:p>
        </w:tc>
        <w:tc>
          <w:tcPr>
            <w:tcW w:w="1538" w:type="dxa"/>
          </w:tcPr>
          <w:p w14:paraId="18447487" w14:textId="77777777" w:rsidR="00B601B4" w:rsidRDefault="00611418">
            <w:pPr>
              <w:pStyle w:val="TableParagraph"/>
              <w:spacing w:before="8" w:line="238" w:lineRule="exact"/>
              <w:ind w:left="0" w:right="56"/>
              <w:jc w:val="right"/>
              <w:rPr>
                <w:b/>
                <w:sz w:val="21"/>
              </w:rPr>
            </w:pPr>
            <w:r>
              <w:rPr>
                <w:b/>
                <w:sz w:val="21"/>
              </w:rPr>
              <w:t>100%</w:t>
            </w:r>
          </w:p>
        </w:tc>
      </w:tr>
    </w:tbl>
    <w:p w14:paraId="7D2D25B8" w14:textId="77777777" w:rsidR="00B601B4" w:rsidRDefault="00B601B4">
      <w:pPr>
        <w:pStyle w:val="BodyText"/>
        <w:spacing w:before="3"/>
        <w:rPr>
          <w:sz w:val="14"/>
        </w:rPr>
      </w:pPr>
    </w:p>
    <w:p w14:paraId="480CEEB1" w14:textId="77777777" w:rsidR="00B601B4" w:rsidRDefault="00611418">
      <w:pPr>
        <w:pStyle w:val="BodyText"/>
        <w:spacing w:before="105"/>
        <w:ind w:left="160"/>
      </w:pPr>
      <w:r>
        <w:rPr>
          <w:w w:val="105"/>
          <w:u w:val="single"/>
        </w:rPr>
        <w:t>Attendance and Class Participation</w:t>
      </w:r>
    </w:p>
    <w:p w14:paraId="332DD70A" w14:textId="77777777" w:rsidR="00B601B4" w:rsidRDefault="00611418">
      <w:pPr>
        <w:pStyle w:val="BodyText"/>
        <w:spacing w:before="13" w:line="252" w:lineRule="auto"/>
        <w:ind w:left="160" w:right="135"/>
      </w:pPr>
      <w:r>
        <w:rPr>
          <w:w w:val="105"/>
        </w:rPr>
        <w:t>Students are required to attend all lectures. Credit will be given to students who ask questions during lectures, or otherwise provide relevant input.</w:t>
      </w:r>
    </w:p>
    <w:p w14:paraId="009F7334" w14:textId="77777777" w:rsidR="00B601B4" w:rsidRDefault="00B601B4">
      <w:pPr>
        <w:pStyle w:val="BodyText"/>
        <w:spacing w:before="11"/>
      </w:pPr>
    </w:p>
    <w:p w14:paraId="001339D5" w14:textId="77777777" w:rsidR="00B601B4" w:rsidRDefault="00611418">
      <w:pPr>
        <w:pStyle w:val="BodyText"/>
        <w:spacing w:before="1"/>
        <w:ind w:left="160"/>
      </w:pPr>
      <w:r>
        <w:rPr>
          <w:w w:val="105"/>
          <w:u w:val="single"/>
        </w:rPr>
        <w:t>Homework Assignments</w:t>
      </w:r>
    </w:p>
    <w:p w14:paraId="7C9E4CBC" w14:textId="77777777" w:rsidR="00B601B4" w:rsidRDefault="00611418">
      <w:pPr>
        <w:pStyle w:val="BodyText"/>
        <w:spacing w:before="12" w:line="247" w:lineRule="auto"/>
        <w:ind w:left="160" w:right="135"/>
      </w:pPr>
      <w:r>
        <w:rPr>
          <w:w w:val="105"/>
        </w:rPr>
        <w:t>There will be regular homework assignments. Students may discuss the homework problems, but each student must individually submit a completed homework assignment.</w:t>
      </w:r>
    </w:p>
    <w:p w14:paraId="5FF2C204" w14:textId="77777777" w:rsidR="00B601B4" w:rsidRDefault="00B601B4">
      <w:pPr>
        <w:pStyle w:val="BodyText"/>
        <w:spacing w:before="5"/>
        <w:rPr>
          <w:sz w:val="22"/>
        </w:rPr>
      </w:pPr>
    </w:p>
    <w:p w14:paraId="7F09EEA3" w14:textId="77777777" w:rsidR="00B601B4" w:rsidRDefault="00611418">
      <w:pPr>
        <w:pStyle w:val="BodyText"/>
        <w:ind w:left="160"/>
      </w:pPr>
      <w:r>
        <w:rPr>
          <w:w w:val="105"/>
          <w:u w:val="single"/>
        </w:rPr>
        <w:t>Final Exam</w:t>
      </w:r>
    </w:p>
    <w:p w14:paraId="3B14E597" w14:textId="77777777" w:rsidR="00B601B4" w:rsidRDefault="00611418">
      <w:pPr>
        <w:pStyle w:val="BodyText"/>
        <w:spacing w:before="12" w:line="252" w:lineRule="auto"/>
        <w:ind w:left="160" w:right="114"/>
      </w:pPr>
      <w:r>
        <w:rPr>
          <w:w w:val="105"/>
        </w:rPr>
        <w:t>There will be a two- to three-hour examination at the end of the course. The exam will cover all material that is presented during the lectures. Students will be allowed to use an electronic calculator during the exam. Students will also be allowed to refer to a double-sided A4-sized formula sheet of their own design.</w:t>
      </w:r>
    </w:p>
    <w:p w14:paraId="2BB8ADCB" w14:textId="77777777" w:rsidR="00B601B4" w:rsidRDefault="00B601B4">
      <w:pPr>
        <w:pStyle w:val="BodyText"/>
        <w:spacing w:before="11"/>
      </w:pPr>
    </w:p>
    <w:p w14:paraId="66F019B6" w14:textId="77777777" w:rsidR="00B601B4" w:rsidRDefault="00611418">
      <w:pPr>
        <w:pStyle w:val="Heading2"/>
      </w:pPr>
      <w:r>
        <w:rPr>
          <w:w w:val="105"/>
        </w:rPr>
        <w:t>ACADEMIC INTEGRITY</w:t>
      </w:r>
    </w:p>
    <w:p w14:paraId="24175A92" w14:textId="77777777" w:rsidR="00B601B4" w:rsidRDefault="00611418">
      <w:pPr>
        <w:pStyle w:val="BodyText"/>
        <w:spacing w:before="13" w:line="252" w:lineRule="auto"/>
        <w:ind w:left="160" w:right="111"/>
        <w:jc w:val="both"/>
      </w:pPr>
      <w:r>
        <w:rPr>
          <w:w w:val="105"/>
        </w:rPr>
        <w:t>All acts of academic dishonesty (including, but not limited to, plagiarism, cheating, fabrication, facilitation of acts of academic dishonesty by others, unauthorized possession of exam questions, or tampering with the academic work of other students) are serious offences.</w:t>
      </w:r>
    </w:p>
    <w:p w14:paraId="2EFA6BC1" w14:textId="77777777" w:rsidR="00B601B4" w:rsidRDefault="00B601B4">
      <w:pPr>
        <w:pStyle w:val="BodyText"/>
        <w:spacing w:before="11"/>
      </w:pPr>
    </w:p>
    <w:p w14:paraId="5804A759" w14:textId="77777777" w:rsidR="00B601B4" w:rsidRDefault="00611418">
      <w:pPr>
        <w:pStyle w:val="BodyText"/>
        <w:spacing w:line="252" w:lineRule="auto"/>
        <w:ind w:left="160" w:right="113"/>
        <w:jc w:val="both"/>
      </w:pPr>
      <w:r>
        <w:rPr>
          <w:w w:val="105"/>
        </w:rPr>
        <w:t>All work presented in class must be the student’s own work. Any student caught violating this policy may result in the student receiving zero marks for the component assessment or a fail grade for the course. This policy applies to all works (whether oral or written) submitted for purposes of assessment.</w:t>
      </w:r>
    </w:p>
    <w:p w14:paraId="4594F22D" w14:textId="77777777" w:rsidR="00B601B4" w:rsidRDefault="00B601B4">
      <w:pPr>
        <w:pStyle w:val="BodyText"/>
        <w:spacing w:before="11"/>
      </w:pPr>
    </w:p>
    <w:p w14:paraId="7E1B70F3" w14:textId="77777777" w:rsidR="00B601B4" w:rsidRDefault="00611418">
      <w:pPr>
        <w:pStyle w:val="BodyText"/>
        <w:spacing w:line="252" w:lineRule="auto"/>
        <w:ind w:left="160"/>
      </w:pPr>
      <w:r>
        <w:rPr>
          <w:w w:val="105"/>
        </w:rPr>
        <w:t xml:space="preserve">When in doubt, students are encouraged to consult the instructors of the course. Details on the SMU Code of Academic Integrity may be accessed at </w:t>
      </w:r>
      <w:hyperlink r:id="rId9">
        <w:r>
          <w:rPr>
            <w:color w:val="0000FF"/>
            <w:w w:val="105"/>
            <w:u w:val="single" w:color="0000FF"/>
          </w:rPr>
          <w:t>http://www.smuscd.org/resources.html</w:t>
        </w:r>
        <w:r>
          <w:rPr>
            <w:w w:val="105"/>
          </w:rPr>
          <w:t>.</w:t>
        </w:r>
      </w:hyperlink>
    </w:p>
    <w:p w14:paraId="7DC91ADA" w14:textId="77777777" w:rsidR="00B601B4" w:rsidRDefault="00B601B4">
      <w:pPr>
        <w:pStyle w:val="BodyText"/>
        <w:spacing w:before="7"/>
      </w:pPr>
    </w:p>
    <w:p w14:paraId="271811B6" w14:textId="77777777" w:rsidR="00B601B4" w:rsidRDefault="00611418">
      <w:pPr>
        <w:pStyle w:val="Heading2"/>
      </w:pPr>
      <w:r>
        <w:rPr>
          <w:w w:val="105"/>
        </w:rPr>
        <w:t>REFERENCE TEXTS</w:t>
      </w:r>
    </w:p>
    <w:p w14:paraId="616C37F9" w14:textId="77777777" w:rsidR="00D94FF7" w:rsidRDefault="00611418">
      <w:pPr>
        <w:pStyle w:val="BodyText"/>
        <w:spacing w:before="13" w:line="252" w:lineRule="auto"/>
        <w:ind w:left="160" w:right="135"/>
        <w:rPr>
          <w:w w:val="105"/>
        </w:rPr>
      </w:pPr>
      <w:r>
        <w:rPr>
          <w:w w:val="105"/>
        </w:rPr>
        <w:t xml:space="preserve">Students may also wish to refer to </w:t>
      </w:r>
    </w:p>
    <w:p w14:paraId="0FAC48E4" w14:textId="77777777" w:rsidR="00D94FF7" w:rsidRPr="00D94FF7" w:rsidRDefault="00611418" w:rsidP="00D94FF7">
      <w:pPr>
        <w:pStyle w:val="BodyText"/>
        <w:numPr>
          <w:ilvl w:val="0"/>
          <w:numId w:val="2"/>
        </w:numPr>
        <w:spacing w:before="13" w:line="252" w:lineRule="auto"/>
        <w:ind w:right="135"/>
      </w:pPr>
      <w:r>
        <w:rPr>
          <w:i/>
          <w:w w:val="105"/>
        </w:rPr>
        <w:t>Options, Futures, and Other Derivatives</w:t>
      </w:r>
      <w:r>
        <w:rPr>
          <w:w w:val="105"/>
        </w:rPr>
        <w:t>, 10th edition by John Hull, Pearson Education, 2017 (or earlier editions)</w:t>
      </w:r>
    </w:p>
    <w:p w14:paraId="5F7508DA" w14:textId="77777777" w:rsidR="00D94FF7" w:rsidRPr="00D94FF7" w:rsidRDefault="00D94FF7" w:rsidP="00D94FF7">
      <w:pPr>
        <w:pStyle w:val="BodyText"/>
        <w:numPr>
          <w:ilvl w:val="0"/>
          <w:numId w:val="2"/>
        </w:numPr>
        <w:spacing w:before="13" w:line="252" w:lineRule="auto"/>
        <w:ind w:right="135"/>
        <w:rPr>
          <w:w w:val="105"/>
        </w:rPr>
      </w:pPr>
      <w:r>
        <w:rPr>
          <w:i/>
          <w:w w:val="105"/>
        </w:rPr>
        <w:t xml:space="preserve">Exotic Options and Hybrids, </w:t>
      </w:r>
      <w:r w:rsidRPr="00D94FF7">
        <w:rPr>
          <w:w w:val="105"/>
        </w:rPr>
        <w:t xml:space="preserve">by </w:t>
      </w:r>
      <w:proofErr w:type="spellStart"/>
      <w:r w:rsidRPr="00D94FF7">
        <w:rPr>
          <w:w w:val="105"/>
        </w:rPr>
        <w:t>Bouzoubaa</w:t>
      </w:r>
      <w:proofErr w:type="spellEnd"/>
      <w:r w:rsidRPr="00D94FF7">
        <w:rPr>
          <w:w w:val="105"/>
        </w:rPr>
        <w:t xml:space="preserve"> &amp; </w:t>
      </w:r>
      <w:proofErr w:type="spellStart"/>
      <w:r w:rsidRPr="00D94FF7">
        <w:rPr>
          <w:w w:val="105"/>
        </w:rPr>
        <w:t>Osseiran</w:t>
      </w:r>
      <w:proofErr w:type="spellEnd"/>
      <w:r w:rsidRPr="00D94FF7">
        <w:rPr>
          <w:w w:val="105"/>
        </w:rPr>
        <w:t>, Wiley, 2010</w:t>
      </w:r>
    </w:p>
    <w:p w14:paraId="27E16B9D" w14:textId="77777777" w:rsidR="00B601B4" w:rsidRDefault="00611418" w:rsidP="00D94FF7">
      <w:pPr>
        <w:pStyle w:val="BodyText"/>
        <w:spacing w:before="13" w:line="252" w:lineRule="auto"/>
        <w:ind w:left="160" w:right="135"/>
      </w:pPr>
      <w:r w:rsidRPr="00D94FF7">
        <w:rPr>
          <w:w w:val="105"/>
        </w:rPr>
        <w:t>for further discussion of the topics covered in the lectures.</w:t>
      </w:r>
    </w:p>
    <w:p w14:paraId="0DEA2667" w14:textId="77777777" w:rsidR="00B601B4" w:rsidRDefault="00B601B4">
      <w:pPr>
        <w:spacing w:line="252" w:lineRule="auto"/>
        <w:sectPr w:rsidR="00B601B4">
          <w:pgSz w:w="11900" w:h="16840"/>
          <w:pgMar w:top="2360" w:right="1320" w:bottom="280" w:left="1280" w:header="1026" w:footer="0" w:gutter="0"/>
          <w:cols w:space="720"/>
        </w:sectPr>
      </w:pPr>
    </w:p>
    <w:p w14:paraId="6ACFF204" w14:textId="77777777" w:rsidR="00B601B4" w:rsidRDefault="00B601B4">
      <w:pPr>
        <w:pStyle w:val="BodyText"/>
        <w:rPr>
          <w:sz w:val="20"/>
        </w:rPr>
      </w:pPr>
    </w:p>
    <w:p w14:paraId="468470EC" w14:textId="77777777" w:rsidR="00B601B4" w:rsidRDefault="00B601B4">
      <w:pPr>
        <w:pStyle w:val="BodyText"/>
        <w:rPr>
          <w:sz w:val="20"/>
        </w:rPr>
      </w:pPr>
    </w:p>
    <w:p w14:paraId="61ECF61C" w14:textId="77777777" w:rsidR="00B601B4" w:rsidRDefault="00B601B4">
      <w:pPr>
        <w:pStyle w:val="BodyText"/>
        <w:rPr>
          <w:sz w:val="20"/>
        </w:rPr>
      </w:pPr>
    </w:p>
    <w:p w14:paraId="5AAA6AFC" w14:textId="77777777" w:rsidR="00B601B4" w:rsidRDefault="00B601B4">
      <w:pPr>
        <w:pStyle w:val="BodyText"/>
        <w:rPr>
          <w:sz w:val="20"/>
        </w:rPr>
      </w:pPr>
    </w:p>
    <w:p w14:paraId="56D72514" w14:textId="77777777" w:rsidR="00B601B4" w:rsidRDefault="00B601B4">
      <w:pPr>
        <w:pStyle w:val="BodyText"/>
        <w:spacing w:before="1"/>
        <w:rPr>
          <w:sz w:val="27"/>
        </w:rPr>
      </w:pPr>
    </w:p>
    <w:p w14:paraId="16B660D0" w14:textId="77777777" w:rsidR="00B601B4" w:rsidRDefault="00611418">
      <w:pPr>
        <w:pStyle w:val="Heading1"/>
        <w:spacing w:before="100"/>
      </w:pPr>
      <w:r>
        <w:t>SCHEDULE</w:t>
      </w:r>
    </w:p>
    <w:tbl>
      <w:tblPr>
        <w:tblW w:w="0" w:type="auto"/>
        <w:tblInd w:w="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0"/>
        <w:gridCol w:w="7392"/>
      </w:tblGrid>
      <w:tr w:rsidR="00B601B4" w14:paraId="7135B390" w14:textId="77777777">
        <w:trPr>
          <w:trHeight w:val="455"/>
        </w:trPr>
        <w:tc>
          <w:tcPr>
            <w:tcW w:w="1570" w:type="dxa"/>
          </w:tcPr>
          <w:p w14:paraId="6DACB84B" w14:textId="77777777" w:rsidR="00B601B4" w:rsidRDefault="00611418">
            <w:pPr>
              <w:pStyle w:val="TableParagraph"/>
              <w:ind w:left="419" w:right="418"/>
              <w:rPr>
                <w:b/>
                <w:sz w:val="21"/>
              </w:rPr>
            </w:pPr>
            <w:r>
              <w:rPr>
                <w:b/>
                <w:w w:val="105"/>
                <w:sz w:val="21"/>
              </w:rPr>
              <w:t>Session</w:t>
            </w:r>
          </w:p>
        </w:tc>
        <w:tc>
          <w:tcPr>
            <w:tcW w:w="7392" w:type="dxa"/>
          </w:tcPr>
          <w:p w14:paraId="1626FFF2" w14:textId="77777777" w:rsidR="00B601B4" w:rsidRDefault="00611418">
            <w:pPr>
              <w:pStyle w:val="TableParagraph"/>
              <w:ind w:left="1432" w:right="1431"/>
              <w:rPr>
                <w:b/>
                <w:sz w:val="21"/>
              </w:rPr>
            </w:pPr>
            <w:r>
              <w:rPr>
                <w:b/>
                <w:w w:val="105"/>
                <w:sz w:val="21"/>
              </w:rPr>
              <w:t>Topic</w:t>
            </w:r>
          </w:p>
        </w:tc>
      </w:tr>
      <w:tr w:rsidR="00B601B4" w14:paraId="3172636D" w14:textId="77777777">
        <w:trPr>
          <w:trHeight w:val="455"/>
        </w:trPr>
        <w:tc>
          <w:tcPr>
            <w:tcW w:w="1570" w:type="dxa"/>
          </w:tcPr>
          <w:p w14:paraId="3436948C" w14:textId="77777777" w:rsidR="00B601B4" w:rsidRDefault="00611418">
            <w:pPr>
              <w:pStyle w:val="TableParagraph"/>
              <w:rPr>
                <w:sz w:val="21"/>
              </w:rPr>
            </w:pPr>
            <w:r>
              <w:rPr>
                <w:w w:val="102"/>
                <w:sz w:val="21"/>
              </w:rPr>
              <w:t>1</w:t>
            </w:r>
          </w:p>
        </w:tc>
        <w:tc>
          <w:tcPr>
            <w:tcW w:w="7392" w:type="dxa"/>
          </w:tcPr>
          <w:p w14:paraId="2CED94CE" w14:textId="77777777" w:rsidR="00B601B4" w:rsidRDefault="00611418">
            <w:pPr>
              <w:pStyle w:val="TableParagraph"/>
              <w:ind w:left="1433" w:right="1430"/>
              <w:rPr>
                <w:sz w:val="21"/>
              </w:rPr>
            </w:pPr>
            <w:r>
              <w:rPr>
                <w:w w:val="105"/>
                <w:sz w:val="21"/>
              </w:rPr>
              <w:t>Introduction to Derivatives</w:t>
            </w:r>
          </w:p>
        </w:tc>
      </w:tr>
      <w:tr w:rsidR="00B601B4" w14:paraId="45F23EA6" w14:textId="77777777">
        <w:trPr>
          <w:trHeight w:val="455"/>
        </w:trPr>
        <w:tc>
          <w:tcPr>
            <w:tcW w:w="1570" w:type="dxa"/>
          </w:tcPr>
          <w:p w14:paraId="0C5D161B" w14:textId="77777777" w:rsidR="00B601B4" w:rsidRDefault="00611418">
            <w:pPr>
              <w:pStyle w:val="TableParagraph"/>
              <w:rPr>
                <w:sz w:val="21"/>
              </w:rPr>
            </w:pPr>
            <w:r>
              <w:rPr>
                <w:w w:val="102"/>
                <w:sz w:val="21"/>
              </w:rPr>
              <w:t>2</w:t>
            </w:r>
          </w:p>
        </w:tc>
        <w:tc>
          <w:tcPr>
            <w:tcW w:w="7392" w:type="dxa"/>
          </w:tcPr>
          <w:p w14:paraId="6A25C48D" w14:textId="5F4B95A8" w:rsidR="00B601B4" w:rsidRDefault="00D3551A">
            <w:pPr>
              <w:pStyle w:val="TableParagraph"/>
              <w:ind w:left="1433" w:right="1431"/>
              <w:rPr>
                <w:sz w:val="21"/>
              </w:rPr>
            </w:pPr>
            <w:r>
              <w:rPr>
                <w:w w:val="105"/>
                <w:sz w:val="21"/>
              </w:rPr>
              <w:t>Option Strategies</w:t>
            </w:r>
          </w:p>
        </w:tc>
      </w:tr>
      <w:tr w:rsidR="00B601B4" w14:paraId="20DDD12A" w14:textId="77777777">
        <w:trPr>
          <w:trHeight w:val="455"/>
        </w:trPr>
        <w:tc>
          <w:tcPr>
            <w:tcW w:w="1570" w:type="dxa"/>
          </w:tcPr>
          <w:p w14:paraId="795A2F95" w14:textId="77777777" w:rsidR="00B601B4" w:rsidRDefault="00611418">
            <w:pPr>
              <w:pStyle w:val="TableParagraph"/>
              <w:rPr>
                <w:sz w:val="21"/>
              </w:rPr>
            </w:pPr>
            <w:r>
              <w:rPr>
                <w:w w:val="102"/>
                <w:sz w:val="21"/>
              </w:rPr>
              <w:t>3</w:t>
            </w:r>
          </w:p>
        </w:tc>
        <w:tc>
          <w:tcPr>
            <w:tcW w:w="7392" w:type="dxa"/>
          </w:tcPr>
          <w:p w14:paraId="13E059B3" w14:textId="2EF5152B" w:rsidR="00B601B4" w:rsidRDefault="00D3551A">
            <w:pPr>
              <w:pStyle w:val="TableParagraph"/>
              <w:ind w:left="1433" w:right="1431"/>
              <w:rPr>
                <w:sz w:val="21"/>
              </w:rPr>
            </w:pPr>
            <w:r>
              <w:rPr>
                <w:w w:val="105"/>
                <w:sz w:val="21"/>
              </w:rPr>
              <w:t>Option pricing Models</w:t>
            </w:r>
          </w:p>
        </w:tc>
      </w:tr>
      <w:tr w:rsidR="00B601B4" w14:paraId="7E2F1136" w14:textId="77777777">
        <w:trPr>
          <w:trHeight w:val="455"/>
        </w:trPr>
        <w:tc>
          <w:tcPr>
            <w:tcW w:w="1570" w:type="dxa"/>
          </w:tcPr>
          <w:p w14:paraId="78AE0761" w14:textId="77777777" w:rsidR="00B601B4" w:rsidRDefault="00611418">
            <w:pPr>
              <w:pStyle w:val="TableParagraph"/>
              <w:rPr>
                <w:sz w:val="21"/>
              </w:rPr>
            </w:pPr>
            <w:r>
              <w:rPr>
                <w:w w:val="102"/>
                <w:sz w:val="21"/>
              </w:rPr>
              <w:t>4</w:t>
            </w:r>
          </w:p>
        </w:tc>
        <w:tc>
          <w:tcPr>
            <w:tcW w:w="7392" w:type="dxa"/>
          </w:tcPr>
          <w:p w14:paraId="475E0D3F" w14:textId="3473F9AF" w:rsidR="00B601B4" w:rsidRDefault="00D3551A">
            <w:pPr>
              <w:pStyle w:val="TableParagraph"/>
              <w:ind w:left="1433" w:right="1431"/>
              <w:rPr>
                <w:sz w:val="21"/>
              </w:rPr>
            </w:pPr>
            <w:r>
              <w:rPr>
                <w:w w:val="105"/>
                <w:sz w:val="21"/>
              </w:rPr>
              <w:t>Greeks</w:t>
            </w:r>
          </w:p>
        </w:tc>
      </w:tr>
      <w:tr w:rsidR="00B601B4" w14:paraId="23FDC28D" w14:textId="77777777">
        <w:trPr>
          <w:trHeight w:val="455"/>
        </w:trPr>
        <w:tc>
          <w:tcPr>
            <w:tcW w:w="1570" w:type="dxa"/>
          </w:tcPr>
          <w:p w14:paraId="6EB430F6" w14:textId="77777777" w:rsidR="00B601B4" w:rsidRDefault="00611418">
            <w:pPr>
              <w:pStyle w:val="TableParagraph"/>
              <w:rPr>
                <w:sz w:val="21"/>
              </w:rPr>
            </w:pPr>
            <w:r>
              <w:rPr>
                <w:w w:val="102"/>
                <w:sz w:val="21"/>
              </w:rPr>
              <w:t>5</w:t>
            </w:r>
          </w:p>
        </w:tc>
        <w:tc>
          <w:tcPr>
            <w:tcW w:w="7392" w:type="dxa"/>
          </w:tcPr>
          <w:p w14:paraId="11C74063" w14:textId="51C2F33D" w:rsidR="00B601B4" w:rsidRDefault="00D3551A">
            <w:pPr>
              <w:pStyle w:val="TableParagraph"/>
              <w:ind w:left="1433" w:right="1431"/>
              <w:rPr>
                <w:sz w:val="21"/>
              </w:rPr>
            </w:pPr>
            <w:r>
              <w:rPr>
                <w:w w:val="105"/>
                <w:sz w:val="21"/>
              </w:rPr>
              <w:t>Volatility Smile and Barrier Options</w:t>
            </w:r>
          </w:p>
        </w:tc>
      </w:tr>
      <w:tr w:rsidR="00B601B4" w14:paraId="7438A026" w14:textId="77777777">
        <w:trPr>
          <w:trHeight w:val="455"/>
        </w:trPr>
        <w:tc>
          <w:tcPr>
            <w:tcW w:w="1570" w:type="dxa"/>
          </w:tcPr>
          <w:p w14:paraId="591D519F" w14:textId="77777777" w:rsidR="00B601B4" w:rsidRDefault="00611418">
            <w:pPr>
              <w:pStyle w:val="TableParagraph"/>
              <w:rPr>
                <w:sz w:val="21"/>
              </w:rPr>
            </w:pPr>
            <w:r>
              <w:rPr>
                <w:w w:val="102"/>
                <w:sz w:val="21"/>
              </w:rPr>
              <w:t>6</w:t>
            </w:r>
          </w:p>
        </w:tc>
        <w:tc>
          <w:tcPr>
            <w:tcW w:w="7392" w:type="dxa"/>
          </w:tcPr>
          <w:p w14:paraId="54D115A8" w14:textId="356DF906" w:rsidR="00B601B4" w:rsidRDefault="00D3551A">
            <w:pPr>
              <w:pStyle w:val="TableParagraph"/>
              <w:ind w:left="1433" w:right="1431"/>
              <w:rPr>
                <w:sz w:val="21"/>
              </w:rPr>
            </w:pPr>
            <w:r>
              <w:rPr>
                <w:w w:val="105"/>
                <w:sz w:val="21"/>
              </w:rPr>
              <w:t>More on Option Pricings</w:t>
            </w:r>
          </w:p>
        </w:tc>
        <w:bookmarkStart w:id="0" w:name="_GoBack"/>
        <w:bookmarkEnd w:id="0"/>
      </w:tr>
      <w:tr w:rsidR="00B601B4" w14:paraId="5B8A55F1" w14:textId="77777777">
        <w:trPr>
          <w:trHeight w:val="450"/>
        </w:trPr>
        <w:tc>
          <w:tcPr>
            <w:tcW w:w="1570" w:type="dxa"/>
          </w:tcPr>
          <w:p w14:paraId="3B64D501" w14:textId="77777777" w:rsidR="00B601B4" w:rsidRDefault="00611418">
            <w:pPr>
              <w:pStyle w:val="TableParagraph"/>
              <w:rPr>
                <w:sz w:val="21"/>
              </w:rPr>
            </w:pPr>
            <w:r>
              <w:rPr>
                <w:w w:val="102"/>
                <w:sz w:val="21"/>
              </w:rPr>
              <w:t>7</w:t>
            </w:r>
          </w:p>
        </w:tc>
        <w:tc>
          <w:tcPr>
            <w:tcW w:w="7392" w:type="dxa"/>
          </w:tcPr>
          <w:p w14:paraId="264C634D" w14:textId="53671DD0" w:rsidR="00B601B4" w:rsidRDefault="00D3551A">
            <w:pPr>
              <w:pStyle w:val="TableParagraph"/>
              <w:ind w:left="1433" w:right="1431"/>
              <w:rPr>
                <w:sz w:val="21"/>
              </w:rPr>
            </w:pPr>
            <w:r>
              <w:rPr>
                <w:w w:val="105"/>
                <w:sz w:val="21"/>
              </w:rPr>
              <w:t>Structur</w:t>
            </w:r>
            <w:r>
              <w:rPr>
                <w:w w:val="105"/>
                <w:sz w:val="21"/>
              </w:rPr>
              <w:t>e Products</w:t>
            </w:r>
          </w:p>
        </w:tc>
      </w:tr>
      <w:tr w:rsidR="00B601B4" w14:paraId="79E3247B" w14:textId="77777777">
        <w:trPr>
          <w:trHeight w:val="455"/>
        </w:trPr>
        <w:tc>
          <w:tcPr>
            <w:tcW w:w="1570" w:type="dxa"/>
          </w:tcPr>
          <w:p w14:paraId="650FD7A3" w14:textId="77777777" w:rsidR="00B601B4" w:rsidRDefault="00611418">
            <w:pPr>
              <w:pStyle w:val="TableParagraph"/>
              <w:rPr>
                <w:sz w:val="21"/>
              </w:rPr>
            </w:pPr>
            <w:r>
              <w:rPr>
                <w:w w:val="102"/>
                <w:sz w:val="21"/>
              </w:rPr>
              <w:t>8</w:t>
            </w:r>
          </w:p>
        </w:tc>
        <w:tc>
          <w:tcPr>
            <w:tcW w:w="7392" w:type="dxa"/>
          </w:tcPr>
          <w:p w14:paraId="2BD0874B" w14:textId="38B92F91" w:rsidR="00B601B4" w:rsidRDefault="00D3551A">
            <w:pPr>
              <w:pStyle w:val="TableParagraph"/>
              <w:ind w:left="1433" w:right="1429"/>
              <w:rPr>
                <w:sz w:val="21"/>
              </w:rPr>
            </w:pPr>
            <w:r>
              <w:rPr>
                <w:sz w:val="21"/>
              </w:rPr>
              <w:t>Revision</w:t>
            </w:r>
          </w:p>
        </w:tc>
      </w:tr>
    </w:tbl>
    <w:p w14:paraId="19FB7387" w14:textId="77777777" w:rsidR="00611418" w:rsidRDefault="00611418"/>
    <w:sectPr w:rsidR="00611418">
      <w:pgSz w:w="11900" w:h="16840"/>
      <w:pgMar w:top="2360" w:right="1320" w:bottom="280" w:left="1280" w:header="10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B36DF" w14:textId="77777777" w:rsidR="008C0ED8" w:rsidRDefault="008C0ED8">
      <w:r>
        <w:separator/>
      </w:r>
    </w:p>
  </w:endnote>
  <w:endnote w:type="continuationSeparator" w:id="0">
    <w:p w14:paraId="3A9B5D31" w14:textId="77777777" w:rsidR="008C0ED8" w:rsidRDefault="008C0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ADFA9" w14:textId="77777777" w:rsidR="008C0ED8" w:rsidRDefault="008C0ED8">
      <w:r>
        <w:separator/>
      </w:r>
    </w:p>
  </w:footnote>
  <w:footnote w:type="continuationSeparator" w:id="0">
    <w:p w14:paraId="72CB764D" w14:textId="77777777" w:rsidR="008C0ED8" w:rsidRDefault="008C0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12F87" w14:textId="77777777" w:rsidR="00B601B4" w:rsidRDefault="00611418">
    <w:pPr>
      <w:pStyle w:val="BodyText"/>
      <w:spacing w:line="14" w:lineRule="auto"/>
      <w:rPr>
        <w:sz w:val="20"/>
      </w:rPr>
    </w:pPr>
    <w:r>
      <w:rPr>
        <w:noProof/>
      </w:rPr>
      <w:drawing>
        <wp:anchor distT="0" distB="0" distL="0" distR="0" simplePos="0" relativeHeight="251657216" behindDoc="1" locked="0" layoutInCell="1" allowOverlap="1" wp14:anchorId="6AAB9745" wp14:editId="53D73231">
          <wp:simplePos x="0" y="0"/>
          <wp:positionH relativeFrom="page">
            <wp:posOffset>1015491</wp:posOffset>
          </wp:positionH>
          <wp:positionV relativeFrom="page">
            <wp:posOffset>651387</wp:posOffset>
          </wp:positionV>
          <wp:extent cx="1684866" cy="857680"/>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684866" cy="857680"/>
                  </a:xfrm>
                  <a:prstGeom prst="rect">
                    <a:avLst/>
                  </a:prstGeom>
                </pic:spPr>
              </pic:pic>
            </a:graphicData>
          </a:graphic>
        </wp:anchor>
      </w:drawing>
    </w:r>
    <w:r w:rsidR="008C0ED8">
      <w:pict w14:anchorId="01AD72DF">
        <v:shapetype id="_x0000_t202" coordsize="21600,21600" o:spt="202" path="m,l,21600r21600,l21600,xe">
          <v:stroke joinstyle="miter"/>
          <v:path gradientshapeok="t" o:connecttype="rect"/>
        </v:shapetype>
        <v:shape id="_x0000_s2049" type="#_x0000_t202" style="position:absolute;margin-left:238.95pt;margin-top:60.95pt;width:278.65pt;height:21.35pt;z-index:-251658240;mso-position-horizontal-relative:page;mso-position-vertical-relative:page" filled="f" stroked="f">
          <v:textbox style="mso-next-textbox:#_x0000_s2049" inset="0,0,0,0">
            <w:txbxContent>
              <w:p w14:paraId="761C8C28" w14:textId="77777777" w:rsidR="00B601B4" w:rsidRDefault="00611418">
                <w:pPr>
                  <w:spacing w:before="26"/>
                  <w:ind w:left="20"/>
                  <w:rPr>
                    <w:b/>
                    <w:sz w:val="31"/>
                  </w:rPr>
                </w:pPr>
                <w:r>
                  <w:rPr>
                    <w:b/>
                    <w:sz w:val="31"/>
                  </w:rPr>
                  <w:t>Master of Science in Quantitative Finance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C5D41"/>
    <w:multiLevelType w:val="hybridMultilevel"/>
    <w:tmpl w:val="AFA03DAC"/>
    <w:lvl w:ilvl="0" w:tplc="4809000F">
      <w:start w:val="1"/>
      <w:numFmt w:val="decimal"/>
      <w:lvlText w:val="%1."/>
      <w:lvlJc w:val="left"/>
      <w:pPr>
        <w:ind w:left="880" w:hanging="360"/>
      </w:pPr>
    </w:lvl>
    <w:lvl w:ilvl="1" w:tplc="48090019" w:tentative="1">
      <w:start w:val="1"/>
      <w:numFmt w:val="lowerLetter"/>
      <w:lvlText w:val="%2."/>
      <w:lvlJc w:val="left"/>
      <w:pPr>
        <w:ind w:left="1600" w:hanging="360"/>
      </w:pPr>
    </w:lvl>
    <w:lvl w:ilvl="2" w:tplc="4809001B" w:tentative="1">
      <w:start w:val="1"/>
      <w:numFmt w:val="lowerRoman"/>
      <w:lvlText w:val="%3."/>
      <w:lvlJc w:val="right"/>
      <w:pPr>
        <w:ind w:left="2320" w:hanging="180"/>
      </w:pPr>
    </w:lvl>
    <w:lvl w:ilvl="3" w:tplc="4809000F" w:tentative="1">
      <w:start w:val="1"/>
      <w:numFmt w:val="decimal"/>
      <w:lvlText w:val="%4."/>
      <w:lvlJc w:val="left"/>
      <w:pPr>
        <w:ind w:left="3040" w:hanging="360"/>
      </w:pPr>
    </w:lvl>
    <w:lvl w:ilvl="4" w:tplc="48090019" w:tentative="1">
      <w:start w:val="1"/>
      <w:numFmt w:val="lowerLetter"/>
      <w:lvlText w:val="%5."/>
      <w:lvlJc w:val="left"/>
      <w:pPr>
        <w:ind w:left="3760" w:hanging="360"/>
      </w:pPr>
    </w:lvl>
    <w:lvl w:ilvl="5" w:tplc="4809001B" w:tentative="1">
      <w:start w:val="1"/>
      <w:numFmt w:val="lowerRoman"/>
      <w:lvlText w:val="%6."/>
      <w:lvlJc w:val="right"/>
      <w:pPr>
        <w:ind w:left="4480" w:hanging="180"/>
      </w:pPr>
    </w:lvl>
    <w:lvl w:ilvl="6" w:tplc="4809000F" w:tentative="1">
      <w:start w:val="1"/>
      <w:numFmt w:val="decimal"/>
      <w:lvlText w:val="%7."/>
      <w:lvlJc w:val="left"/>
      <w:pPr>
        <w:ind w:left="5200" w:hanging="360"/>
      </w:pPr>
    </w:lvl>
    <w:lvl w:ilvl="7" w:tplc="48090019" w:tentative="1">
      <w:start w:val="1"/>
      <w:numFmt w:val="lowerLetter"/>
      <w:lvlText w:val="%8."/>
      <w:lvlJc w:val="left"/>
      <w:pPr>
        <w:ind w:left="5920" w:hanging="360"/>
      </w:pPr>
    </w:lvl>
    <w:lvl w:ilvl="8" w:tplc="4809001B" w:tentative="1">
      <w:start w:val="1"/>
      <w:numFmt w:val="lowerRoman"/>
      <w:lvlText w:val="%9."/>
      <w:lvlJc w:val="right"/>
      <w:pPr>
        <w:ind w:left="6640" w:hanging="180"/>
      </w:pPr>
    </w:lvl>
  </w:abstractNum>
  <w:abstractNum w:abstractNumId="1" w15:restartNumberingAfterBreak="0">
    <w:nsid w:val="679C1E7D"/>
    <w:multiLevelType w:val="hybridMultilevel"/>
    <w:tmpl w:val="B6846C12"/>
    <w:lvl w:ilvl="0" w:tplc="899454D6">
      <w:numFmt w:val="bullet"/>
      <w:lvlText w:val=""/>
      <w:lvlJc w:val="left"/>
      <w:pPr>
        <w:ind w:left="520" w:hanging="360"/>
      </w:pPr>
      <w:rPr>
        <w:rFonts w:ascii="Symbol" w:eastAsia="Symbol" w:hAnsi="Symbol" w:cs="Symbol" w:hint="default"/>
        <w:w w:val="102"/>
        <w:sz w:val="21"/>
        <w:szCs w:val="21"/>
      </w:rPr>
    </w:lvl>
    <w:lvl w:ilvl="1" w:tplc="0678ADBE">
      <w:numFmt w:val="bullet"/>
      <w:lvlText w:val="•"/>
      <w:lvlJc w:val="left"/>
      <w:pPr>
        <w:ind w:left="1398" w:hanging="360"/>
      </w:pPr>
      <w:rPr>
        <w:rFonts w:hint="default"/>
      </w:rPr>
    </w:lvl>
    <w:lvl w:ilvl="2" w:tplc="C0C256E0">
      <w:numFmt w:val="bullet"/>
      <w:lvlText w:val="•"/>
      <w:lvlJc w:val="left"/>
      <w:pPr>
        <w:ind w:left="2276" w:hanging="360"/>
      </w:pPr>
      <w:rPr>
        <w:rFonts w:hint="default"/>
      </w:rPr>
    </w:lvl>
    <w:lvl w:ilvl="3" w:tplc="3B4680B4">
      <w:numFmt w:val="bullet"/>
      <w:lvlText w:val="•"/>
      <w:lvlJc w:val="left"/>
      <w:pPr>
        <w:ind w:left="3154" w:hanging="360"/>
      </w:pPr>
      <w:rPr>
        <w:rFonts w:hint="default"/>
      </w:rPr>
    </w:lvl>
    <w:lvl w:ilvl="4" w:tplc="E28CD654">
      <w:numFmt w:val="bullet"/>
      <w:lvlText w:val="•"/>
      <w:lvlJc w:val="left"/>
      <w:pPr>
        <w:ind w:left="4032" w:hanging="360"/>
      </w:pPr>
      <w:rPr>
        <w:rFonts w:hint="default"/>
      </w:rPr>
    </w:lvl>
    <w:lvl w:ilvl="5" w:tplc="E8746454">
      <w:numFmt w:val="bullet"/>
      <w:lvlText w:val="•"/>
      <w:lvlJc w:val="left"/>
      <w:pPr>
        <w:ind w:left="4910" w:hanging="360"/>
      </w:pPr>
      <w:rPr>
        <w:rFonts w:hint="default"/>
      </w:rPr>
    </w:lvl>
    <w:lvl w:ilvl="6" w:tplc="441082C4">
      <w:numFmt w:val="bullet"/>
      <w:lvlText w:val="•"/>
      <w:lvlJc w:val="left"/>
      <w:pPr>
        <w:ind w:left="5788" w:hanging="360"/>
      </w:pPr>
      <w:rPr>
        <w:rFonts w:hint="default"/>
      </w:rPr>
    </w:lvl>
    <w:lvl w:ilvl="7" w:tplc="39062622">
      <w:numFmt w:val="bullet"/>
      <w:lvlText w:val="•"/>
      <w:lvlJc w:val="left"/>
      <w:pPr>
        <w:ind w:left="6666" w:hanging="360"/>
      </w:pPr>
      <w:rPr>
        <w:rFonts w:hint="default"/>
      </w:rPr>
    </w:lvl>
    <w:lvl w:ilvl="8" w:tplc="6BE23976">
      <w:numFmt w:val="bullet"/>
      <w:lvlText w:val="•"/>
      <w:lvlJc w:val="left"/>
      <w:pPr>
        <w:ind w:left="7544"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601B4"/>
    <w:rsid w:val="006050B7"/>
    <w:rsid w:val="00611418"/>
    <w:rsid w:val="008C0ED8"/>
    <w:rsid w:val="00AE0866"/>
    <w:rsid w:val="00B601B4"/>
    <w:rsid w:val="00B71640"/>
    <w:rsid w:val="00D3077D"/>
    <w:rsid w:val="00D3551A"/>
    <w:rsid w:val="00D60270"/>
    <w:rsid w:val="00D94FF7"/>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E43D44"/>
  <w15:docId w15:val="{CBC6D2B5-99B9-49BF-ABF3-C3FDEA7C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60"/>
      <w:outlineLvl w:val="0"/>
    </w:pPr>
    <w:rPr>
      <w:b/>
      <w:bCs/>
      <w:sz w:val="24"/>
      <w:szCs w:val="24"/>
    </w:rPr>
  </w:style>
  <w:style w:type="paragraph" w:styleId="Heading2">
    <w:name w:val="heading 2"/>
    <w:basedOn w:val="Normal"/>
    <w:uiPriority w:val="1"/>
    <w:qFormat/>
    <w:pPr>
      <w:ind w:left="160"/>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1"/>
      <w:ind w:left="520" w:hanging="360"/>
    </w:pPr>
  </w:style>
  <w:style w:type="paragraph" w:customStyle="1" w:styleId="TableParagraph">
    <w:name w:val="Table Paragraph"/>
    <w:basedOn w:val="Normal"/>
    <w:uiPriority w:val="1"/>
    <w:qFormat/>
    <w:pPr>
      <w:spacing w:before="97"/>
      <w:ind w:left="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wmwang@smu.edu.s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muscd.org/resourc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QF602_Derivatives_AY2017.docx</dc:title>
  <cp:lastModifiedBy>Harry Lo</cp:lastModifiedBy>
  <cp:revision>6</cp:revision>
  <dcterms:created xsi:type="dcterms:W3CDTF">2018-01-05T03:55:00Z</dcterms:created>
  <dcterms:modified xsi:type="dcterms:W3CDTF">2018-12-13T16:17:00Z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2017-10-12T00:00:00Z</vt:filetime>
  </property>
  <property fmtid="{D5CDD505-2E9C-101B-9397-08002B2CF9AE}" pid="3" name="Creator">
    <vt:lpwstr>Word</vt:lpwstr>
  </property>
  <property fmtid="{D5CDD505-2E9C-101B-9397-08002B2CF9AE}" pid="4" name="LastSaved">
    <vt:filetime>2018-01-05T00:00:00Z</vt:filetime>
  </property>
</Properties>
</file>