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drawing>
          <wp:anchor distT="0" distB="0" distL="0" distR="0" simplePos="0" allowOverlap="1" behindDoc="1" locked="0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cs="Malgun Gothic" w:eastAsia="Malgun Gothic" w:hAnsi="Malgun Gothic"/>
          <w:color w:val="D9DEF5"/>
          <w:sz w:val="20"/>
          <w:szCs w:val="20"/>
        </w:rPr>
        <w:t xml:space="preserve">유망시장 발굴 리포트</w:t>
      </w:r>
    </w:p>
    <w:p>
      <w:pPr>
        <w:spacing w:before="320"/>
      </w:pPr>
      <w:r>
        <w:rPr>
          <w:rFonts w:ascii="Malgun Gothic" w:cs="Malgun Gothic" w:eastAsia="Malgun Gothic" w:hAnsi="Malgun Gothic"/>
          <w:b/>
          <w:bCs/>
          <w:color w:val="FFFFFF"/>
          <w:sz w:val="60"/>
          <w:szCs w:val="60"/>
        </w:rPr>
        <w:t xml:space="preserve">BLUE</w:t>
      </w:r>
    </w:p>
    <w:p>
      <w:pPr>
        <w:spacing w:before="40"/>
      </w:pPr>
      <w:r>
        <w:rPr>
          <w:rFonts w:ascii="Malgun Gothic" w:cs="Malgun Gothic" w:eastAsia="Malgun Gothic" w:hAnsi="Malgun Gothic"/>
          <w:b/>
          <w:bCs/>
          <w:color w:val="FFFFFF"/>
          <w:sz w:val="60"/>
          <w:szCs w:val="60"/>
        </w:rPr>
        <w:t xml:space="preserve">OCEAN</w:t>
      </w:r>
    </w:p>
    <w:p>
      <w:pPr>
        <w:pBdr>
          <w:bottom w:val="single" w:color="8892D6" w:sz="4" w:space="10"/>
        </w:pBdr>
        <w:spacing w:before="40"/>
      </w:pPr>
      <w:r>
        <w:rPr>
          <w:rFonts w:ascii="Malgun Gothic" w:cs="Malgun Gothic" w:eastAsia="Malgun Gothic" w:hAnsi="Malgun Gothic"/>
          <w:b/>
          <w:bCs/>
          <w:color w:val="FFFFFF"/>
          <w:sz w:val="60"/>
          <w:szCs w:val="60"/>
        </w:rPr>
        <w:t xml:space="preserve">REPORT</w:t>
      </w:r>
    </w:p>
    <w:p>
      <w:pPr>
        <w:spacing w:before="200"/>
      </w:pPr>
      <w:r>
        <w:rPr>
          <w:rFonts w:ascii="Malgun Gothic" w:cs="Malgun Gothic" w:eastAsia="Malgun Gothic" w:hAnsi="Malgun Gothic"/>
          <w:color w:val="C7CDEF"/>
          <w:sz w:val="19"/>
          <w:szCs w:val="19"/>
        </w:rPr>
        <w:t xml:space="preserve">무역 통계 데이터 기반 유망 시장 분석 의사결정 브리프</w:t>
      </w:r>
    </w:p>
    <w:p>
      <w:pPr>
        <w:spacing w:before="920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KITA AX 마스터즈</w:t>
      </w:r>
    </w:p>
    <w:p>
      <w:pPr>
        <w:sectPr>
          <w:pgSz w:w="11906" w:h="16838" w:orient="portrait"/>
          <w:pgMar w:top="900" w:right="800" w:bottom="900" w:left="800" w:header="0" w:footer="0" w:gutter="0"/>
          <w:pgNumType/>
          <w:docGrid w:linePitch="360"/>
        </w:sectPr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E2550"/>
          <w:sz w:val="21"/>
          <w:szCs w:val="21"/>
        </w:rPr>
        <w:t xml:space="preserve">문서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EEF0FA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수출 품목</w:t>
            </w:r>
          </w:p>
        </w:tc>
        <w:tc>
          <w:tcPr>
            <w:tcW w:type="dxa" w:w="71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HS 854140 · 태양광 인버터 부품</w:t>
            </w:r>
          </w:p>
        </w:tc>
      </w:tr>
      <w:tr>
        <w:tc>
          <w:tcPr>
            <w:tcW w:type="dxa" w:w="24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추천 국가</w:t>
            </w:r>
          </w:p>
        </w:tc>
        <w:tc>
          <w:tcPr>
            <w:tcW w:type="dxa" w:w="71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예시국 A (Country A)</w:t>
            </w:r>
          </w:p>
        </w:tc>
      </w:tr>
      <w:tr>
        <w:tc>
          <w:tcPr>
            <w:tcW w:type="dxa" w:w="24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EEF0FA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분석 엔진</w:t>
            </w:r>
          </w:p>
        </w:tc>
        <w:tc>
          <w:tcPr>
            <w:tcW w:type="dxa" w:w="71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Blue Ocean Finder Scoring Model (Ver 1.0)</w:t>
            </w:r>
          </w:p>
        </w:tc>
      </w:tr>
      <w:tr>
        <w:tc>
          <w:tcPr>
            <w:tcW w:type="dxa" w:w="24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작성 프로젝트</w:t>
            </w:r>
          </w:p>
        </w:tc>
        <w:tc>
          <w:tcPr>
            <w:tcW w:type="dxa" w:w="71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KITA AX 무역마스터 1차 프로젝트 — Blue Ocean Finder</w:t>
            </w:r>
          </w:p>
        </w:tc>
      </w:tr>
      <w:tr>
        <w:tc>
          <w:tcPr>
            <w:tcW w:type="dxa" w:w="24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EEF0FA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조사 기준일</w:t>
            </w:r>
          </w:p>
        </w:tc>
        <w:tc>
          <w:tcPr>
            <w:tcW w:type="dxa" w:w="71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2026.09</w:t>
            </w:r>
          </w:p>
        </w:tc>
      </w:tr>
      <w:tr>
        <w:tc>
          <w:tcPr>
            <w:tcW w:type="dxa" w:w="24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발행 일자</w:t>
            </w:r>
          </w:p>
        </w:tc>
        <w:tc>
          <w:tcPr>
            <w:tcW w:type="dxa" w:w="71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2026-09-23</w:t>
            </w:r>
          </w:p>
        </w:tc>
      </w:tr>
    </w:tbl>
    <w:p>
      <w:pPr>
        <w:spacing w:after="0" w:before="3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요약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핵심 지표 요약 및 한두 문장 결론</w:t>
            </w:r>
          </w:p>
        </w:tc>
      </w:tr>
    </w:tbl>
    <w:p>
      <w:pPr>
        <w:spacing w:after="180" w:before="2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232C63" w:sz="14"/>
              <w:right w:val="none" w:color="FFFFFF" w:sz="0"/>
            </w:tcBorders>
            <w:shd w:fill="FFFFFF" w:color="auto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A93A3"/>
                <w:sz w:val="16"/>
                <w:szCs w:val="16"/>
              </w:rPr>
              <w:t xml:space="preserve">BLUE OCEAN SCORE</w:t>
            </w:r>
          </w:p>
          <w:p>
            <w:pPr>
              <w:spacing w:before="70"/>
            </w:pPr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30"/>
                <w:szCs w:val="30"/>
              </w:rPr>
              <w:t xml:space="preserve">82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232C63" w:sz="14"/>
              <w:right w:val="none" w:color="FFFFFF" w:sz="0"/>
            </w:tcBorders>
            <w:shd w:fill="FFFFFF" w:color="auto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A93A3"/>
                <w:sz w:val="16"/>
                <w:szCs w:val="16"/>
              </w:rPr>
              <w:t xml:space="preserve">한국 점유율</w:t>
            </w:r>
          </w:p>
          <w:p>
            <w:pPr>
              <w:spacing w:before="70"/>
            </w:pPr>
            <w:r>
              <w:rPr>
                <w:rFonts w:ascii="Malgun Gothic" w:cs="Malgun Gothic" w:eastAsia="Malgun Gothic" w:hAnsi="Malgun Gothic"/>
                <w:b/>
                <w:bCs/>
                <w:color w:val="9A6B12"/>
                <w:sz w:val="30"/>
                <w:szCs w:val="30"/>
              </w:rPr>
              <w:t xml:space="preserve">3.0%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232C63" w:sz="14"/>
              <w:right w:val="none" w:color="FFFFFF" w:sz="0"/>
            </w:tcBorders>
            <w:shd w:fill="FFFFFF" w:color="auto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A93A3"/>
                <w:sz w:val="16"/>
                <w:szCs w:val="16"/>
              </w:rPr>
              <w:t xml:space="preserve">최근 1년 성장률</w:t>
            </w:r>
          </w:p>
          <w:p>
            <w:pPr>
              <w:spacing w:before="70"/>
            </w:pPr>
            <w:r>
              <w:rPr>
                <w:rFonts w:ascii="Malgun Gothic" w:cs="Malgun Gothic" w:eastAsia="Malgun Gothic" w:hAnsi="Malgun Gothic"/>
                <w:b/>
                <w:bCs/>
                <w:color w:val="2E7D4F"/>
                <w:sz w:val="30"/>
                <w:szCs w:val="30"/>
              </w:rPr>
              <w:t xml:space="preserve">+15%</w:t>
            </w:r>
          </w:p>
        </w:tc>
        <w:tc>
          <w:tcPr>
            <w:tcW w:type="dxa" w:w="2375"/>
            <w:tcBorders>
              <w:top w:val="none" w:color="FFFFFF" w:sz="0"/>
              <w:left w:val="none" w:color="FFFFFF" w:sz="0"/>
              <w:bottom w:val="single" w:color="232C63" w:sz="14"/>
              <w:right w:val="none" w:color="FFFFFF" w:sz="0"/>
            </w:tcBorders>
            <w:shd w:fill="FFFFFF" w:color="auto" w:val="clear"/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8A93A3"/>
                <w:sz w:val="16"/>
                <w:szCs w:val="16"/>
              </w:rPr>
              <w:t xml:space="preserve">종합 순위</w:t>
            </w:r>
          </w:p>
          <w:p>
            <w:pPr>
              <w:spacing w:before="70"/>
            </w:pPr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30"/>
                <w:szCs w:val="30"/>
              </w:rPr>
              <w:t xml:space="preserve">3위 / 48개국</w:t>
            </w:r>
          </w:p>
        </w:tc>
      </w:tr>
    </w:tbl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핵심 지표 요약 (예시 데이터) — Blue Ocean Score 산정 기준</w:t>
      </w:r>
    </w:p>
    <w:p>
      <w:pPr>
        <w:spacing w:after="0" w:before="1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3C4998" w:sz="30"/>
              <w:bottom w:val="none" w:color="FFFFFF" w:sz="0"/>
              <w:right w:val="none" w:color="FFFFFF" w:sz="0"/>
            </w:tcBorders>
            <w:shd w:fill="EEF0FA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1"/>
                <w:szCs w:val="21"/>
              </w:rPr>
              <w:t xml:space="preserve">예시국 A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— 최근 3년간 이 시장의 한국산 수입은 </w:t>
            </w:r>
            <w:r>
              <w:rPr>
                <w:rFonts w:ascii="Malgun Gothic" w:cs="Malgun Gothic" w:eastAsia="Malgun Gothic" w:hAnsi="Malgun Gothic"/>
                <w:b/>
                <w:bCs/>
                <w:color w:val="2E7D4F"/>
                <w:sz w:val="21"/>
                <w:szCs w:val="21"/>
              </w:rPr>
              <w:t xml:space="preserve">15% 증가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했지만, 한국의 시장 점유율은 아직 </w:t>
            </w:r>
            <w:r>
              <w:rPr>
                <w:rFonts w:ascii="Malgun Gothic" w:cs="Malgun Gothic" w:eastAsia="Malgun Gothic" w:hAnsi="Malgun Gothic"/>
                <w:b/>
                <w:bCs/>
                <w:color w:val="9A6B12"/>
                <w:sz w:val="21"/>
                <w:szCs w:val="21"/>
              </w:rPr>
              <w:t xml:space="preserve">3%대로 낮은 수준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입니다. 성장 속도에 비해 한국 기업의 진입이 아직 충분히 이뤄지지 않은 시장입니다.</w:t>
            </w:r>
          </w:p>
        </w:tc>
      </w:tr>
    </w:tbl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이 시장을 선택한 이유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데이터 결과 중심의 쉬운 설명 (핵심 근거 3가지)</w:t>
            </w:r>
          </w:p>
        </w:tc>
      </w:tr>
    </w:tbl>
    <w:p>
      <w:pPr>
        <w:spacing w:after="160" w:before="220"/>
      </w:pP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A2E36"/>
          <w:sz w:val="21"/>
          <w:szCs w:val="21"/>
        </w:rPr>
        <w:t xml:space="preserve">데이터가 말해주는 결과는 다음과 같습니다.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A2E36"/>
          <w:sz w:val="21"/>
          <w:szCs w:val="21"/>
        </w:rPr>
        <w:t xml:space="preserve">한국산 제품 수입 증가율이 최근 1년 기준 15%로, 전체 조사 대상국 평균(6%)보다 뚜렷하게 높습니다.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A2E36"/>
          <w:sz w:val="21"/>
          <w:szCs w:val="21"/>
        </w:rPr>
        <w:t xml:space="preserve">반면 한국의 이 시장 점유율은 3%에 그쳐, 한국의 세계 평균 점유율(9%) 대비 낮은 편입니다 — 이 격차가 클수록 "아직 개척되지 않은 여지"가 크다는 뜻입니다.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2A2E36"/>
          <w:sz w:val="21"/>
          <w:szCs w:val="21"/>
        </w:rPr>
        <w:t xml:space="preserve">상위 3개 경쟁국이 시장의 58%를 차지하고 있어 경쟁이 아주 치열한 수준은 아닙니다.</w:t>
      </w:r>
    </w:p>
    <w:p>
      <w:pPr>
        <w:spacing w:after="0" w:before="16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예시국 A 한국산 수입액 추이 (예시 데이터) — 실제 반영 시 UN Comtrade 3개년 수치로 대체</w:t>
      </w:r>
    </w:p>
    <w:p>
      <w:pPr>
        <w:spacing w:after="0" w:before="18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4F5F8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19"/>
                <w:szCs w:val="19"/>
              </w:rPr>
              <w:t xml:space="preserve">▼ </w:t>
            </w:r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19"/>
                <w:szCs w:val="19"/>
              </w:rPr>
              <w:t xml:space="preserve">산출에 사용된 세부 점수와 계산 방식은 [부록 A]에서 확인할 수 있습니다.</w:t>
            </w:r>
          </w:p>
        </w:tc>
      </w:tr>
    </w:tbl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리스크 및 진입장벽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관세·비관세·경쟁강도 항목별 심각도 표시</w:t>
            </w:r>
          </w:p>
        </w:tc>
      </w:tr>
    </w:tbl>
    <w:p>
      <w:pPr>
        <w:spacing w:after="160" w:before="220"/>
      </w:pP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A2E36"/>
          <w:sz w:val="21"/>
          <w:szCs w:val="21"/>
        </w:rPr>
        <w:t xml:space="preserve">아래 리스크는 "진출하지 말라"는 의미가 아니라, 준비 시 감당해야 할 수준을 미리 가늠하기 위한 정보입니다.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리스크 점검 항목</w:t>
            </w:r>
          </w:p>
        </w:tc>
        <w:tc>
          <w:tcPr>
            <w:tcW w:type="dxa" w:w="13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60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 및 대응 관점</w:t>
            </w:r>
          </w:p>
        </w:tc>
      </w:tr>
      <w:tr>
        <w:tc>
          <w:tcPr>
            <w:tcW w:type="dxa" w:w="2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관세 부담</w:t>
            </w:r>
          </w:p>
        </w:tc>
        <w:tc>
          <w:tcPr>
            <w:tcW w:type="dxa" w:w="1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BF1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B12"/>
                <w:sz w:val="21"/>
                <w:szCs w:val="21"/>
              </w:rPr>
              <w:t xml:space="preserve">중</w:t>
            </w:r>
          </w:p>
        </w:tc>
        <w:tc>
          <w:tcPr>
            <w:tcW w:type="dxa" w:w="60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실효관세율 8% — 감당 가능한 수준이나 원가 구조에 반영 필요</w:t>
            </w:r>
          </w:p>
        </w:tc>
      </w:tr>
      <w:tr>
        <w:tc>
          <w:tcPr>
            <w:tcW w:type="dxa" w:w="2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경쟁 강도</w:t>
            </w:r>
          </w:p>
        </w:tc>
        <w:tc>
          <w:tcPr>
            <w:tcW w:type="dxa" w:w="1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E8F3EC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4F"/>
                <w:sz w:val="21"/>
                <w:szCs w:val="21"/>
              </w:rPr>
              <w:t xml:space="preserve">하</w:t>
            </w:r>
          </w:p>
        </w:tc>
        <w:tc>
          <w:tcPr>
            <w:tcW w:type="dxa" w:w="60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상위 3개국 점유율 58% — 독과점 수준은 아니며 신규 진입 여지 있음</w:t>
            </w:r>
          </w:p>
        </w:tc>
      </w:tr>
      <w:tr>
        <w:tc>
          <w:tcPr>
            <w:tcW w:type="dxa" w:w="2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비관세 규제</w:t>
            </w:r>
          </w:p>
        </w:tc>
        <w:tc>
          <w:tcPr>
            <w:tcW w:type="dxa" w:w="1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BF1DA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B12"/>
                <w:sz w:val="21"/>
                <w:szCs w:val="21"/>
              </w:rPr>
              <w:t xml:space="preserve">중</w:t>
            </w:r>
          </w:p>
        </w:tc>
        <w:tc>
          <w:tcPr>
            <w:tcW w:type="dxa" w:w="60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인증·통관 관련 규제 존재 (세부 항목은 별도 확인 필요)</w:t>
            </w:r>
          </w:p>
        </w:tc>
      </w:tr>
    </w:tbl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리스크 심각도 평가 (예시 데이터) — 관세청 API, UN Comtrade 기준</w:t>
      </w:r>
    </w:p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한국 기업 진출 선례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출처 명시 필수</w:t>
            </w:r>
          </w:p>
        </w:tc>
      </w:tr>
    </w:tbl>
    <w:p>
      <w:pPr>
        <w:spacing w:after="160" w:before="220"/>
      </w:pP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A2E36"/>
          <w:sz w:val="21"/>
          <w:szCs w:val="21"/>
        </w:rPr>
        <w:t xml:space="preserve">웹 검색으로 확인된 유사 업종의 진출 사례입니다. 실제 서비스에서는 최신 검색 결과를 반영해 자동 갱신하며, 확인된 사례가 없는 경우 "확인된 진출 사례 없음"으로 명시합니다.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1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기업명</w:t>
            </w:r>
          </w:p>
        </w:tc>
        <w:tc>
          <w:tcPr>
            <w:tcW w:type="dxa" w:w="33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진출 방식</w:t>
            </w:r>
          </w:p>
        </w:tc>
        <w:tc>
          <w:tcPr>
            <w:tcW w:type="dxa" w:w="12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연도</w:t>
            </w:r>
          </w:p>
        </w:tc>
        <w:tc>
          <w:tcPr>
            <w:tcW w:type="dxa" w:w="28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(예시) A전자</w:t>
            </w:r>
          </w:p>
        </w:tc>
        <w:tc>
          <w:tcPr>
            <w:tcW w:type="dxa" w:w="3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현지 유통사와 총판 계약 체결 후 간접 수출</w:t>
            </w:r>
          </w:p>
        </w:tc>
        <w:tc>
          <w:tcPr>
            <w:tcW w:type="dxa" w:w="1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2022</w:t>
            </w:r>
          </w:p>
        </w:tc>
        <w:tc>
          <w:tcPr>
            <w:tcW w:type="dxa" w:w="28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B6472"/>
                <w:sz w:val="20"/>
                <w:szCs w:val="20"/>
              </w:rPr>
              <w:t xml:space="preserve">KOTRA 해외시장뉴스 (예시 링크)</w:t>
            </w:r>
          </w:p>
        </w:tc>
      </w:tr>
      <w:tr>
        <w:tc>
          <w:tcPr>
            <w:tcW w:type="dxa" w:w="2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(예시) B산업</w:t>
            </w:r>
          </w:p>
        </w:tc>
        <w:tc>
          <w:tcPr>
            <w:tcW w:type="dxa" w:w="3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현지 인증 취득 후 직접 수출로 전환</w:t>
            </w:r>
          </w:p>
        </w:tc>
        <w:tc>
          <w:tcPr>
            <w:tcW w:type="dxa" w:w="1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2023</w:t>
            </w:r>
          </w:p>
        </w:tc>
        <w:tc>
          <w:tcPr>
            <w:tcW w:type="dxa" w:w="28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B6472"/>
                <w:sz w:val="20"/>
                <w:szCs w:val="20"/>
              </w:rPr>
              <w:t xml:space="preserve">무역협회 수출입동향 보고서 (예시 링크)</w:t>
            </w:r>
          </w:p>
        </w:tc>
      </w:tr>
    </w:tbl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한국 기업 진출 선례 (예시 데이터) — 각 행의 출처는 실제 연동 시 기사·보고서 링크로 대체</w:t>
      </w:r>
    </w:p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다음 액션 체크리스트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계산된 값 기준의 일반적 3단계 실행 가이드</w:t>
            </w:r>
          </w:p>
        </w:tc>
      </w:tr>
    </w:tbl>
    <w:p>
      <w:pPr>
        <w:spacing w:after="160" w:before="220"/>
      </w:pP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A2E36"/>
          <w:sz w:val="21"/>
          <w:szCs w:val="21"/>
        </w:rPr>
        <w:t xml:space="preserve">바로 시작할 수 있는 3단계입니다.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500"/>
      </w:tblGrid>
      <w:tr>
        <w:tc>
          <w:tcPr>
            <w:tcW w:type="dxa" w:w="1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6"/>
                <w:szCs w:val="26"/>
              </w:rPr>
              <w:t xml:space="preserve">1</w:t>
            </w:r>
            <w:r>
              <w:rPr>
                <w:rFonts w:ascii="Malgun Gothic" w:cs="Malgun Gothic" w:eastAsia="Malgun Gothic" w:hAnsi="Malgun Gothic"/>
                <w:color w:val="8A93A3"/>
                <w:sz w:val="16"/>
                <w:szCs w:val="16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관세율·경쟁국 구도 재확인</w:t>
            </w:r>
          </w:p>
        </w:tc>
        <w:tc>
          <w:tcPr>
            <w:tcW w:type="dxa" w:w="55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본 리포트 수치는 최신 데이터 기준으로 팀 내 재검증 (실효관세율 및 상위 경쟁국 점유율 교차 확인)</w:t>
            </w:r>
          </w:p>
        </w:tc>
      </w:tr>
      <w:tr>
        <w:tc>
          <w:tcPr>
            <w:tcW w:type="dxa" w:w="1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6"/>
                <w:szCs w:val="26"/>
              </w:rPr>
              <w:t xml:space="preserve">2</w:t>
            </w:r>
            <w:r>
              <w:rPr>
                <w:rFonts w:ascii="Malgun Gothic" w:cs="Malgun Gothic" w:eastAsia="Malgun Gothic" w:hAnsi="Malgun Gothic"/>
                <w:color w:val="8A93A3"/>
                <w:sz w:val="16"/>
                <w:szCs w:val="16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현지 유통·규제 요건 조사</w:t>
            </w:r>
          </w:p>
        </w:tc>
        <w:tc>
          <w:tcPr>
            <w:tcW w:type="dxa" w:w="55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관련 협회·KOTRA 무역관을 통해 실제 인증/통관 요건 확인 (비관세 장벽 항목 사전 점검)</w:t>
            </w:r>
          </w:p>
        </w:tc>
      </w:tr>
      <w:tr>
        <w:tc>
          <w:tcPr>
            <w:tcW w:type="dxa" w:w="1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6"/>
                <w:szCs w:val="26"/>
              </w:rPr>
              <w:t xml:space="preserve">3</w:t>
            </w:r>
            <w:r>
              <w:rPr>
                <w:rFonts w:ascii="Malgun Gothic" w:cs="Malgun Gothic" w:eastAsia="Malgun Gothic" w:hAnsi="Malgun Gothic"/>
                <w:color w:val="8A93A3"/>
                <w:sz w:val="16"/>
                <w:szCs w:val="16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소량 샘플 오더 또는 시범 거래 검토</w:t>
            </w:r>
          </w:p>
        </w:tc>
        <w:tc>
          <w:tcPr>
            <w:tcW w:type="dxa" w:w="55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대량 계약 전 소규모로 시장 반응 테스트 (바이어 반응 및 초기 물류 프로세스 점검)</w:t>
            </w:r>
          </w:p>
        </w:tc>
      </w:tr>
    </w:tbl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실행 로드맵 — 무역 데이터 기반 표준 3단계 검증 프로세스</w:t>
      </w:r>
    </w:p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접촉 채널 (참고용)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공개 일반 정보 (참고용 라벨 필수 표기)</w:t>
            </w:r>
          </w:p>
        </w:tc>
      </w:tr>
    </w:tbl>
    <w:p>
      <w:pPr>
        <w:spacing w:after="160" w:before="220"/>
      </w:pPr>
    </w:p>
    <w:p>
      <w:pPr>
        <w:spacing w:after="12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A2E36"/>
          <w:sz w:val="21"/>
          <w:szCs w:val="21"/>
        </w:rPr>
        <w:t xml:space="preserve">아래는 일반적으로 활용되는 시작점이며, 실제 유효 여부는 별도 확인이 필요합니다.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접촉 채널</w:t>
            </w:r>
          </w:p>
        </w:tc>
        <w:tc>
          <w:tcPr>
            <w:tcW w:type="dxa" w:w="67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 (참고용)</w:t>
            </w:r>
          </w:p>
        </w:tc>
      </w:tr>
      <w:tr>
        <w:tc>
          <w:tcPr>
            <w:tcW w:type="dxa" w:w="28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KOTRA 해당 국가 무역관</w:t>
            </w:r>
          </w:p>
        </w:tc>
        <w:tc>
          <w:tcPr>
            <w:tcW w:type="dxa" w:w="67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시장 정보 및 바이어 매칭 지원 문의</w:t>
            </w:r>
          </w:p>
        </w:tc>
      </w:tr>
      <w:tr>
        <w:tc>
          <w:tcPr>
            <w:tcW w:type="dxa" w:w="28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관련 업종 협회·전시회</w:t>
            </w:r>
          </w:p>
        </w:tc>
        <w:tc>
          <w:tcPr>
            <w:tcW w:type="dxa" w:w="67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현지 업계 네트워크 파악</w:t>
            </w:r>
          </w:p>
        </w:tc>
      </w:tr>
      <w:tr>
        <w:tc>
          <w:tcPr>
            <w:tcW w:type="dxa" w:w="28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온라인 B2B 플랫폼</w:t>
            </w:r>
          </w:p>
        </w:tc>
        <w:tc>
          <w:tcPr>
            <w:tcW w:type="dxa" w:w="67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A2E36"/>
                <w:sz w:val="20"/>
                <w:szCs w:val="20"/>
              </w:rPr>
              <w:t xml:space="preserve">Alibaba 등 해당국 주요 조달 플랫폼을 통한 초기 바이어 탐색</w:t>
            </w:r>
          </w:p>
        </w:tc>
      </w:tr>
    </w:tbl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공개 일반 무역 채널 가이드 (참고용 안내)</w:t>
      </w:r>
    </w:p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종합 결론 및 방향성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점수 구간별 등급 + 팀 검토 필수 문구</w:t>
            </w:r>
          </w:p>
        </w:tc>
      </w:tr>
    </w:tbl>
    <w:p>
      <w:pPr>
        <w:spacing w:after="160" w:before="2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cantSplit/>
        </w:trPr>
        <w:tc>
          <w:tcPr>
            <w:tcW w:type="dxa" w:w="9500"/>
            <w:tcBorders>
              <w:top w:val="single" w:color="DCE1E8" w:sz="4"/>
              <w:left w:val="none" w:color="FFFFFF" w:sz="0"/>
              <w:bottom w:val="single" w:color="DCE1E8" w:sz="4"/>
              <w:right w:val="none" w:color="FFFFFF" w:sz="0"/>
            </w:tcBorders>
            <w:shd w:fill="EEF0FA" w:color="auto" w:val="clear"/>
            <w:tcMar>
              <w:top w:type="dxa" w:w="0"/>
              <w:left w:type="dxa" w:w="0"/>
              <w:bottom w:type="dxa" w:w="170"/>
              <w:right w:type="dxa" w:w="0"/>
            </w:tcMar>
          </w:tcPr>
          <w:tbl>
            <w:tblPr>
              <w:tblW w:type="dxa" w:w="9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500"/>
            </w:tblGrid>
            <w:tr>
              <w:tc>
                <w:tcPr>
                  <w:tcW w:type="dxa" w:w="9500"/>
                  <w:shd w:fill="232C63" w:color="auto" w:val="clear"/>
                  <w:tcMar>
                    <w:top w:type="dxa" w:w="110"/>
                    <w:left w:type="dxa" w:w="240"/>
                    <w:bottom w:type="dxa" w:w="110"/>
                    <w:right w:type="dxa" w:w="240"/>
                  </w:tcMar>
                </w:tcPr>
                <w:p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2"/>
                      <w:szCs w:val="22"/>
                    </w:rPr>
                    <w:t xml:space="preserve">종합 판단:  적극 검토 가능</w:t>
                  </w:r>
                </w:p>
              </w:tc>
            </w:tr>
          </w:tbl>
          <w:p>
            <w:pPr>
              <w:spacing w:after="100" w:before="140"/>
              <w:ind w:left="240" w:right="240"/>
            </w:pPr>
            <w:r>
              <w:rPr>
                <w:rFonts w:ascii="Malgun Gothic" w:cs="Malgun Gothic" w:eastAsia="Malgun Gothic" w:hAnsi="Malgun Gothic"/>
                <w:i/>
                <w:iCs/>
                <w:color w:val="5B6472"/>
                <w:sz w:val="18"/>
                <w:szCs w:val="18"/>
              </w:rPr>
              <w:t xml:space="preserve">(Blue Ocean Score 82 · 리스크 대부분 "중" 이하)</w:t>
            </w:r>
          </w:p>
          <w:p>
            <w:pPr>
              <w:spacing w:after="100" w:line="300"/>
              <w:ind w:left="240" w:right="24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성장률(+15%)과 낮은 점유율(3%)의 조합은 이 시장이 아직 한국 기업에게 열려 있다는 신호이며, 확인된 리스크(관세 8%, 비관세장벽)는 진입을 막을 정도가 아니라 준비 과정에서 관리 가능한 수준입니다.</w:t>
            </w:r>
          </w:p>
          <w:p>
            <w:pPr>
              <w:ind w:left="240" w:right="240"/>
            </w:pPr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0"/>
                <w:szCs w:val="20"/>
              </w:rPr>
              <w:t xml:space="preserve">권장 방향: </w:t>
            </w: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"다음 액션 체크리스트"(5번)의 재검증 → 규제 확인 → 소량 샘플 오더 순으로 단계적 접근을 권장합니다. 전면 진입보다는 리스크 확인 후 확대하는 방식이 안전합니다.</w:t>
            </w:r>
          </w:p>
        </w:tc>
      </w:tr>
    </w:tbl>
    <w:p>
      <w:pPr>
        <w:spacing w:after="0" w:before="1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D9A441" w:sz="4"/>
              <w:left w:val="single" w:color="D9A441" w:sz="4"/>
              <w:bottom w:val="single" w:color="D9A441" w:sz="4"/>
              <w:right w:val="single" w:color="D9A441" w:sz="4"/>
            </w:tcBorders>
            <w:shd w:fill="FBF1DA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color w:val="9A6B12"/>
                <w:sz w:val="19"/>
                <w:szCs w:val="19"/>
              </w:rPr>
              <w:t xml:space="preserve">위 판단은 본 리포트에 제시된 데이터(2~3번 항목)만을 근거로 한 요약이며, 최종 진출 결정은 팀 내 추가 검토를 거쳐 확정해야 합니다.</w:t>
            </w:r>
          </w:p>
        </w:tc>
      </w:tr>
    </w:tbl>
    <w:p>
      <w:pPr>
        <w:spacing w:after="0" w:before="26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데이터 한계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리스크와 분리하여 한 줄로만 작성</w:t>
            </w:r>
          </w:p>
        </w:tc>
      </w:tr>
    </w:tbl>
    <w:p>
      <w:pPr>
        <w:spacing w:after="160" w:before="2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4F5F8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line="300"/>
              <w:jc w:val="both"/>
            </w:pPr>
            <w:r>
              <w:rPr>
                <w:rFonts w:ascii="Malgun Gothic" w:cs="Malgun Gothic" w:eastAsia="Malgun Gothic" w:hAnsi="Malgun Gothic"/>
                <w:color w:val="3A3F4B"/>
                <w:sz w:val="20"/>
                <w:szCs w:val="20"/>
              </w:rPr>
              <w:t xml:space="preserve">관세율 데이터는 조사 시점 기준이며, 향후 변경될 수 있습니다. 일부 보조 지표(물류일수 등)는 확보되지 않아 계산에서 제외되었습니다. "한국 기업 진출 선례"는 웹 검색 결과에 의존하므로, 검색되지 않은 사례가 실제로는 존재할 수 있습니다.</w:t>
            </w:r>
          </w:p>
        </w:tc>
      </w:tr>
    </w:tbl>
    <w:p>
      <w:pPr>
        <w:spacing w:after="0" w:before="32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9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shd w:fill="232C63" w:color="auto" w:val="clear"/>
            <w:tcMar>
              <w:top w:type="dxa" w:w="50"/>
              <w:left w:type="dxa" w:w="0"/>
              <w:bottom w:type="dxa" w:w="5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single" w:color="232C63" w:sz="6"/>
              <w:right w:val="none" w:color="FFFFFF" w:sz="0"/>
            </w:tcBorders>
            <w:tcMar>
              <w:top w:type="dxa" w:w="50"/>
              <w:left w:type="dxa" w:w="160"/>
              <w:bottom w:type="dxa" w:w="50"/>
              <w:right w:type="dxa" w:w="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550"/>
                <w:sz w:val="25"/>
                <w:szCs w:val="25"/>
              </w:rPr>
              <w:t xml:space="preserve">산출 근거</w:t>
            </w:r>
            <w:r>
              <w:rPr>
                <w:rFonts w:ascii="Malgun Gothic" w:cs="Malgun Gothic" w:eastAsia="Malgun Gothic" w:hAnsi="Malgun Gothic"/>
                <w:i/>
                <w:iCs/>
                <w:color w:val="8A93A3"/>
                <w:sz w:val="16"/>
                <w:szCs w:val="16"/>
              </w:rPr>
              <w:t xml:space="preserve">   ※ 세부 지표 산식 및 API 출처 명시</w:t>
            </w:r>
          </w:p>
        </w:tc>
      </w:tr>
    </w:tbl>
    <w:p>
      <w:pPr>
        <w:spacing w:after="160" w:before="2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산출 지표</w:t>
            </w:r>
          </w:p>
        </w:tc>
        <w:tc>
          <w:tcPr>
            <w:tcW w:type="dxa" w:w="5300"/>
            <w:tcBorders>
              <w:top w:val="single" w:color="232C63" w:sz="4"/>
              <w:left w:val="single" w:color="232C63" w:sz="4"/>
              <w:bottom w:val="single" w:color="232C63" w:sz="4"/>
              <w:right w:val="single" w:color="232C63" w:sz="4"/>
            </w:tcBorders>
            <w:shd w:fill="232C63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 / 산식</w:t>
            </w:r>
          </w:p>
        </w:tc>
      </w:tr>
      <w:tr>
        <w:tc>
          <w:tcPr>
            <w:tcW w:type="dxa" w:w="4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Market Opportunity Score</w:t>
            </w:r>
          </w:p>
        </w:tc>
        <w:tc>
          <w:tcPr>
            <w:tcW w:type="dxa" w:w="5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85 / 100</w:t>
            </w:r>
          </w:p>
        </w:tc>
      </w:tr>
      <w:tr>
        <w:tc>
          <w:tcPr>
            <w:tcW w:type="dxa" w:w="4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Penetration Opportunity Score</w:t>
            </w:r>
          </w:p>
        </w:tc>
        <w:tc>
          <w:tcPr>
            <w:tcW w:type="dxa" w:w="5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79 / 100</w:t>
            </w:r>
          </w:p>
        </w:tc>
      </w:tr>
      <w:tr>
        <w:tc>
          <w:tcPr>
            <w:tcW w:type="dxa" w:w="4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Blue Ocean Score (기하평균)</w:t>
            </w:r>
          </w:p>
        </w:tc>
        <w:tc>
          <w:tcPr>
            <w:tcW w:type="dxa" w:w="5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82 / 100  (√(85 × 79) ≈ 82)</w:t>
            </w:r>
          </w:p>
        </w:tc>
      </w:tr>
      <w:tr>
        <w:tc>
          <w:tcPr>
            <w:tcW w:type="dxa" w:w="4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Export Gap (글로벌 점유율 − 현지 점유율)</w:t>
            </w:r>
          </w:p>
        </w:tc>
        <w:tc>
          <w:tcPr>
            <w:tcW w:type="dxa" w:w="5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6.0%p</w:t>
            </w:r>
          </w:p>
        </w:tc>
      </w:tr>
      <w:tr>
        <w:tc>
          <w:tcPr>
            <w:tcW w:type="dxa" w:w="4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3년 연평균 성장률 (CAGR)</w:t>
            </w:r>
          </w:p>
        </w:tc>
        <w:tc>
          <w:tcPr>
            <w:tcW w:type="dxa" w:w="5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shd w:fill="F6F7FB" w:color="auto" w:val="clear"/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12.4%</w:t>
            </w:r>
          </w:p>
        </w:tc>
      </w:tr>
      <w:tr>
        <w:tc>
          <w:tcPr>
            <w:tcW w:type="dxa" w:w="42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A2E36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5300"/>
            <w:tcBorders>
              <w:top w:val="single" w:color="DCE1E8" w:sz="4"/>
              <w:left w:val="single" w:color="DCE1E8" w:sz="4"/>
              <w:bottom w:val="single" w:color="DCE1E8" w:sz="4"/>
              <w:right w:val="single" w:color="DCE1E8" w:sz="4"/>
            </w:tcBorders>
            <w:tcMar>
              <w:top w:type="dxa" w:w="110"/>
              <w:left w:type="dxa" w:w="160"/>
              <w:bottom w:type="dxa" w:w="11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32C63"/>
                <w:sz w:val="20"/>
                <w:szCs w:val="20"/>
              </w:rPr>
              <w:t xml:space="preserve">UN Comtrade API, 관세청 API (2026년 기준)</w:t>
            </w:r>
          </w:p>
        </w:tc>
      </w:tr>
    </w:tbl>
    <w:p>
      <w:pPr>
        <w:spacing w:after="0" w:before="70"/>
      </w:pPr>
      <w:r>
        <w:rPr>
          <w:rFonts w:ascii="Malgun Gothic" w:cs="Malgun Gothic" w:eastAsia="Malgun Gothic" w:hAnsi="Malgun Gothic"/>
          <w:b/>
          <w:bCs/>
          <w:i/>
          <w:iCs/>
          <w:color w:val="5B6472"/>
          <w:sz w:val="17"/>
          <w:szCs w:val="17"/>
        </w:rPr>
        <w:t xml:space="preserve">출처: </w:t>
      </w:r>
      <w:r>
        <w:rPr>
          <w:rFonts w:ascii="Malgun Gothic" w:cs="Malgun Gothic" w:eastAsia="Malgun Gothic" w:hAnsi="Malgun Gothic"/>
          <w:i/>
          <w:iCs/>
          <w:color w:val="8A93A3"/>
          <w:sz w:val="17"/>
          <w:szCs w:val="17"/>
        </w:rPr>
        <w:t xml:space="preserve">Blue Ocean Score 세부 산출 근거 (예시 데이터, 표준 산정식)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1E8" w:sz="4" w:space="6"/>
      </w:pBdr>
      <w:tabs>
        <w:tab w:val="right" w:pos="9500"/>
      </w:tabs>
    </w:pPr>
    <w:r>
      <w:rPr>
        <w:rFonts w:ascii="Malgun Gothic" w:cs="Malgun Gothic" w:eastAsia="Malgun Gothic" w:hAnsi="Malgun Gothic"/>
        <w:color w:val="8A93A3"/>
        <w:sz w:val="15"/>
        <w:szCs w:val="15"/>
      </w:rPr>
      <w:t xml:space="preserve">Blue Ocean Finder Scoring Model</w:t>
    </w:r>
    <w:r>
      <w:rPr>
        <w:rFonts w:ascii="Malgun Gothic" w:cs="Malgun Gothic" w:eastAsia="Malgun Gothic" w:hAnsi="Malgun Gothic"/>
        <w:color w:val="8A93A3"/>
        <w:sz w:val="15"/>
        <w:szCs w:val="15"/>
      </w:rPr>
      <w:t xml:space="preserve">	- </w:t>
    </w:r>
    <w:r>
      <w:rPr>
        <w:rFonts w:ascii="Malgun Gothic" w:cs="Malgun Gothic" w:eastAsia="Malgun Gothic" w:hAnsi="Malgun Gothic"/>
        <w:color w:val="8A93A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3A3"/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2C63" w:sz="10" w:space="6"/>
      </w:pBdr>
      <w:tabs>
        <w:tab w:val="right" w:pos="9500"/>
      </w:tabs>
    </w:pPr>
    <w:r>
      <w:rPr>
        <w:rFonts w:ascii="Malgun Gothic" w:cs="Malgun Gothic" w:eastAsia="Malgun Gothic" w:hAnsi="Malgun Gothic"/>
        <w:b/>
        <w:bCs/>
        <w:color w:val="232C63"/>
        <w:sz w:val="16"/>
        <w:szCs w:val="16"/>
      </w:rPr>
      <w:t xml:space="preserve">BLUE OCEAN REPORT</w:t>
    </w:r>
    <w:r>
      <w:rPr>
        <w:rFonts w:ascii="Malgun Gothic" w:cs="Malgun Gothic" w:eastAsia="Malgun Gothic" w:hAnsi="Malgun Gothic"/>
        <w:color w:val="8A93A3"/>
        <w:sz w:val="14"/>
        <w:szCs w:val="14"/>
      </w:rPr>
      <w:t xml:space="preserve">  ·  유망시장 발굴 리포트</w:t>
    </w:r>
    <w:r>
      <w:rPr>
        <w:rFonts w:ascii="Malgun Gothic" w:cs="Malgun Gothic" w:eastAsia="Malgun Gothic" w:hAnsi="Malgun Gothic"/>
        <w:b/>
        <w:bCs/>
        <w:color w:val="5B6472"/>
        <w:sz w:val="14"/>
        <w:szCs w:val="14"/>
      </w:rPr>
      <w:t xml:space="preserve">	KITA AX 마스터즈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343302af8f8654021ce6d33ed3fc0fe2c1b873.png"/><Relationship Id="rId10" Type="http://schemas.openxmlformats.org/officeDocument/2006/relationships/image" Target="media/1c2f7eb5d33e918adefe590c41aff95e9b18200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2026-09-23T05:32:04.234Z</dcterms:created>
  <dcterms:modified xsi:type="dcterms:W3CDTF">2026-09-23T05:32:04.234Z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