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E170C" w14:textId="60D858FF" w:rsidR="000544C5" w:rsidRPr="000544C5" w:rsidRDefault="000544C5" w:rsidP="000544C5">
      <w:pPr>
        <w:jc w:val="center"/>
        <w:rPr>
          <w:rFonts w:asciiTheme="majorHAnsi" w:hAnsiTheme="majorHAnsi" w:cs="Times New Roman"/>
          <w:b/>
          <w:bCs/>
          <w:sz w:val="40"/>
          <w:szCs w:val="40"/>
        </w:rPr>
      </w:pPr>
      <w:r w:rsidRPr="000544C5">
        <w:rPr>
          <w:rFonts w:asciiTheme="majorHAnsi" w:hAnsiTheme="majorHAnsi" w:cs="Times New Roman"/>
          <w:b/>
          <w:bCs/>
          <w:sz w:val="40"/>
          <w:szCs w:val="40"/>
        </w:rPr>
        <w:t>Báo Cáo Phân Tích</w:t>
      </w:r>
    </w:p>
    <w:p w14:paraId="60B40D7D" w14:textId="38E4EC78" w:rsidR="000544C5" w:rsidRPr="00291AA2" w:rsidRDefault="000544C5" w:rsidP="000544C5">
      <w:pPr>
        <w:pStyle w:val="oancuaDanhsach"/>
        <w:numPr>
          <w:ilvl w:val="0"/>
          <w:numId w:val="4"/>
        </w:numPr>
        <w:ind w:left="720"/>
        <w:rPr>
          <w:rFonts w:asciiTheme="majorHAnsi" w:hAnsiTheme="majorHAnsi" w:cs="Times New Roman"/>
          <w:b/>
          <w:bCs/>
          <w:sz w:val="30"/>
          <w:szCs w:val="30"/>
        </w:rPr>
      </w:pPr>
      <w:r w:rsidRPr="00291AA2">
        <w:rPr>
          <w:rFonts w:asciiTheme="majorHAnsi" w:hAnsiTheme="majorHAnsi" w:cs="Times New Roman"/>
          <w:b/>
          <w:bCs/>
          <w:sz w:val="30"/>
          <w:szCs w:val="30"/>
        </w:rPr>
        <w:t>GIỚI THIỆU CÔNG TY</w:t>
      </w:r>
    </w:p>
    <w:p w14:paraId="3A86E19E" w14:textId="77777777" w:rsidR="000544C5" w:rsidRPr="000544C5" w:rsidRDefault="000544C5" w:rsidP="000544C5">
      <w:pPr>
        <w:rPr>
          <w:rFonts w:asciiTheme="majorHAnsi" w:hAnsiTheme="majorHAnsi" w:cs="Times New Roman"/>
          <w:b/>
          <w:bCs/>
        </w:rPr>
      </w:pPr>
      <w:r w:rsidRPr="000544C5">
        <w:rPr>
          <w:rFonts w:asciiTheme="majorHAnsi" w:hAnsiTheme="majorHAnsi" w:cs="Times New Roman"/>
          <w:b/>
          <w:bCs/>
        </w:rPr>
        <w:t>Vị thế công ty</w:t>
      </w:r>
    </w:p>
    <w:p w14:paraId="638A395F" w14:textId="77777777" w:rsidR="000544C5" w:rsidRDefault="000544C5" w:rsidP="000544C5">
      <w:pPr>
        <w:rPr>
          <w:rFonts w:asciiTheme="majorHAnsi" w:hAnsiTheme="majorHAnsi" w:cs="Times New Roman"/>
        </w:rPr>
      </w:pPr>
      <w:r w:rsidRPr="000544C5">
        <w:rPr>
          <w:rFonts w:asciiTheme="majorHAnsi" w:hAnsiTheme="majorHAnsi" w:cs="Times New Roman"/>
        </w:rPr>
        <w:t>Công ty Cổ phần Nước - Môi trường Bình Dương (BWE), có tiền thân là Trung tâm Cấp thủy Bình Dương, được thành lập từ trước năm 1975. Công ty hoạt động chính trong lĩnh vực khai thác, xử lý và cung cấp nước sạch phục vụ sinh hoạt đô thị và công nghiệp. Ngoài ra, BWE cũng tham gia cung cấp dịch vụ thu gom và xử lý rác thải.  Công ty chính thức hoạt động theo mô hình công ty cổ phần từ năm 2016. BWE hiện đang quản lý vận hành các hệ thống cấp nước và nhà máy nước với tổng công suất cấp nước là 480.000 m3/ngày đêm, và công suất xử lý rác thải lên đến 1.000 tấn/ngày. BWE được niêm yết và giao dịch trên Sở Giao dịch Chứng khoán Thành phố Hồ Chí Minh (HOSE) từ tháng 07/2017.</w:t>
      </w:r>
    </w:p>
    <w:p w14:paraId="25DCAD0B" w14:textId="77777777" w:rsidR="000544C5" w:rsidRPr="000544C5" w:rsidRDefault="000544C5" w:rsidP="000544C5">
      <w:pPr>
        <w:rPr>
          <w:rFonts w:asciiTheme="majorHAnsi" w:hAnsiTheme="majorHAnsi" w:cs="Times New Roman"/>
        </w:rPr>
      </w:pPr>
    </w:p>
    <w:p w14:paraId="48C7DC96" w14:textId="77777777" w:rsidR="000544C5" w:rsidRPr="000544C5" w:rsidRDefault="000544C5" w:rsidP="000544C5">
      <w:pPr>
        <w:rPr>
          <w:rFonts w:asciiTheme="majorHAnsi" w:hAnsiTheme="majorHAnsi" w:cs="Times New Roman"/>
          <w:b/>
          <w:bCs/>
        </w:rPr>
      </w:pPr>
      <w:r w:rsidRPr="000544C5">
        <w:rPr>
          <w:rFonts w:asciiTheme="majorHAnsi" w:hAnsiTheme="majorHAnsi" w:cs="Times New Roman"/>
          <w:b/>
          <w:bCs/>
        </w:rPr>
        <w:t>Sản phẩm dịch vụ chính</w:t>
      </w:r>
    </w:p>
    <w:p w14:paraId="36662FA0" w14:textId="77777777" w:rsidR="000544C5" w:rsidRPr="000544C5" w:rsidRDefault="000544C5" w:rsidP="000544C5">
      <w:pPr>
        <w:numPr>
          <w:ilvl w:val="0"/>
          <w:numId w:val="5"/>
        </w:numPr>
        <w:rPr>
          <w:rFonts w:asciiTheme="majorHAnsi" w:hAnsiTheme="majorHAnsi" w:cs="Times New Roman"/>
        </w:rPr>
      </w:pPr>
      <w:r w:rsidRPr="000544C5">
        <w:rPr>
          <w:rFonts w:asciiTheme="majorHAnsi" w:hAnsiTheme="majorHAnsi" w:cs="Times New Roman"/>
        </w:rPr>
        <w:t>Khai thác, xử lý và cung cấp nước sạch;</w:t>
      </w:r>
    </w:p>
    <w:p w14:paraId="093DCB65" w14:textId="77777777" w:rsidR="000544C5" w:rsidRPr="000544C5" w:rsidRDefault="000544C5" w:rsidP="000544C5">
      <w:pPr>
        <w:numPr>
          <w:ilvl w:val="0"/>
          <w:numId w:val="5"/>
        </w:numPr>
        <w:rPr>
          <w:rFonts w:asciiTheme="majorHAnsi" w:hAnsiTheme="majorHAnsi" w:cs="Times New Roman"/>
        </w:rPr>
      </w:pPr>
      <w:r w:rsidRPr="000544C5">
        <w:rPr>
          <w:rFonts w:asciiTheme="majorHAnsi" w:hAnsiTheme="majorHAnsi" w:cs="Times New Roman"/>
        </w:rPr>
        <w:t>Xây lắp hệ thống cấp, thoát nước;</w:t>
      </w:r>
    </w:p>
    <w:p w14:paraId="22B092FF" w14:textId="77777777" w:rsidR="000544C5" w:rsidRPr="000544C5" w:rsidRDefault="000544C5" w:rsidP="000544C5">
      <w:pPr>
        <w:numPr>
          <w:ilvl w:val="0"/>
          <w:numId w:val="5"/>
        </w:numPr>
        <w:rPr>
          <w:rFonts w:asciiTheme="majorHAnsi" w:hAnsiTheme="majorHAnsi" w:cs="Times New Roman"/>
        </w:rPr>
      </w:pPr>
      <w:r w:rsidRPr="000544C5">
        <w:rPr>
          <w:rFonts w:asciiTheme="majorHAnsi" w:hAnsiTheme="majorHAnsi" w:cs="Times New Roman"/>
        </w:rPr>
        <w:t>Thu gom và xử lý rác;</w:t>
      </w:r>
    </w:p>
    <w:p w14:paraId="6B04080B" w14:textId="77777777" w:rsidR="000544C5" w:rsidRPr="000544C5" w:rsidRDefault="000544C5" w:rsidP="000544C5">
      <w:pPr>
        <w:numPr>
          <w:ilvl w:val="0"/>
          <w:numId w:val="5"/>
        </w:numPr>
        <w:rPr>
          <w:rFonts w:asciiTheme="majorHAnsi" w:hAnsiTheme="majorHAnsi" w:cs="Times New Roman"/>
        </w:rPr>
      </w:pPr>
      <w:r w:rsidRPr="000544C5">
        <w:rPr>
          <w:rFonts w:asciiTheme="majorHAnsi" w:hAnsiTheme="majorHAnsi" w:cs="Times New Roman"/>
        </w:rPr>
        <w:t>Thoát nước và xử lý nước thải;</w:t>
      </w:r>
    </w:p>
    <w:p w14:paraId="14B56BCF" w14:textId="77777777" w:rsidR="000544C5" w:rsidRDefault="000544C5" w:rsidP="000544C5">
      <w:pPr>
        <w:numPr>
          <w:ilvl w:val="0"/>
          <w:numId w:val="5"/>
        </w:numPr>
        <w:rPr>
          <w:rFonts w:asciiTheme="majorHAnsi" w:hAnsiTheme="majorHAnsi" w:cs="Times New Roman"/>
        </w:rPr>
      </w:pPr>
      <w:r w:rsidRPr="000544C5">
        <w:rPr>
          <w:rFonts w:asciiTheme="majorHAnsi" w:hAnsiTheme="majorHAnsi" w:cs="Times New Roman"/>
        </w:rPr>
        <w:t>Tái chế phế liệu;</w:t>
      </w:r>
    </w:p>
    <w:p w14:paraId="5B888B98" w14:textId="77777777" w:rsidR="000544C5" w:rsidRPr="000544C5" w:rsidRDefault="000544C5" w:rsidP="000544C5">
      <w:pPr>
        <w:ind w:left="720"/>
        <w:rPr>
          <w:rFonts w:asciiTheme="majorHAnsi" w:hAnsiTheme="majorHAnsi" w:cs="Times New Roman"/>
        </w:rPr>
      </w:pPr>
    </w:p>
    <w:p w14:paraId="0EF5A790" w14:textId="77777777" w:rsidR="000544C5" w:rsidRPr="000544C5" w:rsidRDefault="000544C5" w:rsidP="000544C5">
      <w:pPr>
        <w:rPr>
          <w:rFonts w:asciiTheme="majorHAnsi" w:hAnsiTheme="majorHAnsi" w:cs="Times New Roman"/>
          <w:b/>
          <w:bCs/>
        </w:rPr>
      </w:pPr>
      <w:r w:rsidRPr="000544C5">
        <w:rPr>
          <w:rFonts w:asciiTheme="majorHAnsi" w:hAnsiTheme="majorHAnsi" w:cs="Times New Roman"/>
          <w:b/>
          <w:bCs/>
        </w:rPr>
        <w:t>Chiến lược phát triển và đầu tư</w:t>
      </w:r>
    </w:p>
    <w:p w14:paraId="0129FE1B" w14:textId="77777777" w:rsidR="000544C5" w:rsidRPr="000544C5" w:rsidRDefault="000544C5" w:rsidP="000544C5">
      <w:pPr>
        <w:numPr>
          <w:ilvl w:val="0"/>
          <w:numId w:val="6"/>
        </w:numPr>
        <w:rPr>
          <w:rFonts w:asciiTheme="majorHAnsi" w:hAnsiTheme="majorHAnsi" w:cs="Times New Roman"/>
        </w:rPr>
      </w:pPr>
      <w:r w:rsidRPr="000544C5">
        <w:rPr>
          <w:rFonts w:asciiTheme="majorHAnsi" w:hAnsiTheme="majorHAnsi" w:cs="Times New Roman"/>
        </w:rPr>
        <w:t>Đầu tư phát triển mạng cấp nước về các khu vực chưa có nước máy,  tiếp nhận, nâng cấp mở rộng các dự án cấp nước sạch ở các dự án thuộc các huyện và khu vực lân cận;</w:t>
      </w:r>
    </w:p>
    <w:p w14:paraId="43060D87" w14:textId="77777777" w:rsidR="000544C5" w:rsidRPr="000544C5" w:rsidRDefault="000544C5" w:rsidP="000544C5">
      <w:pPr>
        <w:numPr>
          <w:ilvl w:val="0"/>
          <w:numId w:val="6"/>
        </w:numPr>
        <w:rPr>
          <w:rFonts w:asciiTheme="majorHAnsi" w:hAnsiTheme="majorHAnsi" w:cs="Times New Roman"/>
        </w:rPr>
      </w:pPr>
      <w:r w:rsidRPr="000544C5">
        <w:rPr>
          <w:rFonts w:asciiTheme="majorHAnsi" w:hAnsiTheme="majorHAnsi" w:cs="Times New Roman"/>
        </w:rPr>
        <w:t>Vận hành máy bơm nước và các thiết bị xử lý nước vào giờ thấp điểm có giá điện thấp để dự trữ nước tại các bể chứa, sau đó bơm ra mạng lưới vào giờ cao điểm từ bể chứa hạn chế vận hành trạm bơm cấp 1 vào giờ cao điểm trừ trường hợp thiếu áp phải bơm tăng cường nhằm hạn chế sản lượng điện vào giờ cao điểm có giá điện cao;</w:t>
      </w:r>
    </w:p>
    <w:p w14:paraId="5A41C4F7" w14:textId="77777777" w:rsidR="000544C5" w:rsidRPr="000544C5" w:rsidRDefault="000544C5" w:rsidP="000544C5">
      <w:pPr>
        <w:numPr>
          <w:ilvl w:val="0"/>
          <w:numId w:val="6"/>
        </w:numPr>
        <w:rPr>
          <w:rFonts w:asciiTheme="majorHAnsi" w:hAnsiTheme="majorHAnsi" w:cs="Times New Roman"/>
        </w:rPr>
      </w:pPr>
      <w:r w:rsidRPr="000544C5">
        <w:rPr>
          <w:rFonts w:asciiTheme="majorHAnsi" w:hAnsiTheme="majorHAnsi" w:cs="Times New Roman"/>
        </w:rPr>
        <w:t>Thay thế các máy bơm và các thiết bị điện trong các nhà máy nước có công suất tiêu thụ điện và hao hụt điện lớn bằng máy bơm hao tổn ít điện năng nhằm giảm chi phí tiền điện;</w:t>
      </w:r>
    </w:p>
    <w:p w14:paraId="282E23A1" w14:textId="77777777" w:rsidR="000544C5" w:rsidRPr="000544C5" w:rsidRDefault="000544C5" w:rsidP="000544C5">
      <w:pPr>
        <w:numPr>
          <w:ilvl w:val="0"/>
          <w:numId w:val="6"/>
        </w:numPr>
        <w:rPr>
          <w:rFonts w:asciiTheme="majorHAnsi" w:hAnsiTheme="majorHAnsi" w:cs="Times New Roman"/>
        </w:rPr>
      </w:pPr>
      <w:r w:rsidRPr="000544C5">
        <w:rPr>
          <w:rFonts w:asciiTheme="majorHAnsi" w:hAnsiTheme="majorHAnsi" w:cs="Times New Roman"/>
        </w:rPr>
        <w:lastRenderedPageBreak/>
        <w:t>Tiếp tục ứng dụng các kỹ thuật tiên tiến trong quản lý hệ thống như: hệ thống thông tin địa lý (GIS), phần mềm quản lý khách hàng, tăng cường tuyên truyền cho người dân về ý thức tiết kiệm nước và bảo vệ nguồn nước, phối hợp chặt chẽ với các đơn vị thi công hạ tầng kỹ thuật, giao thông, đô thị nhằm hạn chế thấp nhất thất thoát nước khi thi công;</w:t>
      </w:r>
    </w:p>
    <w:p w14:paraId="0D19A08C" w14:textId="77777777" w:rsidR="000544C5" w:rsidRPr="000544C5" w:rsidRDefault="000544C5" w:rsidP="000544C5">
      <w:pPr>
        <w:rPr>
          <w:rFonts w:asciiTheme="majorHAnsi" w:hAnsiTheme="majorHAnsi" w:cs="Times New Roman"/>
          <w:b/>
          <w:bCs/>
        </w:rPr>
      </w:pPr>
      <w:r w:rsidRPr="000544C5">
        <w:rPr>
          <w:rFonts w:asciiTheme="majorHAnsi" w:hAnsiTheme="majorHAnsi" w:cs="Times New Roman"/>
          <w:b/>
          <w:bCs/>
        </w:rPr>
        <w:t>Rủi ro kinh doanh</w:t>
      </w:r>
    </w:p>
    <w:p w14:paraId="2B30D228" w14:textId="77777777" w:rsidR="000544C5" w:rsidRPr="000544C5" w:rsidRDefault="000544C5" w:rsidP="000544C5">
      <w:pPr>
        <w:numPr>
          <w:ilvl w:val="0"/>
          <w:numId w:val="7"/>
        </w:numPr>
        <w:rPr>
          <w:rFonts w:asciiTheme="majorHAnsi" w:hAnsiTheme="majorHAnsi" w:cs="Times New Roman"/>
        </w:rPr>
      </w:pPr>
      <w:r w:rsidRPr="000544C5">
        <w:rPr>
          <w:rFonts w:asciiTheme="majorHAnsi" w:hAnsiTheme="majorHAnsi" w:cs="Times New Roman"/>
        </w:rPr>
        <w:t>Rủi ro thất thoát nước do tổ chức cá nhân thi công công trình làm bể đường ống nước, đường ống cấp nước cũ kỹ hoặc do khách hàng gian lận trong việc sử dụng nước. Các nguy cơ này làm cho công tác cung cấp nước sạch không được liên tục, lưu lượng, áp lực và chất lượng nước không đảm bảo, ảnh hưởng tới doanh thu của Công ty.</w:t>
      </w:r>
    </w:p>
    <w:p w14:paraId="19DA8AB7" w14:textId="251C7C73" w:rsidR="000544C5" w:rsidRPr="00291AA2" w:rsidRDefault="000544C5" w:rsidP="00291AA2">
      <w:pPr>
        <w:numPr>
          <w:ilvl w:val="0"/>
          <w:numId w:val="7"/>
        </w:numPr>
        <w:rPr>
          <w:rFonts w:asciiTheme="majorHAnsi" w:hAnsiTheme="majorHAnsi" w:cs="Times New Roman"/>
        </w:rPr>
      </w:pPr>
      <w:r w:rsidRPr="000544C5">
        <w:rPr>
          <w:rFonts w:asciiTheme="majorHAnsi" w:hAnsiTheme="majorHAnsi" w:cs="Times New Roman"/>
        </w:rPr>
        <w:t>Ngành kinh doanh nước sạch thuộc lĩnh vực cơ sở hạ tầng nên vốn đầu tư lớn, chủ yếu là nguồn vốn vay ngân hàng, mục tiêu của dự án chủ yếu phục vụ an sinh xã hội nên thời gian thu hồi vốn kéo dài. </w:t>
      </w:r>
    </w:p>
    <w:p w14:paraId="0A63A853" w14:textId="77777777" w:rsidR="000544C5" w:rsidRPr="00291AA2" w:rsidRDefault="000544C5" w:rsidP="000544C5">
      <w:pPr>
        <w:pStyle w:val="oancuaDanhsach"/>
        <w:ind w:left="1080"/>
        <w:rPr>
          <w:rFonts w:asciiTheme="majorHAnsi" w:hAnsiTheme="majorHAnsi" w:cs="Times New Roman"/>
          <w:b/>
          <w:bCs/>
          <w:sz w:val="30"/>
          <w:szCs w:val="30"/>
        </w:rPr>
      </w:pPr>
    </w:p>
    <w:p w14:paraId="394B301F" w14:textId="6DF470D8" w:rsidR="000544C5" w:rsidRPr="00291AA2" w:rsidRDefault="000544C5" w:rsidP="000544C5">
      <w:pPr>
        <w:pStyle w:val="oancuaDanhsach"/>
        <w:numPr>
          <w:ilvl w:val="0"/>
          <w:numId w:val="4"/>
        </w:numPr>
        <w:ind w:left="720"/>
        <w:rPr>
          <w:rFonts w:asciiTheme="majorHAnsi" w:hAnsiTheme="majorHAnsi" w:cs="Times New Roman"/>
          <w:b/>
          <w:bCs/>
          <w:sz w:val="30"/>
          <w:szCs w:val="30"/>
        </w:rPr>
      </w:pPr>
      <w:r w:rsidRPr="00291AA2">
        <w:rPr>
          <w:rFonts w:asciiTheme="majorHAnsi" w:hAnsiTheme="majorHAnsi" w:cs="Times New Roman"/>
          <w:b/>
          <w:bCs/>
          <w:sz w:val="30"/>
          <w:szCs w:val="30"/>
        </w:rPr>
        <w:t>PHÂN TÍCH</w:t>
      </w:r>
    </w:p>
    <w:p w14:paraId="4CE4FC10" w14:textId="77777777" w:rsidR="004B779E" w:rsidRDefault="004B779E" w:rsidP="004B779E">
      <w:pPr>
        <w:pStyle w:val="oancuaDanhsach"/>
        <w:rPr>
          <w:rFonts w:asciiTheme="majorHAnsi" w:hAnsiTheme="majorHAnsi" w:cs="Times New Roman"/>
          <w:b/>
          <w:bCs/>
        </w:rPr>
      </w:pPr>
    </w:p>
    <w:p w14:paraId="57DC9A9A" w14:textId="0B7BCBB1" w:rsidR="000544C5" w:rsidRPr="004B779E" w:rsidRDefault="000544C5" w:rsidP="004B779E">
      <w:pPr>
        <w:pStyle w:val="oancuaDanhsach"/>
        <w:numPr>
          <w:ilvl w:val="0"/>
          <w:numId w:val="9"/>
        </w:numPr>
        <w:ind w:left="360"/>
        <w:rPr>
          <w:rFonts w:asciiTheme="majorHAnsi" w:hAnsiTheme="majorHAnsi" w:cs="Times New Roman"/>
          <w:b/>
          <w:bCs/>
        </w:rPr>
      </w:pPr>
      <w:r w:rsidRPr="004B779E">
        <w:rPr>
          <w:rFonts w:asciiTheme="majorHAnsi" w:hAnsiTheme="majorHAnsi" w:cs="Times New Roman"/>
          <w:b/>
          <w:bCs/>
        </w:rPr>
        <w:t>Nhận định về thị trường</w:t>
      </w:r>
    </w:p>
    <w:p w14:paraId="75EEDDB2" w14:textId="2BF1DC1E" w:rsidR="000544C5" w:rsidRPr="004B779E" w:rsidRDefault="000544C5" w:rsidP="000544C5">
      <w:pPr>
        <w:rPr>
          <w:rFonts w:asciiTheme="majorHAnsi" w:hAnsiTheme="majorHAnsi" w:cs="Times New Roman"/>
        </w:rPr>
      </w:pPr>
      <w:r>
        <w:rPr>
          <w:rFonts w:asciiTheme="majorHAnsi" w:hAnsiTheme="majorHAnsi" w:cs="Times New Roman"/>
        </w:rPr>
        <w:t>Nhìn chung hiện nay sản lượng sản xuất và tiêu thụ nước tiếp tục tăng. Kỳ vọng về việc điều chỉnh giá nước trong quý 4 năm 2024</w:t>
      </w:r>
      <w:r w:rsidR="004B779E">
        <w:rPr>
          <w:rFonts w:asciiTheme="majorHAnsi" w:hAnsiTheme="majorHAnsi" w:cs="Times New Roman"/>
        </w:rPr>
        <w:t>. BWE có công suất cấp và xử lý nước thuộc top 3 trong các doanh nghiệp cấp nước ở Việt Nam. BWE đang tập trung triển khai các dự án nâng công suất nước lên, trong đó công suất nhà máy nước Chơn Thành tăng lên 60.000 m3/ngày đêm, nhà máy Long An tăng công suất lên 180.000 m3/ngày đêm.</w:t>
      </w:r>
    </w:p>
    <w:p w14:paraId="4EADD994" w14:textId="285A5288" w:rsidR="000544C5" w:rsidRPr="004B779E" w:rsidRDefault="000544C5" w:rsidP="004B779E">
      <w:pPr>
        <w:pStyle w:val="oancuaDanhsach"/>
        <w:numPr>
          <w:ilvl w:val="0"/>
          <w:numId w:val="9"/>
        </w:numPr>
        <w:ind w:left="360"/>
        <w:rPr>
          <w:rFonts w:asciiTheme="majorHAnsi" w:hAnsiTheme="majorHAnsi" w:cs="Times New Roman"/>
          <w:b/>
          <w:bCs/>
        </w:rPr>
      </w:pPr>
      <w:r w:rsidRPr="004B779E">
        <w:rPr>
          <w:rFonts w:asciiTheme="majorHAnsi" w:hAnsiTheme="majorHAnsi" w:cs="Times New Roman"/>
          <w:b/>
          <w:bCs/>
        </w:rPr>
        <w:t xml:space="preserve">Phân tích </w:t>
      </w:r>
      <w:r w:rsidRPr="004B779E">
        <w:rPr>
          <w:rFonts w:asciiTheme="majorHAnsi" w:hAnsiTheme="majorHAnsi" w:cs="Times New Roman"/>
          <w:b/>
          <w:bCs/>
        </w:rPr>
        <w:t>sơ bộ</w:t>
      </w:r>
    </w:p>
    <w:p w14:paraId="32E9B3C0" w14:textId="735F3C7B" w:rsidR="000544C5" w:rsidRPr="000544C5" w:rsidRDefault="000544C5" w:rsidP="000544C5">
      <w:pPr>
        <w:rPr>
          <w:rFonts w:asciiTheme="majorHAnsi" w:hAnsiTheme="majorHAnsi" w:cs="Times New Roman"/>
          <w:b/>
          <w:bCs/>
        </w:rPr>
      </w:pPr>
      <w:r w:rsidRPr="000544C5">
        <w:rPr>
          <w:rFonts w:asciiTheme="majorHAnsi" w:hAnsiTheme="majorHAnsi" w:cs="Times New Roman"/>
          <w:b/>
          <w:bCs/>
        </w:rPr>
        <w:drawing>
          <wp:inline distT="0" distB="0" distL="0" distR="0" wp14:anchorId="27A02FB9" wp14:editId="7018C686">
            <wp:extent cx="5943600" cy="2528570"/>
            <wp:effectExtent l="0" t="0" r="0" b="5080"/>
            <wp:docPr id="182801740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7402" name="Hình ảnh 1" descr="Ảnh có chứa văn bản, ảnh chụp màn hình, Phông chữ, số&#10;&#10;Mô tả được tạo tự động"/>
                    <pic:cNvPicPr/>
                  </pic:nvPicPr>
                  <pic:blipFill>
                    <a:blip r:embed="rId6"/>
                    <a:stretch>
                      <a:fillRect/>
                    </a:stretch>
                  </pic:blipFill>
                  <pic:spPr>
                    <a:xfrm>
                      <a:off x="0" y="0"/>
                      <a:ext cx="5943600" cy="2528570"/>
                    </a:xfrm>
                    <a:prstGeom prst="rect">
                      <a:avLst/>
                    </a:prstGeom>
                  </pic:spPr>
                </pic:pic>
              </a:graphicData>
            </a:graphic>
          </wp:inline>
        </w:drawing>
      </w:r>
    </w:p>
    <w:p w14:paraId="57E2BAD3" w14:textId="493711D6" w:rsidR="00A35F28" w:rsidRPr="000544C5" w:rsidRDefault="00A35F28" w:rsidP="00A35F28">
      <w:pPr>
        <w:rPr>
          <w:rFonts w:asciiTheme="majorHAnsi" w:hAnsiTheme="majorHAnsi" w:cs="Times New Roman"/>
        </w:rPr>
      </w:pPr>
      <w:r w:rsidRPr="000544C5">
        <w:rPr>
          <w:rFonts w:asciiTheme="majorHAnsi" w:hAnsiTheme="majorHAnsi" w:cs="Times New Roman"/>
        </w:rPr>
        <w:lastRenderedPageBreak/>
        <w:t xml:space="preserve">Nếu xem xét theo từng năm thì sau 5 năm ta có thể thấy được doanh thu của BWE </w:t>
      </w:r>
      <w:r w:rsidR="00625D2C" w:rsidRPr="000544C5">
        <w:rPr>
          <w:rFonts w:asciiTheme="majorHAnsi" w:hAnsiTheme="majorHAnsi" w:cs="Times New Roman"/>
        </w:rPr>
        <w:t>tăng</w:t>
      </w:r>
      <w:r w:rsidRPr="000544C5">
        <w:rPr>
          <w:rFonts w:asciiTheme="majorHAnsi" w:hAnsiTheme="majorHAnsi" w:cs="Times New Roman"/>
        </w:rPr>
        <w:t xml:space="preserve"> đều 8% 1 năm. Lợi nhuận sau khi trừ đi các chi phí liên quan đến quá trình sản xuất và bán sản phẩm/ dịch vụ từ nguồn doanh thu của doanh nghiệp là 11%. Còn lợi nhuận sau thuế của doanh nghiệp sau năm năm là 9%. So sánh với một doanh nghiệp cùng ngành là BTW - Công ty cấp nước bến thành thì có thể thấy được sau 5 năm cho thấy rang doanh nghiệp đang có mức tang trưởng ổn định và tốt, điều này giúp cho việc thu hút được sự quan tâm của các nhà đầu tư với tỉ lệ chia cổ tức tốt</w:t>
      </w:r>
    </w:p>
    <w:p w14:paraId="0ACA19B5" w14:textId="474C64AA" w:rsidR="00A35F28" w:rsidRPr="000544C5" w:rsidRDefault="00A35F28" w:rsidP="00A35F28">
      <w:pPr>
        <w:rPr>
          <w:rFonts w:asciiTheme="majorHAnsi" w:hAnsiTheme="majorHAnsi" w:cs="Times New Roman"/>
        </w:rPr>
      </w:pPr>
      <w:r w:rsidRPr="000544C5">
        <w:rPr>
          <w:rFonts w:asciiTheme="majorHAnsi" w:hAnsiTheme="majorHAnsi" w:cs="Times New Roman"/>
        </w:rPr>
        <w:t>Xem xét theo từng năm thì có thể thấy được đỉnh của lợi nhuận của BWE sẽ rơi vào năm 2021 điều này cho thấy được công ty đã chống chọi khá tốt khi ở trong mua dịch. Có thể thấy rõ khi so sánh với công ty BTW ngoài ra thì ta còn có thể thấy được là BWE có một lợi thế thương mại khá là cao hơn so với công ty cùng ngành. Tuy nhiên lợi nhuận sau thuế của BWE giảm nhẹ theo tạp chí nước (1) nguyên nhân là do công ty thực hiện hoàn nhập dự phòng giảm giá các khoản đầu tư chính dài hạn kèm theo là biến động của thị trường ngoại tệ khiến cho công ty ghi nhận khoản lỗ do chênh lệch tỷ giá. Ngoài ra thì BTW cũng ghi nhận sự suy giảm lợi nhuận của mình và các doanh nghiệp cùng ngành có thể thấy thị trường ngành nước đang gặp vấn đề phần lớn đến từ việc tăng chi phí như sửa bể, lắp đặt, thay thế đồng hồ nước và thực hiện chống thất thoát nước tăng do khôi phục lại các hoạt động sau đại dịch COVID.</w:t>
      </w:r>
    </w:p>
    <w:p w14:paraId="6C3A5E47" w14:textId="49DD1FA5" w:rsidR="00681534" w:rsidRPr="000544C5" w:rsidRDefault="00681534" w:rsidP="00681534">
      <w:pPr>
        <w:pStyle w:val="oancuaDanhsach"/>
        <w:numPr>
          <w:ilvl w:val="0"/>
          <w:numId w:val="2"/>
        </w:numPr>
        <w:rPr>
          <w:rFonts w:asciiTheme="majorHAnsi" w:hAnsiTheme="majorHAnsi" w:cs="Times New Roman"/>
        </w:rPr>
      </w:pPr>
      <w:r w:rsidRPr="000544C5">
        <w:rPr>
          <w:rFonts w:asciiTheme="majorHAnsi" w:hAnsiTheme="majorHAnsi" w:cs="Times New Roman"/>
        </w:rPr>
        <w:t>Khả năng phát triển ổn định, giảm nhẹ một chút vào năm 2022 và 2023 tuy nhiên đó là tình hình chung của thị trường. Ngoài ra, công ty có lợi thế thương mại cao được nhiều khách hàng tin dùng</w:t>
      </w:r>
    </w:p>
    <w:p w14:paraId="605AD76A" w14:textId="77777777" w:rsidR="000544C5" w:rsidRPr="000544C5" w:rsidRDefault="000544C5" w:rsidP="00A35F28">
      <w:pPr>
        <w:rPr>
          <w:rFonts w:asciiTheme="majorHAnsi" w:hAnsiTheme="majorHAnsi" w:cs="Times New Roman"/>
        </w:rPr>
      </w:pPr>
    </w:p>
    <w:p w14:paraId="7BB004AE" w14:textId="334789D0" w:rsidR="00A35F28" w:rsidRPr="004B779E" w:rsidRDefault="00A35F28" w:rsidP="004B779E">
      <w:pPr>
        <w:pStyle w:val="oancuaDanhsach"/>
        <w:numPr>
          <w:ilvl w:val="0"/>
          <w:numId w:val="9"/>
        </w:numPr>
        <w:ind w:left="360"/>
        <w:rPr>
          <w:rFonts w:asciiTheme="majorHAnsi" w:hAnsiTheme="majorHAnsi" w:cs="Times New Roman"/>
          <w:b/>
          <w:bCs/>
        </w:rPr>
      </w:pPr>
      <w:r w:rsidRPr="004B779E">
        <w:rPr>
          <w:rFonts w:asciiTheme="majorHAnsi" w:hAnsiTheme="majorHAnsi" w:cs="Times New Roman"/>
          <w:b/>
          <w:bCs/>
        </w:rPr>
        <w:t>Phân tích giá trị nội tại của công ty</w:t>
      </w:r>
    </w:p>
    <w:p w14:paraId="62F27621" w14:textId="76888742" w:rsidR="000544C5" w:rsidRDefault="000544C5" w:rsidP="00A35F28">
      <w:pPr>
        <w:rPr>
          <w:rFonts w:asciiTheme="majorHAnsi" w:hAnsiTheme="majorHAnsi" w:cs="Times New Roman"/>
          <w:b/>
          <w:bCs/>
        </w:rPr>
      </w:pPr>
      <w:r>
        <w:rPr>
          <w:noProof/>
        </w:rPr>
        <w:drawing>
          <wp:inline distT="0" distB="0" distL="0" distR="0" wp14:anchorId="6EB9D926" wp14:editId="6ACC6F7A">
            <wp:extent cx="5893254" cy="2713264"/>
            <wp:effectExtent l="0" t="0" r="12700" b="11430"/>
            <wp:docPr id="1689949413" name="Biểu đồ 1">
              <a:extLst xmlns:a="http://schemas.openxmlformats.org/drawingml/2006/main">
                <a:ext uri="{FF2B5EF4-FFF2-40B4-BE49-F238E27FC236}">
                  <a16:creationId xmlns:a16="http://schemas.microsoft.com/office/drawing/2014/main" id="{619E7E16-E6F6-3085-FD50-FAE2C4B1B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8A2A69" w14:textId="031F9829" w:rsidR="000544C5" w:rsidRPr="000544C5" w:rsidRDefault="000544C5" w:rsidP="00A35F28">
      <w:pPr>
        <w:rPr>
          <w:rFonts w:asciiTheme="majorHAnsi" w:hAnsiTheme="majorHAnsi" w:cs="Times New Roman"/>
          <w:b/>
          <w:bCs/>
        </w:rPr>
      </w:pPr>
      <w:r>
        <w:rPr>
          <w:noProof/>
        </w:rPr>
        <w:lastRenderedPageBreak/>
        <w:drawing>
          <wp:inline distT="0" distB="0" distL="0" distR="0" wp14:anchorId="6E1CFF82" wp14:editId="69831B48">
            <wp:extent cx="5919106" cy="2743200"/>
            <wp:effectExtent l="0" t="0" r="5715" b="0"/>
            <wp:docPr id="1611792512" name="Biểu đồ 1">
              <a:extLst xmlns:a="http://schemas.openxmlformats.org/drawingml/2006/main">
                <a:ext uri="{FF2B5EF4-FFF2-40B4-BE49-F238E27FC236}">
                  <a16:creationId xmlns:a16="http://schemas.microsoft.com/office/drawing/2014/main" id="{872755FB-1C85-3A62-42FE-E1967BC5B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EEEC97" w14:textId="77777777" w:rsidR="00681534" w:rsidRPr="000544C5" w:rsidRDefault="00A35F28" w:rsidP="00A35F28">
      <w:pPr>
        <w:rPr>
          <w:rFonts w:asciiTheme="majorHAnsi" w:hAnsiTheme="majorHAnsi" w:cs="Times New Roman"/>
        </w:rPr>
      </w:pPr>
      <w:r w:rsidRPr="000544C5">
        <w:rPr>
          <w:rFonts w:asciiTheme="majorHAnsi" w:hAnsiTheme="majorHAnsi" w:cs="Times New Roman"/>
        </w:rPr>
        <w:t xml:space="preserve">Với tỷ lệ thanh khoản hiện hành ta có thể thấy công ty có thừa khả năng chi trả cho các khoản nợ ngắn hạn. Tỷ lệ thanh khoản nhanh của công ty tăng dần theo từng năm do số lượng hàng tồn kho của công ty tăng </w:t>
      </w:r>
      <w:r w:rsidR="00023D3A" w:rsidRPr="000544C5">
        <w:rPr>
          <w:rFonts w:asciiTheme="majorHAnsi" w:hAnsiTheme="majorHAnsi" w:cs="Times New Roman"/>
        </w:rPr>
        <w:t>và giảm mạnh</w:t>
      </w:r>
      <w:r w:rsidRPr="000544C5">
        <w:rPr>
          <w:rFonts w:asciiTheme="majorHAnsi" w:hAnsiTheme="majorHAnsi" w:cs="Times New Roman"/>
        </w:rPr>
        <w:t xml:space="preserve"> </w:t>
      </w:r>
      <w:r w:rsidR="00023D3A" w:rsidRPr="000544C5">
        <w:rPr>
          <w:rFonts w:asciiTheme="majorHAnsi" w:hAnsiTheme="majorHAnsi" w:cs="Times New Roman"/>
        </w:rPr>
        <w:t>vào năm 2023 có thể thấy vào năm 2023 tỷ lệ thanh khoản của công ty khá tốt. Mặc dù có thể thấy chỉ số của công ty vào năm 2023 khá tốt nhưng khi xét về các khoản nợ thì công ty BWE đang nợ khá nhiều nhà cung cấp. Khi xét về nợ dài hạn trên 1 năm của công ty</w:t>
      </w:r>
      <w:r w:rsidR="00681534" w:rsidRPr="000544C5">
        <w:rPr>
          <w:rFonts w:asciiTheme="majorHAnsi" w:hAnsiTheme="majorHAnsi" w:cs="Times New Roman"/>
        </w:rPr>
        <w:t xml:space="preserve"> với tỷ lệ nợ trên tổng tài sản của công ty đang nằm ở mức trung bình có thể thấy công ty có khả năng trả năng trả nợ về mặt dài hạn khá cao. Nhìn sâu hơn thì công ty có lượng tài sản cố định cao nên công ty có thể dễ dàng thanh lý bớt để trả nợ.</w:t>
      </w:r>
    </w:p>
    <w:p w14:paraId="666D7964" w14:textId="7120B59E" w:rsidR="00A35F28" w:rsidRPr="000544C5" w:rsidRDefault="00681534" w:rsidP="00681534">
      <w:pPr>
        <w:pStyle w:val="oancuaDanhsach"/>
        <w:numPr>
          <w:ilvl w:val="0"/>
          <w:numId w:val="1"/>
        </w:numPr>
        <w:rPr>
          <w:rFonts w:asciiTheme="majorHAnsi" w:hAnsiTheme="majorHAnsi" w:cs="Times New Roman"/>
        </w:rPr>
      </w:pPr>
      <w:r w:rsidRPr="000544C5">
        <w:rPr>
          <w:rFonts w:asciiTheme="majorHAnsi" w:hAnsiTheme="majorHAnsi" w:cs="Times New Roman"/>
        </w:rPr>
        <w:t>Công ty BWE có thể sống tốt ngay cả trong dài hạn lẫn ngắn hạn.</w:t>
      </w:r>
      <w:r w:rsidR="00023D3A" w:rsidRPr="000544C5">
        <w:rPr>
          <w:rFonts w:asciiTheme="majorHAnsi" w:hAnsiTheme="majorHAnsi" w:cs="Times New Roman"/>
        </w:rPr>
        <w:t xml:space="preserve"> </w:t>
      </w:r>
    </w:p>
    <w:p w14:paraId="537DEE73" w14:textId="77777777" w:rsidR="00681534" w:rsidRDefault="00681534" w:rsidP="00681534">
      <w:pPr>
        <w:rPr>
          <w:rFonts w:asciiTheme="majorHAnsi" w:hAnsiTheme="majorHAnsi" w:cs="Times New Roman"/>
        </w:rPr>
      </w:pPr>
    </w:p>
    <w:p w14:paraId="586A9034" w14:textId="79CADEDC" w:rsidR="000544C5" w:rsidRPr="004B779E" w:rsidRDefault="000544C5" w:rsidP="004B779E">
      <w:pPr>
        <w:pStyle w:val="oancuaDanhsach"/>
        <w:numPr>
          <w:ilvl w:val="0"/>
          <w:numId w:val="9"/>
        </w:numPr>
        <w:ind w:left="360"/>
        <w:rPr>
          <w:rFonts w:asciiTheme="majorHAnsi" w:hAnsiTheme="majorHAnsi" w:cs="Times New Roman"/>
          <w:b/>
          <w:bCs/>
        </w:rPr>
      </w:pPr>
      <w:r w:rsidRPr="004B779E">
        <w:rPr>
          <w:rFonts w:asciiTheme="majorHAnsi" w:hAnsiTheme="majorHAnsi" w:cs="Times New Roman"/>
          <w:b/>
          <w:bCs/>
        </w:rPr>
        <w:t>Phân Tích Theo Giá Cổ Phiếu</w:t>
      </w:r>
    </w:p>
    <w:p w14:paraId="1A6BCFED" w14:textId="66166B72" w:rsidR="004B779E" w:rsidRDefault="004B779E" w:rsidP="00681534">
      <w:pPr>
        <w:rPr>
          <w:rFonts w:asciiTheme="majorHAnsi" w:hAnsiTheme="majorHAnsi" w:cs="Times New Roman"/>
        </w:rPr>
      </w:pPr>
      <w:r>
        <w:rPr>
          <w:rFonts w:asciiTheme="majorHAnsi" w:hAnsiTheme="majorHAnsi" w:cs="Times New Roman"/>
        </w:rPr>
        <w:t>Hiện nay mức giá của cổ phiếu BWE đang giao động trong khoảng 46.000 đồng, sẽ giao động trong khoảng 1.28%. Kỳ vọng sẽ tăng lên trong thời gian 1 tháng tới.</w:t>
      </w:r>
    </w:p>
    <w:p w14:paraId="7079803D" w14:textId="005FD3BD" w:rsidR="004B779E" w:rsidRPr="004B779E" w:rsidRDefault="004B779E" w:rsidP="00681534">
      <w:pPr>
        <w:rPr>
          <w:rFonts w:asciiTheme="majorHAnsi" w:hAnsiTheme="majorHAnsi" w:cs="Times New Roman"/>
          <w:b/>
          <w:bCs/>
        </w:rPr>
      </w:pPr>
      <w:r w:rsidRPr="004B779E">
        <w:rPr>
          <w:rFonts w:asciiTheme="majorHAnsi" w:hAnsiTheme="majorHAnsi" w:cs="Times New Roman"/>
          <w:b/>
          <w:bCs/>
        </w:rPr>
        <w:t>Xu hướng trong quá khứ và hiện tại</w:t>
      </w:r>
    </w:p>
    <w:p w14:paraId="519691EE" w14:textId="1AF57A2B" w:rsidR="004B779E" w:rsidRPr="004B779E" w:rsidRDefault="004B779E" w:rsidP="004B779E">
      <w:pPr>
        <w:pStyle w:val="oancuaDanhsach"/>
        <w:numPr>
          <w:ilvl w:val="0"/>
          <w:numId w:val="10"/>
        </w:numPr>
        <w:spacing w:after="0"/>
        <w:rPr>
          <w:rFonts w:asciiTheme="majorHAnsi" w:hAnsiTheme="majorHAnsi" w:cs="Times New Roman"/>
        </w:rPr>
      </w:pPr>
      <w:r w:rsidRPr="004B779E">
        <w:rPr>
          <w:rFonts w:asciiTheme="majorHAnsi" w:hAnsiTheme="majorHAnsi" w:cs="Times New Roman"/>
        </w:rPr>
        <w:t>Từ 2019 đến 2021, giá cổ phiếu có xu hướng dao động nhẹ và ổn định, với một số đợt giảm mạnh (ví dụ: cuối 2019 và 2020) do các yếu tố thị trường như suy thoái hoặc biến động chung.</w:t>
      </w:r>
    </w:p>
    <w:p w14:paraId="18693AE5" w14:textId="565C8ABA" w:rsidR="004B779E" w:rsidRPr="004B779E" w:rsidRDefault="004B779E" w:rsidP="004B779E">
      <w:pPr>
        <w:pStyle w:val="oancuaDanhsach"/>
        <w:numPr>
          <w:ilvl w:val="0"/>
          <w:numId w:val="10"/>
        </w:numPr>
        <w:spacing w:after="0"/>
        <w:rPr>
          <w:rFonts w:asciiTheme="majorHAnsi" w:hAnsiTheme="majorHAnsi" w:cs="Times New Roman"/>
        </w:rPr>
      </w:pPr>
      <w:r w:rsidRPr="004B779E">
        <w:rPr>
          <w:rFonts w:asciiTheme="majorHAnsi" w:hAnsiTheme="majorHAnsi" w:cs="Times New Roman"/>
        </w:rPr>
        <w:t>Từ 2021 đến giữa 2022, giá tăng trưởng mạnh mẽ, đạt đỉnh cao nhất vào giữa 2022, có thể do kết quả hoạt động tốt của công ty hoặc sự phục hồi kinh tế sau đại dịch COVID-19.</w:t>
      </w:r>
    </w:p>
    <w:p w14:paraId="6C7FCD1B" w14:textId="3742E9DF" w:rsidR="004B779E" w:rsidRDefault="004B779E" w:rsidP="004B779E">
      <w:pPr>
        <w:pStyle w:val="oancuaDanhsach"/>
        <w:numPr>
          <w:ilvl w:val="0"/>
          <w:numId w:val="10"/>
        </w:numPr>
        <w:spacing w:after="0"/>
        <w:rPr>
          <w:rFonts w:asciiTheme="majorHAnsi" w:hAnsiTheme="majorHAnsi" w:cs="Times New Roman"/>
        </w:rPr>
      </w:pPr>
      <w:r w:rsidRPr="004B779E">
        <w:rPr>
          <w:rFonts w:asciiTheme="majorHAnsi" w:hAnsiTheme="majorHAnsi" w:cs="Times New Roman"/>
        </w:rPr>
        <w:t>Cuối 2022 đến 2023, giá có xu hướng điều chỉnh giảm dần sau giai đoạn tăng trưởng mạnh, trước khi có dấu hiệu hồi phục trở lại từ 2023.</w:t>
      </w:r>
    </w:p>
    <w:p w14:paraId="28668ED2" w14:textId="77777777" w:rsidR="004B779E" w:rsidRDefault="004B779E" w:rsidP="004B779E">
      <w:pPr>
        <w:pStyle w:val="oancuaDanhsach"/>
        <w:spacing w:after="0"/>
        <w:rPr>
          <w:rFonts w:asciiTheme="majorHAnsi" w:hAnsiTheme="majorHAnsi" w:cs="Times New Roman"/>
        </w:rPr>
      </w:pPr>
    </w:p>
    <w:p w14:paraId="2925CEF0" w14:textId="2E836C6B" w:rsidR="004B779E" w:rsidRDefault="004B779E" w:rsidP="004B779E">
      <w:pPr>
        <w:pStyle w:val="oancuaDanhsach"/>
        <w:spacing w:after="0"/>
        <w:ind w:left="0"/>
        <w:rPr>
          <w:rFonts w:asciiTheme="majorHAnsi" w:hAnsiTheme="majorHAnsi" w:cs="Times New Roman"/>
          <w:b/>
          <w:bCs/>
        </w:rPr>
      </w:pPr>
      <w:r w:rsidRPr="004B779E">
        <w:rPr>
          <w:rFonts w:asciiTheme="majorHAnsi" w:hAnsiTheme="majorHAnsi" w:cs="Times New Roman"/>
          <w:b/>
          <w:bCs/>
        </w:rPr>
        <w:lastRenderedPageBreak/>
        <w:t>Dự báo giá</w:t>
      </w:r>
    </w:p>
    <w:p w14:paraId="40695E6C" w14:textId="5D8A49D9" w:rsidR="00291AA2" w:rsidRDefault="00291AA2" w:rsidP="004B779E">
      <w:pPr>
        <w:pStyle w:val="oancuaDanhsach"/>
        <w:spacing w:after="0"/>
        <w:ind w:left="0"/>
        <w:rPr>
          <w:rFonts w:asciiTheme="majorHAnsi" w:hAnsiTheme="majorHAnsi" w:cs="Times New Roman"/>
        </w:rPr>
      </w:pPr>
      <w:r>
        <w:rPr>
          <w:rFonts w:asciiTheme="majorHAnsi" w:hAnsiTheme="majorHAnsi" w:cs="Times New Roman"/>
        </w:rPr>
        <w:t xml:space="preserve">Sử dụng mô hình Deep Learning để dự báo trend giá dự đoán trong tương lai. Sử dụng mô hình LSTM với độ phù hợp với dự liệu BWE  được lấy trong khoảng từ 20/09/2019 – 20/09/2024 với độ phù hợp mô hình là 92,5% và phần trăm sai số tuyệt đối là 1,26%. Cho thấy mô hình dự báo khá chính xác trên tập dữ liệu thu được. Tuy nhiên với sai ố tuyệt đối trung bình là 512.421 thì có khả năng biến động nhẹ về giá. </w:t>
      </w:r>
    </w:p>
    <w:p w14:paraId="36C35285" w14:textId="77777777" w:rsidR="00291AA2" w:rsidRPr="00291AA2" w:rsidRDefault="00291AA2" w:rsidP="004B779E">
      <w:pPr>
        <w:pStyle w:val="oancuaDanhsach"/>
        <w:spacing w:after="0"/>
        <w:ind w:left="0"/>
        <w:rPr>
          <w:rFonts w:asciiTheme="majorHAnsi" w:hAnsiTheme="majorHAnsi" w:cs="Times New Roman"/>
        </w:rPr>
      </w:pPr>
    </w:p>
    <w:p w14:paraId="0A4ED7DC" w14:textId="6785F5C2" w:rsidR="000544C5" w:rsidRDefault="004B779E" w:rsidP="00681534">
      <w:pPr>
        <w:rPr>
          <w:rFonts w:asciiTheme="majorHAnsi" w:hAnsiTheme="majorHAnsi" w:cs="Times New Roman"/>
        </w:rPr>
      </w:pPr>
      <w:r>
        <w:rPr>
          <w:noProof/>
        </w:rPr>
        <w:drawing>
          <wp:inline distT="0" distB="0" distL="0" distR="0" wp14:anchorId="2390DB61" wp14:editId="2F836840">
            <wp:extent cx="5943600" cy="2232660"/>
            <wp:effectExtent l="0" t="0" r="0" b="0"/>
            <wp:docPr id="1442544185" name="Hình ảnh 1" descr="Ảnh có chứa văn bản, ảnh chụp màn hình,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44185" name="Hình ảnh 1" descr="Ảnh có chứa văn bản, ảnh chụp màn hình, hàng, Sơ đồ&#10;&#10;Mô tả được tạo tự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58447624" w14:textId="77777777" w:rsidR="00291AA2" w:rsidRPr="00291AA2" w:rsidRDefault="00291AA2" w:rsidP="00291AA2">
      <w:pPr>
        <w:spacing w:line="240" w:lineRule="auto"/>
        <w:rPr>
          <w:rFonts w:asciiTheme="majorHAnsi" w:hAnsiTheme="majorHAnsi" w:cs="Times New Roman"/>
        </w:rPr>
      </w:pPr>
      <w:r w:rsidRPr="00291AA2">
        <w:rPr>
          <w:rFonts w:asciiTheme="majorHAnsi" w:hAnsiTheme="majorHAnsi" w:cs="Times New Roman"/>
        </w:rPr>
        <w:t>Nhìn vào biểu đồ, dự báo từ mô hình cho thấy giá cổ phiếu có sự hồi phục nhẹ sau giai đoạn điều chỉnh vào 2023, và từ 2024 trở đi, giá dự kiến tiếp tục duy trì xu hướng tăng ổn định. Tuy nhiên, vẫn có một số điểm cần lưu ý:</w:t>
      </w:r>
    </w:p>
    <w:p w14:paraId="557536FE" w14:textId="77777777" w:rsidR="00291AA2" w:rsidRPr="00291AA2" w:rsidRDefault="00291AA2" w:rsidP="00291AA2">
      <w:pPr>
        <w:numPr>
          <w:ilvl w:val="0"/>
          <w:numId w:val="11"/>
        </w:numPr>
        <w:spacing w:line="240" w:lineRule="auto"/>
        <w:rPr>
          <w:rFonts w:asciiTheme="majorHAnsi" w:hAnsiTheme="majorHAnsi" w:cs="Times New Roman"/>
        </w:rPr>
      </w:pPr>
      <w:r w:rsidRPr="00291AA2">
        <w:rPr>
          <w:rFonts w:asciiTheme="majorHAnsi" w:hAnsiTheme="majorHAnsi" w:cs="Times New Roman"/>
          <w:b/>
          <w:bCs/>
        </w:rPr>
        <w:t>Biến động ngắn hạn</w:t>
      </w:r>
      <w:r w:rsidRPr="00291AA2">
        <w:rPr>
          <w:rFonts w:asciiTheme="majorHAnsi" w:hAnsiTheme="majorHAnsi" w:cs="Times New Roman"/>
        </w:rPr>
        <w:t>: Mặc dù xu hướng dài hạn là tăng, có thể có những biến động nhỏ trong ngắn hạn do tác động của các yếu tố như thông tin tài chính mới, chính sách kinh tế, hay sự thay đổi trong cung và cầu.</w:t>
      </w:r>
    </w:p>
    <w:p w14:paraId="0CCB880A" w14:textId="77777777" w:rsidR="00291AA2" w:rsidRDefault="00291AA2" w:rsidP="00291AA2">
      <w:pPr>
        <w:numPr>
          <w:ilvl w:val="0"/>
          <w:numId w:val="11"/>
        </w:numPr>
        <w:spacing w:line="240" w:lineRule="auto"/>
        <w:rPr>
          <w:rFonts w:asciiTheme="majorHAnsi" w:hAnsiTheme="majorHAnsi" w:cs="Times New Roman"/>
        </w:rPr>
      </w:pPr>
      <w:r w:rsidRPr="00291AA2">
        <w:rPr>
          <w:rFonts w:asciiTheme="majorHAnsi" w:hAnsiTheme="majorHAnsi" w:cs="Times New Roman"/>
          <w:b/>
          <w:bCs/>
        </w:rPr>
        <w:t>Sự phục hồi</w:t>
      </w:r>
      <w:r w:rsidRPr="00291AA2">
        <w:rPr>
          <w:rFonts w:asciiTheme="majorHAnsi" w:hAnsiTheme="majorHAnsi" w:cs="Times New Roman"/>
        </w:rPr>
        <w:t>: Giá dự báo cho giai đoạn sau 2023 cho thấy sự phục hồi từ giai đoạn điều chỉnh trước đó, với độ dốc tăng dần trở lại.</w:t>
      </w:r>
    </w:p>
    <w:p w14:paraId="4AB860B4" w14:textId="5FBD58C9" w:rsidR="00291AA2" w:rsidRPr="00291AA2" w:rsidRDefault="00291AA2" w:rsidP="00291AA2">
      <w:pPr>
        <w:spacing w:line="240" w:lineRule="auto"/>
        <w:rPr>
          <w:rFonts w:asciiTheme="majorHAnsi" w:hAnsiTheme="majorHAnsi" w:cs="Times New Roman"/>
        </w:rPr>
      </w:pPr>
      <w:r w:rsidRPr="00291AA2">
        <w:rPr>
          <w:rFonts w:asciiTheme="majorHAnsi" w:hAnsiTheme="majorHAnsi" w:cs="Times New Roman"/>
          <w:b/>
          <w:bCs/>
        </w:rPr>
        <w:t>Về ngắn hạn và dài hạn</w:t>
      </w:r>
    </w:p>
    <w:p w14:paraId="47309664" w14:textId="3D10B13A" w:rsidR="00291AA2" w:rsidRPr="00291AA2" w:rsidRDefault="00291AA2" w:rsidP="00291AA2">
      <w:pPr>
        <w:pStyle w:val="oancuaDanhsach"/>
        <w:numPr>
          <w:ilvl w:val="0"/>
          <w:numId w:val="12"/>
        </w:numPr>
        <w:spacing w:after="0" w:line="240" w:lineRule="auto"/>
        <w:rPr>
          <w:rFonts w:asciiTheme="majorHAnsi" w:eastAsia="Times New Roman" w:hAnsiTheme="majorHAnsi" w:cs="Times New Roman"/>
          <w:kern w:val="0"/>
          <w14:ligatures w14:val="none"/>
        </w:rPr>
      </w:pPr>
      <w:r w:rsidRPr="00291AA2">
        <w:rPr>
          <w:rFonts w:asciiTheme="majorHAnsi" w:eastAsia="Times New Roman" w:hAnsiTheme="majorHAnsi" w:cs="Times New Roman"/>
          <w:b/>
          <w:bCs/>
          <w:kern w:val="0"/>
          <w14:ligatures w14:val="none"/>
        </w:rPr>
        <w:t>Ngắn hạn (6 tháng - 1 năm)</w:t>
      </w:r>
      <w:r w:rsidRPr="00291AA2">
        <w:rPr>
          <w:rFonts w:asciiTheme="majorHAnsi" w:eastAsia="Times New Roman" w:hAnsiTheme="majorHAnsi" w:cs="Times New Roman"/>
          <w:kern w:val="0"/>
          <w14:ligatures w14:val="none"/>
        </w:rPr>
        <w:t>: Giá có khả năng tiếp tục dao động, có thể có sự tăng trưởng nhẹ hoặc điều chỉnh nhỏ. Tuy nhiên, mức độ biến động vẫn trong phạm vi an toàn với phần trăm sai số thấp.</w:t>
      </w:r>
    </w:p>
    <w:p w14:paraId="57428C84" w14:textId="7BF2905F" w:rsidR="000544C5" w:rsidRPr="00291AA2" w:rsidRDefault="00291AA2" w:rsidP="00681534">
      <w:pPr>
        <w:pStyle w:val="oancuaDanhsach"/>
        <w:numPr>
          <w:ilvl w:val="0"/>
          <w:numId w:val="12"/>
        </w:numPr>
        <w:rPr>
          <w:rFonts w:asciiTheme="majorHAnsi" w:hAnsiTheme="majorHAnsi" w:cs="Times New Roman"/>
        </w:rPr>
      </w:pPr>
      <w:r w:rsidRPr="00291AA2">
        <w:rPr>
          <w:rFonts w:asciiTheme="majorHAnsi" w:eastAsia="Times New Roman" w:hAnsiTheme="majorHAnsi" w:cs="Times New Roman"/>
          <w:b/>
          <w:bCs/>
          <w:kern w:val="0"/>
          <w14:ligatures w14:val="none"/>
        </w:rPr>
        <w:t>Dài hạn (1-2 năm)</w:t>
      </w:r>
      <w:r w:rsidRPr="00291AA2">
        <w:rPr>
          <w:rFonts w:asciiTheme="majorHAnsi" w:eastAsia="Times New Roman" w:hAnsiTheme="majorHAnsi" w:cs="Times New Roman"/>
          <w:kern w:val="0"/>
          <w14:ligatures w14:val="none"/>
        </w:rPr>
        <w:t>: Xu hướng tăng trưởng tổng thể được dự đoán sẽ tiếp tục, với một mức độ hồi phục mạnh mẽ hơn trong giai đoạn 2024-2025 dựa vào dự báo của mô hình.</w:t>
      </w:r>
    </w:p>
    <w:p w14:paraId="669605C5" w14:textId="77777777" w:rsidR="000544C5" w:rsidRPr="000544C5" w:rsidRDefault="000544C5" w:rsidP="00681534">
      <w:pPr>
        <w:rPr>
          <w:rFonts w:asciiTheme="majorHAnsi" w:hAnsiTheme="majorHAnsi" w:cs="Times New Roman"/>
        </w:rPr>
      </w:pPr>
    </w:p>
    <w:p w14:paraId="0719034E" w14:textId="572115CD" w:rsidR="00681534" w:rsidRPr="000544C5" w:rsidRDefault="00681534" w:rsidP="00681534">
      <w:pPr>
        <w:rPr>
          <w:rFonts w:asciiTheme="majorHAnsi" w:hAnsiTheme="majorHAnsi" w:cs="Times New Roman"/>
          <w:b/>
          <w:bCs/>
        </w:rPr>
      </w:pPr>
      <w:r w:rsidRPr="000544C5">
        <w:rPr>
          <w:rFonts w:asciiTheme="majorHAnsi" w:hAnsiTheme="majorHAnsi" w:cs="Times New Roman"/>
          <w:b/>
          <w:bCs/>
        </w:rPr>
        <w:t>Trích dẫn:</w:t>
      </w:r>
    </w:p>
    <w:p w14:paraId="57273FA8" w14:textId="471E3C66" w:rsidR="00681534" w:rsidRPr="000544C5" w:rsidRDefault="00681534" w:rsidP="00681534">
      <w:pPr>
        <w:pStyle w:val="oancuaDanhsach"/>
        <w:numPr>
          <w:ilvl w:val="0"/>
          <w:numId w:val="3"/>
        </w:numPr>
        <w:rPr>
          <w:rFonts w:asciiTheme="majorHAnsi" w:hAnsiTheme="majorHAnsi" w:cs="Times New Roman"/>
        </w:rPr>
      </w:pPr>
      <w:r w:rsidRPr="000544C5">
        <w:rPr>
          <w:rFonts w:asciiTheme="majorHAnsi" w:hAnsiTheme="majorHAnsi" w:cs="Times New Roman"/>
        </w:rPr>
        <w:t>https://tapchinuoc.vn/thuan-nghich-trong-kinh-doanh-cua-doanh-nghiep-nganh-nuoc-175230506161315632.htm</w:t>
      </w:r>
    </w:p>
    <w:sectPr w:rsidR="00681534" w:rsidRPr="0005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54CB"/>
    <w:multiLevelType w:val="hybridMultilevel"/>
    <w:tmpl w:val="DD28C938"/>
    <w:lvl w:ilvl="0" w:tplc="E6083E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19DF"/>
    <w:multiLevelType w:val="multilevel"/>
    <w:tmpl w:val="8F8C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B00B4"/>
    <w:multiLevelType w:val="hybridMultilevel"/>
    <w:tmpl w:val="16C02F7C"/>
    <w:lvl w:ilvl="0" w:tplc="DB3C1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77E58"/>
    <w:multiLevelType w:val="hybridMultilevel"/>
    <w:tmpl w:val="89D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53C27"/>
    <w:multiLevelType w:val="hybridMultilevel"/>
    <w:tmpl w:val="A514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97847"/>
    <w:multiLevelType w:val="multilevel"/>
    <w:tmpl w:val="2216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364AE"/>
    <w:multiLevelType w:val="hybridMultilevel"/>
    <w:tmpl w:val="7EAE76F4"/>
    <w:lvl w:ilvl="0" w:tplc="B6C66B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87839"/>
    <w:multiLevelType w:val="hybridMultilevel"/>
    <w:tmpl w:val="F50A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62768"/>
    <w:multiLevelType w:val="multilevel"/>
    <w:tmpl w:val="D08A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9706C"/>
    <w:multiLevelType w:val="hybridMultilevel"/>
    <w:tmpl w:val="7DBAA6CA"/>
    <w:lvl w:ilvl="0" w:tplc="233C1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A215C"/>
    <w:multiLevelType w:val="hybridMultilevel"/>
    <w:tmpl w:val="C844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3B335D"/>
    <w:multiLevelType w:val="multilevel"/>
    <w:tmpl w:val="75EE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559240">
    <w:abstractNumId w:val="6"/>
  </w:num>
  <w:num w:numId="2" w16cid:durableId="413743030">
    <w:abstractNumId w:val="0"/>
  </w:num>
  <w:num w:numId="3" w16cid:durableId="1361583909">
    <w:abstractNumId w:val="9"/>
  </w:num>
  <w:num w:numId="4" w16cid:durableId="1014109544">
    <w:abstractNumId w:val="2"/>
  </w:num>
  <w:num w:numId="5" w16cid:durableId="405224634">
    <w:abstractNumId w:val="5"/>
  </w:num>
  <w:num w:numId="6" w16cid:durableId="1585723530">
    <w:abstractNumId w:val="8"/>
  </w:num>
  <w:num w:numId="7" w16cid:durableId="1784375450">
    <w:abstractNumId w:val="11"/>
  </w:num>
  <w:num w:numId="8" w16cid:durableId="231888873">
    <w:abstractNumId w:val="4"/>
  </w:num>
  <w:num w:numId="9" w16cid:durableId="836312358">
    <w:abstractNumId w:val="10"/>
  </w:num>
  <w:num w:numId="10" w16cid:durableId="545990406">
    <w:abstractNumId w:val="7"/>
  </w:num>
  <w:num w:numId="11" w16cid:durableId="1458336842">
    <w:abstractNumId w:val="1"/>
  </w:num>
  <w:num w:numId="12" w16cid:durableId="1939556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28"/>
    <w:rsid w:val="00023D3A"/>
    <w:rsid w:val="000544C5"/>
    <w:rsid w:val="00291AA2"/>
    <w:rsid w:val="004B779E"/>
    <w:rsid w:val="00625D2C"/>
    <w:rsid w:val="00681534"/>
    <w:rsid w:val="00785ED5"/>
    <w:rsid w:val="00A35F28"/>
    <w:rsid w:val="00B73E46"/>
    <w:rsid w:val="00C7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B810"/>
  <w15:chartTrackingRefBased/>
  <w15:docId w15:val="{A1ECC363-D2EF-4986-B5B8-5ACB8434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35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A35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A35F2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A35F2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A35F2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A35F2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35F2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35F2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35F2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35F2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A35F2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A35F2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A35F2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A35F2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A35F2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35F2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35F2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35F28"/>
    <w:rPr>
      <w:rFonts w:eastAsiaTheme="majorEastAsia" w:cstheme="majorBidi"/>
      <w:color w:val="272727" w:themeColor="text1" w:themeTint="D8"/>
    </w:rPr>
  </w:style>
  <w:style w:type="paragraph" w:styleId="Tiu">
    <w:name w:val="Title"/>
    <w:basedOn w:val="Binhthng"/>
    <w:next w:val="Binhthng"/>
    <w:link w:val="TiuChar"/>
    <w:uiPriority w:val="10"/>
    <w:qFormat/>
    <w:rsid w:val="00A35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35F2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35F2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35F2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35F2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35F28"/>
    <w:rPr>
      <w:i/>
      <w:iCs/>
      <w:color w:val="404040" w:themeColor="text1" w:themeTint="BF"/>
    </w:rPr>
  </w:style>
  <w:style w:type="paragraph" w:styleId="oancuaDanhsach">
    <w:name w:val="List Paragraph"/>
    <w:basedOn w:val="Binhthng"/>
    <w:uiPriority w:val="34"/>
    <w:qFormat/>
    <w:rsid w:val="00A35F28"/>
    <w:pPr>
      <w:ind w:left="720"/>
      <w:contextualSpacing/>
    </w:pPr>
  </w:style>
  <w:style w:type="character" w:styleId="NhnmnhThm">
    <w:name w:val="Intense Emphasis"/>
    <w:basedOn w:val="Phngmcinhcuaoanvn"/>
    <w:uiPriority w:val="21"/>
    <w:qFormat/>
    <w:rsid w:val="00A35F28"/>
    <w:rPr>
      <w:i/>
      <w:iCs/>
      <w:color w:val="0F4761" w:themeColor="accent1" w:themeShade="BF"/>
    </w:rPr>
  </w:style>
  <w:style w:type="paragraph" w:styleId="Nhaykepm">
    <w:name w:val="Intense Quote"/>
    <w:basedOn w:val="Binhthng"/>
    <w:next w:val="Binhthng"/>
    <w:link w:val="NhaykepmChar"/>
    <w:uiPriority w:val="30"/>
    <w:qFormat/>
    <w:rsid w:val="00A35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A35F28"/>
    <w:rPr>
      <w:i/>
      <w:iCs/>
      <w:color w:val="0F4761" w:themeColor="accent1" w:themeShade="BF"/>
    </w:rPr>
  </w:style>
  <w:style w:type="character" w:styleId="ThamchiuNhnmnh">
    <w:name w:val="Intense Reference"/>
    <w:basedOn w:val="Phngmcinhcuaoanvn"/>
    <w:uiPriority w:val="32"/>
    <w:qFormat/>
    <w:rsid w:val="00A35F28"/>
    <w:rPr>
      <w:b/>
      <w:bCs/>
      <w:smallCaps/>
      <w:color w:val="0F4761" w:themeColor="accent1" w:themeShade="BF"/>
      <w:spacing w:val="5"/>
    </w:rPr>
  </w:style>
  <w:style w:type="character" w:styleId="Manh">
    <w:name w:val="Strong"/>
    <w:basedOn w:val="Phngmcinhcuaoanvn"/>
    <w:uiPriority w:val="22"/>
    <w:qFormat/>
    <w:rsid w:val="00291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1330">
      <w:bodyDiv w:val="1"/>
      <w:marLeft w:val="0"/>
      <w:marRight w:val="0"/>
      <w:marTop w:val="0"/>
      <w:marBottom w:val="0"/>
      <w:divBdr>
        <w:top w:val="none" w:sz="0" w:space="0" w:color="auto"/>
        <w:left w:val="none" w:sz="0" w:space="0" w:color="auto"/>
        <w:bottom w:val="none" w:sz="0" w:space="0" w:color="auto"/>
        <w:right w:val="none" w:sz="0" w:space="0" w:color="auto"/>
      </w:divBdr>
    </w:div>
    <w:div w:id="642537849">
      <w:bodyDiv w:val="1"/>
      <w:marLeft w:val="0"/>
      <w:marRight w:val="0"/>
      <w:marTop w:val="0"/>
      <w:marBottom w:val="0"/>
      <w:divBdr>
        <w:top w:val="none" w:sz="0" w:space="0" w:color="auto"/>
        <w:left w:val="none" w:sz="0" w:space="0" w:color="auto"/>
        <w:bottom w:val="none" w:sz="0" w:space="0" w:color="auto"/>
        <w:right w:val="none" w:sz="0" w:space="0" w:color="auto"/>
      </w:divBdr>
    </w:div>
    <w:div w:id="781454854">
      <w:bodyDiv w:val="1"/>
      <w:marLeft w:val="0"/>
      <w:marRight w:val="0"/>
      <w:marTop w:val="0"/>
      <w:marBottom w:val="0"/>
      <w:divBdr>
        <w:top w:val="none" w:sz="0" w:space="0" w:color="auto"/>
        <w:left w:val="none" w:sz="0" w:space="0" w:color="auto"/>
        <w:bottom w:val="none" w:sz="0" w:space="0" w:color="auto"/>
        <w:right w:val="none" w:sz="0" w:space="0" w:color="auto"/>
      </w:divBdr>
    </w:div>
    <w:div w:id="1340423540">
      <w:bodyDiv w:val="1"/>
      <w:marLeft w:val="0"/>
      <w:marRight w:val="0"/>
      <w:marTop w:val="0"/>
      <w:marBottom w:val="0"/>
      <w:divBdr>
        <w:top w:val="none" w:sz="0" w:space="0" w:color="auto"/>
        <w:left w:val="none" w:sz="0" w:space="0" w:color="auto"/>
        <w:bottom w:val="none" w:sz="0" w:space="0" w:color="auto"/>
        <w:right w:val="none" w:sz="0" w:space="0" w:color="auto"/>
      </w:divBdr>
    </w:div>
    <w:div w:id="1417630408">
      <w:bodyDiv w:val="1"/>
      <w:marLeft w:val="0"/>
      <w:marRight w:val="0"/>
      <w:marTop w:val="0"/>
      <w:marBottom w:val="0"/>
      <w:divBdr>
        <w:top w:val="none" w:sz="0" w:space="0" w:color="auto"/>
        <w:left w:val="none" w:sz="0" w:space="0" w:color="auto"/>
        <w:bottom w:val="none" w:sz="0" w:space="0" w:color="auto"/>
        <w:right w:val="none" w:sz="0" w:space="0" w:color="auto"/>
      </w:divBdr>
    </w:div>
    <w:div w:id="1783763394">
      <w:bodyDiv w:val="1"/>
      <w:marLeft w:val="0"/>
      <w:marRight w:val="0"/>
      <w:marTop w:val="0"/>
      <w:marBottom w:val="0"/>
      <w:divBdr>
        <w:top w:val="none" w:sz="0" w:space="0" w:color="auto"/>
        <w:left w:val="none" w:sz="0" w:space="0" w:color="auto"/>
        <w:bottom w:val="none" w:sz="0" w:space="0" w:color="auto"/>
        <w:right w:val="none" w:sz="0" w:space="0" w:color="auto"/>
      </w:divBdr>
      <w:divsChild>
        <w:div w:id="1340691573">
          <w:marLeft w:val="0"/>
          <w:marRight w:val="0"/>
          <w:marTop w:val="0"/>
          <w:marBottom w:val="0"/>
          <w:divBdr>
            <w:top w:val="none" w:sz="0" w:space="0" w:color="auto"/>
            <w:left w:val="none" w:sz="0" w:space="0" w:color="auto"/>
            <w:bottom w:val="none" w:sz="0" w:space="0" w:color="auto"/>
            <w:right w:val="none" w:sz="0" w:space="0" w:color="auto"/>
          </w:divBdr>
          <w:divsChild>
            <w:div w:id="1240167053">
              <w:marLeft w:val="0"/>
              <w:marRight w:val="0"/>
              <w:marTop w:val="0"/>
              <w:marBottom w:val="120"/>
              <w:divBdr>
                <w:top w:val="none" w:sz="0" w:space="0" w:color="auto"/>
                <w:left w:val="none" w:sz="0" w:space="0" w:color="auto"/>
                <w:bottom w:val="none" w:sz="0" w:space="0" w:color="auto"/>
                <w:right w:val="none" w:sz="0" w:space="0" w:color="auto"/>
              </w:divBdr>
            </w:div>
            <w:div w:id="742483617">
              <w:marLeft w:val="0"/>
              <w:marRight w:val="0"/>
              <w:marTop w:val="0"/>
              <w:marBottom w:val="0"/>
              <w:divBdr>
                <w:top w:val="none" w:sz="0" w:space="0" w:color="auto"/>
                <w:left w:val="none" w:sz="0" w:space="0" w:color="auto"/>
                <w:bottom w:val="none" w:sz="0" w:space="0" w:color="auto"/>
                <w:right w:val="none" w:sz="0" w:space="0" w:color="auto"/>
              </w:divBdr>
              <w:divsChild>
                <w:div w:id="5897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2825">
          <w:marLeft w:val="0"/>
          <w:marRight w:val="0"/>
          <w:marTop w:val="720"/>
          <w:marBottom w:val="0"/>
          <w:divBdr>
            <w:top w:val="none" w:sz="0" w:space="0" w:color="auto"/>
            <w:left w:val="none" w:sz="0" w:space="0" w:color="auto"/>
            <w:bottom w:val="none" w:sz="0" w:space="0" w:color="auto"/>
            <w:right w:val="none" w:sz="0" w:space="0" w:color="auto"/>
          </w:divBdr>
          <w:divsChild>
            <w:div w:id="754012234">
              <w:marLeft w:val="0"/>
              <w:marRight w:val="0"/>
              <w:marTop w:val="0"/>
              <w:marBottom w:val="120"/>
              <w:divBdr>
                <w:top w:val="none" w:sz="0" w:space="0" w:color="auto"/>
                <w:left w:val="none" w:sz="0" w:space="0" w:color="auto"/>
                <w:bottom w:val="none" w:sz="0" w:space="0" w:color="auto"/>
                <w:right w:val="none" w:sz="0" w:space="0" w:color="auto"/>
              </w:divBdr>
            </w:div>
            <w:div w:id="1509103365">
              <w:marLeft w:val="0"/>
              <w:marRight w:val="0"/>
              <w:marTop w:val="0"/>
              <w:marBottom w:val="0"/>
              <w:divBdr>
                <w:top w:val="none" w:sz="0" w:space="0" w:color="auto"/>
                <w:left w:val="none" w:sz="0" w:space="0" w:color="auto"/>
                <w:bottom w:val="none" w:sz="0" w:space="0" w:color="auto"/>
                <w:right w:val="none" w:sz="0" w:space="0" w:color="auto"/>
              </w:divBdr>
            </w:div>
          </w:divsChild>
        </w:div>
        <w:div w:id="388962849">
          <w:marLeft w:val="0"/>
          <w:marRight w:val="0"/>
          <w:marTop w:val="720"/>
          <w:marBottom w:val="0"/>
          <w:divBdr>
            <w:top w:val="none" w:sz="0" w:space="0" w:color="auto"/>
            <w:left w:val="none" w:sz="0" w:space="0" w:color="auto"/>
            <w:bottom w:val="none" w:sz="0" w:space="0" w:color="auto"/>
            <w:right w:val="none" w:sz="0" w:space="0" w:color="auto"/>
          </w:divBdr>
          <w:divsChild>
            <w:div w:id="1377436618">
              <w:marLeft w:val="0"/>
              <w:marRight w:val="0"/>
              <w:marTop w:val="0"/>
              <w:marBottom w:val="120"/>
              <w:divBdr>
                <w:top w:val="none" w:sz="0" w:space="0" w:color="auto"/>
                <w:left w:val="none" w:sz="0" w:space="0" w:color="auto"/>
                <w:bottom w:val="none" w:sz="0" w:space="0" w:color="auto"/>
                <w:right w:val="none" w:sz="0" w:space="0" w:color="auto"/>
              </w:divBdr>
            </w:div>
            <w:div w:id="1097939769">
              <w:marLeft w:val="0"/>
              <w:marRight w:val="0"/>
              <w:marTop w:val="0"/>
              <w:marBottom w:val="0"/>
              <w:divBdr>
                <w:top w:val="none" w:sz="0" w:space="0" w:color="auto"/>
                <w:left w:val="none" w:sz="0" w:space="0" w:color="auto"/>
                <w:bottom w:val="none" w:sz="0" w:space="0" w:color="auto"/>
                <w:right w:val="none" w:sz="0" w:space="0" w:color="auto"/>
              </w:divBdr>
            </w:div>
          </w:divsChild>
        </w:div>
        <w:div w:id="731660008">
          <w:marLeft w:val="0"/>
          <w:marRight w:val="0"/>
          <w:marTop w:val="720"/>
          <w:marBottom w:val="0"/>
          <w:divBdr>
            <w:top w:val="none" w:sz="0" w:space="0" w:color="auto"/>
            <w:left w:val="none" w:sz="0" w:space="0" w:color="auto"/>
            <w:bottom w:val="none" w:sz="0" w:space="0" w:color="auto"/>
            <w:right w:val="none" w:sz="0" w:space="0" w:color="auto"/>
          </w:divBdr>
          <w:divsChild>
            <w:div w:id="2144040411">
              <w:marLeft w:val="0"/>
              <w:marRight w:val="0"/>
              <w:marTop w:val="0"/>
              <w:marBottom w:val="120"/>
              <w:divBdr>
                <w:top w:val="none" w:sz="0" w:space="0" w:color="auto"/>
                <w:left w:val="none" w:sz="0" w:space="0" w:color="auto"/>
                <w:bottom w:val="none" w:sz="0" w:space="0" w:color="auto"/>
                <w:right w:val="none" w:sz="0" w:space="0" w:color="auto"/>
              </w:divBdr>
            </w:div>
            <w:div w:id="574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499">
      <w:bodyDiv w:val="1"/>
      <w:marLeft w:val="0"/>
      <w:marRight w:val="0"/>
      <w:marTop w:val="0"/>
      <w:marBottom w:val="0"/>
      <w:divBdr>
        <w:top w:val="none" w:sz="0" w:space="0" w:color="auto"/>
        <w:left w:val="none" w:sz="0" w:space="0" w:color="auto"/>
        <w:bottom w:val="none" w:sz="0" w:space="0" w:color="auto"/>
        <w:right w:val="none" w:sz="0" w:space="0" w:color="auto"/>
      </w:divBdr>
      <w:divsChild>
        <w:div w:id="884174948">
          <w:marLeft w:val="0"/>
          <w:marRight w:val="0"/>
          <w:marTop w:val="0"/>
          <w:marBottom w:val="0"/>
          <w:divBdr>
            <w:top w:val="none" w:sz="0" w:space="0" w:color="auto"/>
            <w:left w:val="none" w:sz="0" w:space="0" w:color="auto"/>
            <w:bottom w:val="none" w:sz="0" w:space="0" w:color="auto"/>
            <w:right w:val="none" w:sz="0" w:space="0" w:color="auto"/>
          </w:divBdr>
          <w:divsChild>
            <w:div w:id="574050546">
              <w:marLeft w:val="0"/>
              <w:marRight w:val="0"/>
              <w:marTop w:val="0"/>
              <w:marBottom w:val="120"/>
              <w:divBdr>
                <w:top w:val="none" w:sz="0" w:space="0" w:color="auto"/>
                <w:left w:val="none" w:sz="0" w:space="0" w:color="auto"/>
                <w:bottom w:val="none" w:sz="0" w:space="0" w:color="auto"/>
                <w:right w:val="none" w:sz="0" w:space="0" w:color="auto"/>
              </w:divBdr>
            </w:div>
            <w:div w:id="1789540434">
              <w:marLeft w:val="0"/>
              <w:marRight w:val="0"/>
              <w:marTop w:val="0"/>
              <w:marBottom w:val="0"/>
              <w:divBdr>
                <w:top w:val="none" w:sz="0" w:space="0" w:color="auto"/>
                <w:left w:val="none" w:sz="0" w:space="0" w:color="auto"/>
                <w:bottom w:val="none" w:sz="0" w:space="0" w:color="auto"/>
                <w:right w:val="none" w:sz="0" w:space="0" w:color="auto"/>
              </w:divBdr>
              <w:divsChild>
                <w:div w:id="20891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9039">
          <w:marLeft w:val="0"/>
          <w:marRight w:val="0"/>
          <w:marTop w:val="720"/>
          <w:marBottom w:val="0"/>
          <w:divBdr>
            <w:top w:val="none" w:sz="0" w:space="0" w:color="auto"/>
            <w:left w:val="none" w:sz="0" w:space="0" w:color="auto"/>
            <w:bottom w:val="none" w:sz="0" w:space="0" w:color="auto"/>
            <w:right w:val="none" w:sz="0" w:space="0" w:color="auto"/>
          </w:divBdr>
          <w:divsChild>
            <w:div w:id="1502115277">
              <w:marLeft w:val="0"/>
              <w:marRight w:val="0"/>
              <w:marTop w:val="0"/>
              <w:marBottom w:val="120"/>
              <w:divBdr>
                <w:top w:val="none" w:sz="0" w:space="0" w:color="auto"/>
                <w:left w:val="none" w:sz="0" w:space="0" w:color="auto"/>
                <w:bottom w:val="none" w:sz="0" w:space="0" w:color="auto"/>
                <w:right w:val="none" w:sz="0" w:space="0" w:color="auto"/>
              </w:divBdr>
            </w:div>
            <w:div w:id="1605115415">
              <w:marLeft w:val="0"/>
              <w:marRight w:val="0"/>
              <w:marTop w:val="0"/>
              <w:marBottom w:val="0"/>
              <w:divBdr>
                <w:top w:val="none" w:sz="0" w:space="0" w:color="auto"/>
                <w:left w:val="none" w:sz="0" w:space="0" w:color="auto"/>
                <w:bottom w:val="none" w:sz="0" w:space="0" w:color="auto"/>
                <w:right w:val="none" w:sz="0" w:space="0" w:color="auto"/>
              </w:divBdr>
            </w:div>
          </w:divsChild>
        </w:div>
        <w:div w:id="696934151">
          <w:marLeft w:val="0"/>
          <w:marRight w:val="0"/>
          <w:marTop w:val="720"/>
          <w:marBottom w:val="0"/>
          <w:divBdr>
            <w:top w:val="none" w:sz="0" w:space="0" w:color="auto"/>
            <w:left w:val="none" w:sz="0" w:space="0" w:color="auto"/>
            <w:bottom w:val="none" w:sz="0" w:space="0" w:color="auto"/>
            <w:right w:val="none" w:sz="0" w:space="0" w:color="auto"/>
          </w:divBdr>
          <w:divsChild>
            <w:div w:id="1177377974">
              <w:marLeft w:val="0"/>
              <w:marRight w:val="0"/>
              <w:marTop w:val="0"/>
              <w:marBottom w:val="120"/>
              <w:divBdr>
                <w:top w:val="none" w:sz="0" w:space="0" w:color="auto"/>
                <w:left w:val="none" w:sz="0" w:space="0" w:color="auto"/>
                <w:bottom w:val="none" w:sz="0" w:space="0" w:color="auto"/>
                <w:right w:val="none" w:sz="0" w:space="0" w:color="auto"/>
              </w:divBdr>
            </w:div>
            <w:div w:id="166553682">
              <w:marLeft w:val="0"/>
              <w:marRight w:val="0"/>
              <w:marTop w:val="0"/>
              <w:marBottom w:val="0"/>
              <w:divBdr>
                <w:top w:val="none" w:sz="0" w:space="0" w:color="auto"/>
                <w:left w:val="none" w:sz="0" w:space="0" w:color="auto"/>
                <w:bottom w:val="none" w:sz="0" w:space="0" w:color="auto"/>
                <w:right w:val="none" w:sz="0" w:space="0" w:color="auto"/>
              </w:divBdr>
            </w:div>
          </w:divsChild>
        </w:div>
        <w:div w:id="1329097115">
          <w:marLeft w:val="0"/>
          <w:marRight w:val="0"/>
          <w:marTop w:val="720"/>
          <w:marBottom w:val="0"/>
          <w:divBdr>
            <w:top w:val="none" w:sz="0" w:space="0" w:color="auto"/>
            <w:left w:val="none" w:sz="0" w:space="0" w:color="auto"/>
            <w:bottom w:val="none" w:sz="0" w:space="0" w:color="auto"/>
            <w:right w:val="none" w:sz="0" w:space="0" w:color="auto"/>
          </w:divBdr>
          <w:divsChild>
            <w:div w:id="638264820">
              <w:marLeft w:val="0"/>
              <w:marRight w:val="0"/>
              <w:marTop w:val="0"/>
              <w:marBottom w:val="120"/>
              <w:divBdr>
                <w:top w:val="none" w:sz="0" w:space="0" w:color="auto"/>
                <w:left w:val="none" w:sz="0" w:space="0" w:color="auto"/>
                <w:bottom w:val="none" w:sz="0" w:space="0" w:color="auto"/>
                <w:right w:val="none" w:sz="0" w:space="0" w:color="auto"/>
              </w:divBdr>
            </w:div>
            <w:div w:id="11062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E:\Excel\Balance%20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xcel\Balance%20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Tỷ</a:t>
            </a:r>
            <a:r>
              <a:rPr lang="en-US" b="1" baseline="0">
                <a:latin typeface="Times New Roman" panose="02020603050405020304" pitchFamily="18" charset="0"/>
                <a:cs typeface="Times New Roman" panose="02020603050405020304" pitchFamily="18" charset="0"/>
              </a:rPr>
              <a:t> Lệ Thanh Khoản</a:t>
            </a:r>
            <a:endParaRPr lang="vi-VN"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'Balance Sheet'!$V$6</c:f>
              <c:strCache>
                <c:ptCount val="1"/>
                <c:pt idx="0">
                  <c:v>Tỷ lệ thanh khoản hiện hành</c:v>
                </c:pt>
              </c:strCache>
            </c:strRef>
          </c:tx>
          <c:spPr>
            <a:solidFill>
              <a:schemeClr val="accent1"/>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Sheet'!$W$6:$AA$6</c:f>
              <c:numCache>
                <c:formatCode>_(* #,##0.00_);_(* \(#,##0.00\);_(* "-"??_);_(@_)</c:formatCode>
                <c:ptCount val="5"/>
                <c:pt idx="0">
                  <c:v>1.1296296296296295</c:v>
                </c:pt>
                <c:pt idx="1">
                  <c:v>1.2369215291750504</c:v>
                </c:pt>
                <c:pt idx="2">
                  <c:v>1.3540836653386454</c:v>
                </c:pt>
                <c:pt idx="3">
                  <c:v>1.4007038712921065</c:v>
                </c:pt>
                <c:pt idx="4">
                  <c:v>1.1345911949685534</c:v>
                </c:pt>
              </c:numCache>
            </c:numRef>
          </c:val>
          <c:extLst>
            <c:ext xmlns:c16="http://schemas.microsoft.com/office/drawing/2014/chart" uri="{C3380CC4-5D6E-409C-BE32-E72D297353CC}">
              <c16:uniqueId val="{00000000-0D41-42E1-80E8-2C21FFB879D6}"/>
            </c:ext>
          </c:extLst>
        </c:ser>
        <c:ser>
          <c:idx val="1"/>
          <c:order val="1"/>
          <c:tx>
            <c:strRef>
              <c:f>'Balance Sheet'!$V$7</c:f>
              <c:strCache>
                <c:ptCount val="1"/>
                <c:pt idx="0">
                  <c:v>Tỷ lệ thanh khoản nhanh</c:v>
                </c:pt>
              </c:strCache>
            </c:strRef>
          </c:tx>
          <c:spPr>
            <a:solidFill>
              <a:schemeClr val="accent2"/>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Sheet'!$W$7:$AA$7</c:f>
              <c:numCache>
                <c:formatCode>_(* #,##0.00_);_(* \(#,##0.00\);_(* "-"??_);_(@_)</c:formatCode>
                <c:ptCount val="5"/>
                <c:pt idx="0">
                  <c:v>0.45953360768175583</c:v>
                </c:pt>
                <c:pt idx="1">
                  <c:v>0.57042253521126762</c:v>
                </c:pt>
                <c:pt idx="2">
                  <c:v>0.64193227091633465</c:v>
                </c:pt>
                <c:pt idx="3">
                  <c:v>0.67621920563097038</c:v>
                </c:pt>
                <c:pt idx="4">
                  <c:v>0.32620545073375262</c:v>
                </c:pt>
              </c:numCache>
            </c:numRef>
          </c:val>
          <c:extLst>
            <c:ext xmlns:c16="http://schemas.microsoft.com/office/drawing/2014/chart" uri="{C3380CC4-5D6E-409C-BE32-E72D297353CC}">
              <c16:uniqueId val="{00000001-0D41-42E1-80E8-2C21FFB879D6}"/>
            </c:ext>
          </c:extLst>
        </c:ser>
        <c:ser>
          <c:idx val="2"/>
          <c:order val="2"/>
          <c:tx>
            <c:strRef>
              <c:f>'Balance Sheet'!$V$8</c:f>
              <c:strCache>
                <c:ptCount val="1"/>
                <c:pt idx="0">
                  <c:v>Tỷ lệ thanh toán tiền mặt</c:v>
                </c:pt>
              </c:strCache>
            </c:strRef>
          </c:tx>
          <c:spPr>
            <a:solidFill>
              <a:schemeClr val="accent3"/>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Sheet'!$W$8:$AA$8</c:f>
              <c:numCache>
                <c:formatCode>_(* #,##0.00_);_(* \(#,##0.00\);_(* "-"??_);_(@_)</c:formatCode>
                <c:ptCount val="5"/>
                <c:pt idx="0">
                  <c:v>5.1440329218106998E-2</c:v>
                </c:pt>
                <c:pt idx="1">
                  <c:v>0.36619718309859156</c:v>
                </c:pt>
                <c:pt idx="2">
                  <c:v>0.23705179282868527</c:v>
                </c:pt>
                <c:pt idx="3">
                  <c:v>0.13826043237807945</c:v>
                </c:pt>
                <c:pt idx="4">
                  <c:v>0.27463312368972748</c:v>
                </c:pt>
              </c:numCache>
            </c:numRef>
          </c:val>
          <c:extLst>
            <c:ext xmlns:c16="http://schemas.microsoft.com/office/drawing/2014/chart" uri="{C3380CC4-5D6E-409C-BE32-E72D297353CC}">
              <c16:uniqueId val="{00000002-0D41-42E1-80E8-2C21FFB879D6}"/>
            </c:ext>
          </c:extLst>
        </c:ser>
        <c:dLbls>
          <c:showLegendKey val="0"/>
          <c:showVal val="0"/>
          <c:showCatName val="0"/>
          <c:showSerName val="0"/>
          <c:showPercent val="0"/>
          <c:showBubbleSize val="0"/>
        </c:dLbls>
        <c:gapWidth val="219"/>
        <c:overlap val="-27"/>
        <c:axId val="209990192"/>
        <c:axId val="209974352"/>
      </c:barChart>
      <c:catAx>
        <c:axId val="20999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74352"/>
        <c:crosses val="autoZero"/>
        <c:auto val="1"/>
        <c:lblAlgn val="ctr"/>
        <c:lblOffset val="100"/>
        <c:noMultiLvlLbl val="0"/>
      </c:catAx>
      <c:valAx>
        <c:axId val="20997435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90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Tỷ Lệ</a:t>
            </a:r>
            <a:r>
              <a:rPr lang="en-US" b="1" baseline="0">
                <a:latin typeface="Times New Roman" panose="02020603050405020304" pitchFamily="18" charset="0"/>
                <a:cs typeface="Times New Roman" panose="02020603050405020304" pitchFamily="18" charset="0"/>
              </a:rPr>
              <a:t> Nợ Và Vốn</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'Balance Sheet'!$V$9</c:f>
              <c:strCache>
                <c:ptCount val="1"/>
                <c:pt idx="0">
                  <c:v>Tỷ lệ nợ trên tổng tài sản</c:v>
                </c:pt>
              </c:strCache>
            </c:strRef>
          </c:tx>
          <c:spPr>
            <a:solidFill>
              <a:schemeClr val="accent1"/>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Sheet'!$W$9:$AA$9</c:f>
              <c:numCache>
                <c:formatCode>_(* #,##0.00_);_(* \(#,##0.00\);_(* "-"??_);_(@_)</c:formatCode>
                <c:ptCount val="5"/>
                <c:pt idx="0">
                  <c:v>0.64561855670103097</c:v>
                </c:pt>
                <c:pt idx="1">
                  <c:v>0.58658743633276744</c:v>
                </c:pt>
                <c:pt idx="2">
                  <c:v>0.5674454485342737</c:v>
                </c:pt>
                <c:pt idx="3">
                  <c:v>0.54560929207970366</c:v>
                </c:pt>
                <c:pt idx="4">
                  <c:v>0.59049661771984818</c:v>
                </c:pt>
              </c:numCache>
            </c:numRef>
          </c:val>
          <c:extLst>
            <c:ext xmlns:c16="http://schemas.microsoft.com/office/drawing/2014/chart" uri="{C3380CC4-5D6E-409C-BE32-E72D297353CC}">
              <c16:uniqueId val="{00000000-E618-4277-A4A5-45FBA7A5775C}"/>
            </c:ext>
          </c:extLst>
        </c:ser>
        <c:ser>
          <c:idx val="1"/>
          <c:order val="1"/>
          <c:tx>
            <c:strRef>
              <c:f>'Balance Sheet'!$V$10</c:f>
              <c:strCache>
                <c:ptCount val="1"/>
                <c:pt idx="0">
                  <c:v>Tỷ lệ vốn tự có</c:v>
                </c:pt>
              </c:strCache>
            </c:strRef>
          </c:tx>
          <c:spPr>
            <a:solidFill>
              <a:schemeClr val="accent2"/>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Sheet'!$W$10:$AA$10</c:f>
              <c:numCache>
                <c:formatCode>_(* #,##0.00_);_(* \(#,##0.00\);_(* "-"??_);_(@_)</c:formatCode>
                <c:ptCount val="5"/>
                <c:pt idx="0">
                  <c:v>0.35438144329896909</c:v>
                </c:pt>
                <c:pt idx="1">
                  <c:v>0.41341256366723261</c:v>
                </c:pt>
                <c:pt idx="2">
                  <c:v>0.43255455146572624</c:v>
                </c:pt>
                <c:pt idx="3">
                  <c:v>0.4543907079202964</c:v>
                </c:pt>
                <c:pt idx="4">
                  <c:v>0.40950338228015182</c:v>
                </c:pt>
              </c:numCache>
            </c:numRef>
          </c:val>
          <c:extLst>
            <c:ext xmlns:c16="http://schemas.microsoft.com/office/drawing/2014/chart" uri="{C3380CC4-5D6E-409C-BE32-E72D297353CC}">
              <c16:uniqueId val="{00000001-E618-4277-A4A5-45FBA7A5775C}"/>
            </c:ext>
          </c:extLst>
        </c:ser>
        <c:ser>
          <c:idx val="2"/>
          <c:order val="2"/>
          <c:tx>
            <c:strRef>
              <c:f>'Balance Sheet'!$V$11</c:f>
              <c:strCache>
                <c:ptCount val="1"/>
                <c:pt idx="0">
                  <c:v>Tỷ lệ nợ trên vốn chủ sở hữu</c:v>
                </c:pt>
              </c:strCache>
            </c:strRef>
          </c:tx>
          <c:spPr>
            <a:solidFill>
              <a:schemeClr val="accent3"/>
            </a:solidFill>
            <a:ln>
              <a:noFill/>
            </a:ln>
            <a:effectLst/>
          </c:spPr>
          <c:invertIfNegative val="0"/>
          <c:cat>
            <c:numRef>
              <c:f>'Balance Sheet'!$W$5:$AA$5</c:f>
              <c:numCache>
                <c:formatCode>General</c:formatCode>
                <c:ptCount val="5"/>
                <c:pt idx="0">
                  <c:v>2019</c:v>
                </c:pt>
                <c:pt idx="1">
                  <c:v>2020</c:v>
                </c:pt>
                <c:pt idx="2">
                  <c:v>2021</c:v>
                </c:pt>
                <c:pt idx="3">
                  <c:v>2022</c:v>
                </c:pt>
                <c:pt idx="4">
                  <c:v>2023</c:v>
                </c:pt>
              </c:numCache>
            </c:numRef>
          </c:cat>
          <c:val>
            <c:numRef>
              <c:f>'Balance Sheet'!$W$11:$AA$11</c:f>
              <c:numCache>
                <c:formatCode>_(* #,##0.00_);_(* \(#,##0.00\);_(* "-"??_);_(@_)</c:formatCode>
                <c:ptCount val="5"/>
                <c:pt idx="0">
                  <c:v>1.8218181818181818</c:v>
                </c:pt>
                <c:pt idx="1">
                  <c:v>1.4188911704312115</c:v>
                </c:pt>
                <c:pt idx="2">
                  <c:v>1.3118471337579618</c:v>
                </c:pt>
                <c:pt idx="3">
                  <c:v>1.2007492287351256</c:v>
                </c:pt>
                <c:pt idx="4">
                  <c:v>1.4419822723609992</c:v>
                </c:pt>
              </c:numCache>
            </c:numRef>
          </c:val>
          <c:extLst>
            <c:ext xmlns:c16="http://schemas.microsoft.com/office/drawing/2014/chart" uri="{C3380CC4-5D6E-409C-BE32-E72D297353CC}">
              <c16:uniqueId val="{00000002-E618-4277-A4A5-45FBA7A5775C}"/>
            </c:ext>
          </c:extLst>
        </c:ser>
        <c:dLbls>
          <c:showLegendKey val="0"/>
          <c:showVal val="0"/>
          <c:showCatName val="0"/>
          <c:showSerName val="0"/>
          <c:showPercent val="0"/>
          <c:showBubbleSize val="0"/>
        </c:dLbls>
        <c:gapWidth val="219"/>
        <c:overlap val="-27"/>
        <c:axId val="209968592"/>
        <c:axId val="209975312"/>
      </c:barChart>
      <c:catAx>
        <c:axId val="209968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75312"/>
        <c:crosses val="autoZero"/>
        <c:auto val="1"/>
        <c:lblAlgn val="ctr"/>
        <c:lblOffset val="100"/>
        <c:noMultiLvlLbl val="0"/>
      </c:catAx>
      <c:valAx>
        <c:axId val="209975312"/>
        <c:scaling>
          <c:orientation val="minMax"/>
        </c:scaling>
        <c:delete val="0"/>
        <c:axPos val="l"/>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96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DC8D-0E3C-44A0-96A4-94BE5F3C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5</Pages>
  <Words>1138</Words>
  <Characters>6490</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Robert</dc:creator>
  <cp:keywords/>
  <dc:description/>
  <cp:lastModifiedBy>Harry Robert</cp:lastModifiedBy>
  <cp:revision>2</cp:revision>
  <dcterms:created xsi:type="dcterms:W3CDTF">2024-09-24T10:07:00Z</dcterms:created>
  <dcterms:modified xsi:type="dcterms:W3CDTF">2024-09-26T13:58:00Z</dcterms:modified>
</cp:coreProperties>
</file>