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图像识别研究报告</w:t>
      </w:r>
    </w:p>
    <w:p>
      <w:pPr>
        <w:pStyle w:val="Heading1"/>
      </w:pPr>
      <w:r>
        <w:t>一、引言</w:t>
      </w:r>
    </w:p>
    <w:p>
      <w:r>
        <w:t>本文研究</w:t>
      </w:r>
      <w:r>
        <w:rPr>
          <w:b/>
        </w:rPr>
        <w:t>深度学习</w:t>
      </w:r>
      <w:r>
        <w:t>在图像识别中的应用。</w:t>
      </w:r>
    </w:p>
    <w:p>
      <w:pPr>
        <w:pStyle w:val="Heading2"/>
      </w:pPr>
      <w:r>
        <w:t>1.1 方法</w:t>
      </w:r>
    </w:p>
    <w:p>
      <w:r>
        <w:t>实验配置如下表：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速度</w:t>
            </w:r>
          </w:p>
        </w:tc>
      </w:tr>
      <w:tr>
        <w:tc>
          <w:tcPr>
            <w:tcW w:type="dxa" w:w="2880"/>
          </w:tcPr>
          <w:p>
            <w:r>
              <w:t>ResNet-50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1.2s</w:t>
            </w:r>
          </w:p>
        </w:tc>
      </w:tr>
      <w:tr>
        <w:tc>
          <w:tcPr>
            <w:tcW w:type="dxa" w:w="2880"/>
          </w:tcPr>
          <w:p>
            <w:r>
              <w:t>EfficientNet</w:t>
            </w:r>
          </w:p>
        </w:tc>
        <w:tc>
          <w:tcPr>
            <w:tcW w:type="dxa" w:w="2880"/>
          </w:tcPr>
          <w:p>
            <w:r>
              <w:t>95.1%</w:t>
            </w:r>
          </w:p>
        </w:tc>
        <w:tc>
          <w:tcPr>
            <w:tcW w:type="dxa" w:w="2880"/>
          </w:tcPr>
          <w:p>
            <w:r>
              <w:t>0.8s</w:t>
            </w:r>
          </w:p>
        </w:tc>
      </w:tr>
    </w:tbl>
    <w:p/>
    <w:p>
      <w:r>
        <w:t>消融实验：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90.5%</w:t>
            </w:r>
          </w:p>
        </w:tc>
        <w:tc>
          <w:tcPr>
            <w:tcW w:type="dxa" w:w="2880"/>
          </w:tcPr>
          <w:p>
            <w:r>
              <w:t>无增强</w:t>
            </w:r>
          </w:p>
        </w:tc>
      </w:tr>
      <w:tr>
        <w:tc>
          <w:tcPr>
            <w:tcW w:type="dxa" w:w="2880"/>
          </w:tcPr>
          <w:p>
            <w:r>
              <w:t>full</w:t>
            </w:r>
          </w:p>
        </w:tc>
        <w:tc>
          <w:tcPr>
            <w:tcW w:type="dxa" w:w="2880"/>
          </w:tcPr>
          <w:p>
            <w:r>
              <w:t>96.8%</w:t>
            </w:r>
          </w:p>
        </w:tc>
        <w:tc>
          <w:tcPr>
            <w:tcW w:type="dxa" w:w="2880"/>
          </w:tcPr>
          <w:p>
            <w:r>
              <w:t>完整方案</w:t>
            </w:r>
          </w:p>
        </w:tc>
      </w:tr>
    </w:tbl>
    <w:p/>
    <w:p>
      <w:r>
        <w:t>多数据集：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准确率</w:t>
            </w:r>
          </w:p>
        </w:tc>
      </w:tr>
      <w:tr>
        <w:tc>
          <w:tcPr>
            <w:tcW w:type="dxa" w:w="4320"/>
            <w:vMerge w:val="restart"/>
          </w:tcPr>
          <w:p>
            <w:r>
              <w:t>Ours</w:t>
            </w:r>
          </w:p>
        </w:tc>
        <w:tc>
          <w:tcPr>
            <w:tcW w:type="dxa" w:w="4320"/>
          </w:tcPr>
          <w:p>
            <w:r>
              <w:t>98.5%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85.3%</w:t>
            </w:r>
          </w:p>
        </w:tc>
      </w:tr>
      <w:tr>
        <w:tc>
          <w:tcPr>
            <w:tcW w:type="dxa" w:w="4320"/>
            <w:vMerge w:val="restart"/>
          </w:tcPr>
          <w:p>
            <w:r>
              <w:t>Base</w:t>
            </w:r>
          </w:p>
        </w:tc>
        <w:tc>
          <w:tcPr>
            <w:tcW w:type="dxa" w:w="4320"/>
          </w:tcPr>
          <w:p>
            <w:r>
              <w:t>95.2%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78.9%</w:t>
            </w:r>
          </w:p>
        </w:tc>
      </w:tr>
    </w:tbl>
    <w:p>
      <w:pPr>
        <w:pStyle w:val="Heading1"/>
      </w:pPr>
      <w:r>
        <w:t>二、结论</w:t>
      </w:r>
    </w:p>
    <w:p>
      <w:r>
        <w:t>实验证明所提方法有效。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