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C9005" w14:textId="4A8F2911" w:rsidR="00193DE4" w:rsidRPr="002A0E67" w:rsidRDefault="002A0E67" w:rsidP="002A0E67">
      <w:pPr>
        <w:jc w:val="center"/>
        <w:rPr>
          <w:rFonts w:ascii="Times New Roman" w:hAnsi="Times New Roman" w:cs="Times New Roman"/>
          <w:b/>
          <w:bCs/>
        </w:rPr>
      </w:pPr>
      <w:r w:rsidRPr="002A0E67">
        <w:rPr>
          <w:rFonts w:ascii="Times New Roman" w:hAnsi="Times New Roman" w:cs="Times New Roman"/>
          <w:b/>
          <w:bCs/>
        </w:rPr>
        <w:t>Homework Week #2</w:t>
      </w:r>
    </w:p>
    <w:p w14:paraId="3519FE42" w14:textId="5EA39426" w:rsidR="002A0E67" w:rsidRDefault="002A0E67" w:rsidP="00364377">
      <w:pPr>
        <w:jc w:val="center"/>
        <w:rPr>
          <w:rFonts w:ascii="Times New Roman" w:hAnsi="Times New Roman" w:cs="Times New Roman"/>
          <w:b/>
          <w:bCs/>
        </w:rPr>
      </w:pPr>
      <w:r w:rsidRPr="002A0E67">
        <w:rPr>
          <w:rFonts w:ascii="Times New Roman" w:hAnsi="Times New Roman" w:cs="Times New Roman"/>
          <w:b/>
          <w:bCs/>
        </w:rPr>
        <w:t>FINM 35910</w:t>
      </w:r>
    </w:p>
    <w:p w14:paraId="425A86E9" w14:textId="3FF71379" w:rsidR="002A0E67" w:rsidRPr="0049741D" w:rsidRDefault="002A0E67" w:rsidP="0049741D">
      <w:pPr>
        <w:pStyle w:val="ListParagraph"/>
        <w:numPr>
          <w:ilvl w:val="0"/>
          <w:numId w:val="11"/>
        </w:numPr>
        <w:rPr>
          <w:rFonts w:ascii="Times New Roman" w:hAnsi="Times New Roman" w:cs="Times New Roman"/>
          <w:b/>
          <w:bCs/>
          <w:sz w:val="24"/>
          <w:szCs w:val="24"/>
        </w:rPr>
      </w:pPr>
      <w:r w:rsidRPr="0049741D">
        <w:rPr>
          <w:rFonts w:ascii="Times New Roman" w:hAnsi="Times New Roman" w:cs="Times New Roman"/>
          <w:b/>
          <w:bCs/>
          <w:sz w:val="24"/>
          <w:szCs w:val="24"/>
        </w:rPr>
        <w:t>Investment Hypothesis and Goals</w:t>
      </w:r>
    </w:p>
    <w:p w14:paraId="3155B3C6" w14:textId="0D5D7707" w:rsidR="002A0E67" w:rsidRDefault="00AD697D" w:rsidP="00DB1399">
      <w:pPr>
        <w:rPr>
          <w:rFonts w:ascii="Times New Roman" w:hAnsi="Times New Roman" w:cs="Times New Roman"/>
        </w:rPr>
      </w:pPr>
      <w:r w:rsidRPr="00DB1399">
        <w:rPr>
          <w:rFonts w:ascii="Times New Roman" w:hAnsi="Times New Roman" w:cs="Times New Roman"/>
        </w:rPr>
        <w:t>Our fund’s objective is to</w:t>
      </w:r>
      <w:r w:rsidR="00DB1399">
        <w:rPr>
          <w:rFonts w:ascii="Times New Roman" w:hAnsi="Times New Roman" w:cs="Times New Roman"/>
        </w:rPr>
        <w:t xml:space="preserve"> identify price discrepancies between highly correlated crypto assets and executing trades to capitalize on them reverting to the mean price, providing profitable trading opportunities. </w:t>
      </w:r>
      <w:r w:rsidR="00B42F79">
        <w:rPr>
          <w:rFonts w:ascii="Times New Roman" w:hAnsi="Times New Roman" w:cs="Times New Roman"/>
        </w:rPr>
        <w:t xml:space="preserve">By identifying periods when crypto asset prices diverge significantly from their historical correlation, the strategy can profit from expected reversion. </w:t>
      </w:r>
      <w:r w:rsidR="00DB1399">
        <w:rPr>
          <w:rFonts w:ascii="Times New Roman" w:hAnsi="Times New Roman" w:cs="Times New Roman"/>
        </w:rPr>
        <w:t>In the end, we aim to deliver superior risk adjusted returns</w:t>
      </w:r>
      <w:r w:rsidRPr="00DB1399">
        <w:rPr>
          <w:rFonts w:ascii="Times New Roman" w:hAnsi="Times New Roman" w:cs="Times New Roman"/>
        </w:rPr>
        <w:t xml:space="preserve"> </w:t>
      </w:r>
      <w:r w:rsidR="00DB1399">
        <w:rPr>
          <w:rFonts w:ascii="Times New Roman" w:hAnsi="Times New Roman" w:cs="Times New Roman"/>
        </w:rPr>
        <w:t>in comparison to the benchmark</w:t>
      </w:r>
      <w:r w:rsidR="00B42F79">
        <w:rPr>
          <w:rFonts w:ascii="Times New Roman" w:hAnsi="Times New Roman" w:cs="Times New Roman"/>
        </w:rPr>
        <w:t xml:space="preserve"> (e.g. a simple BTC-ETH portfolio or holding BTC and/or ETH)</w:t>
      </w:r>
      <w:r w:rsidR="00DB1399">
        <w:rPr>
          <w:rFonts w:ascii="Times New Roman" w:hAnsi="Times New Roman" w:cs="Times New Roman"/>
        </w:rPr>
        <w:t>.</w:t>
      </w:r>
    </w:p>
    <w:p w14:paraId="22ADCF47" w14:textId="14DB3000" w:rsidR="00494AC7" w:rsidRPr="00494AC7" w:rsidRDefault="00494AC7" w:rsidP="00DB1399">
      <w:pPr>
        <w:rPr>
          <w:rFonts w:ascii="Times New Roman" w:hAnsi="Times New Roman" w:cs="Times New Roman"/>
          <w:b/>
          <w:bCs/>
        </w:rPr>
      </w:pPr>
      <w:r w:rsidRPr="00494AC7">
        <w:rPr>
          <w:rFonts w:ascii="Times New Roman" w:hAnsi="Times New Roman" w:cs="Times New Roman"/>
          <w:b/>
          <w:bCs/>
        </w:rPr>
        <w:t>Strategy Parameters</w:t>
      </w:r>
    </w:p>
    <w:p w14:paraId="0ED8831D" w14:textId="77777777" w:rsidR="00B42F79" w:rsidRDefault="00B42F79" w:rsidP="00DB1399">
      <w:pPr>
        <w:pStyle w:val="ListParagraph"/>
        <w:numPr>
          <w:ilvl w:val="0"/>
          <w:numId w:val="3"/>
        </w:numPr>
        <w:rPr>
          <w:rFonts w:ascii="Times New Roman" w:hAnsi="Times New Roman" w:cs="Times New Roman"/>
          <w:b/>
          <w:bCs/>
        </w:rPr>
      </w:pPr>
      <w:r w:rsidRPr="00B42F79">
        <w:rPr>
          <w:rFonts w:ascii="Times New Roman" w:hAnsi="Times New Roman" w:cs="Times New Roman"/>
          <w:b/>
          <w:bCs/>
        </w:rPr>
        <w:t>Investment Universe</w:t>
      </w:r>
      <w:r>
        <w:rPr>
          <w:rFonts w:ascii="Times New Roman" w:hAnsi="Times New Roman" w:cs="Times New Roman"/>
          <w:b/>
          <w:bCs/>
        </w:rPr>
        <w:t>:</w:t>
      </w:r>
    </w:p>
    <w:p w14:paraId="635B1D4F" w14:textId="4717FCA2" w:rsidR="00DB1399" w:rsidRPr="00B42F79" w:rsidRDefault="00DB1399" w:rsidP="00B42F79">
      <w:pPr>
        <w:pStyle w:val="ListParagraph"/>
        <w:numPr>
          <w:ilvl w:val="1"/>
          <w:numId w:val="3"/>
        </w:numPr>
        <w:rPr>
          <w:rFonts w:ascii="Times New Roman" w:hAnsi="Times New Roman" w:cs="Times New Roman"/>
          <w:b/>
          <w:bCs/>
        </w:rPr>
      </w:pPr>
      <w:r w:rsidRPr="00B42F79">
        <w:rPr>
          <w:rFonts w:ascii="Times New Roman" w:hAnsi="Times New Roman" w:cs="Times New Roman"/>
        </w:rPr>
        <w:t>Currently</w:t>
      </w:r>
      <w:r w:rsidR="00B42F79" w:rsidRPr="00B42F79">
        <w:rPr>
          <w:rFonts w:ascii="Times New Roman" w:hAnsi="Times New Roman" w:cs="Times New Roman"/>
        </w:rPr>
        <w:t>, the strategy focuses solely on BTC/USD and ETH/USD trading pairs on the crypto exchange Coinbase. Coinbase w</w:t>
      </w:r>
      <w:r w:rsidR="00B42F79">
        <w:rPr>
          <w:rFonts w:ascii="Times New Roman" w:hAnsi="Times New Roman" w:cs="Times New Roman"/>
        </w:rPr>
        <w:t>as</w:t>
      </w:r>
      <w:r w:rsidR="00B42F79" w:rsidRPr="00B42F79">
        <w:rPr>
          <w:rFonts w:ascii="Times New Roman" w:hAnsi="Times New Roman" w:cs="Times New Roman"/>
        </w:rPr>
        <w:t xml:space="preserve"> chosen for their compliance with U.S. regulations, high liquidity, and established trading history. </w:t>
      </w:r>
    </w:p>
    <w:p w14:paraId="041FA12B" w14:textId="3AE6A8B1" w:rsidR="00B42F79" w:rsidRPr="009C3FBD" w:rsidRDefault="00B42F79" w:rsidP="00B42F79">
      <w:pPr>
        <w:pStyle w:val="ListParagraph"/>
        <w:numPr>
          <w:ilvl w:val="0"/>
          <w:numId w:val="3"/>
        </w:numPr>
        <w:rPr>
          <w:rFonts w:ascii="Times New Roman" w:hAnsi="Times New Roman" w:cs="Times New Roman"/>
          <w:b/>
          <w:bCs/>
        </w:rPr>
      </w:pPr>
      <w:r w:rsidRPr="009C3FBD">
        <w:rPr>
          <w:rFonts w:ascii="Times New Roman" w:hAnsi="Times New Roman" w:cs="Times New Roman"/>
          <w:b/>
          <w:bCs/>
        </w:rPr>
        <w:t>Return Definition:</w:t>
      </w:r>
    </w:p>
    <w:p w14:paraId="4800ED53" w14:textId="7F5F6218" w:rsidR="00B42F79" w:rsidRDefault="00B42F79" w:rsidP="009C3FBD">
      <w:pPr>
        <w:pStyle w:val="ListParagraph"/>
        <w:numPr>
          <w:ilvl w:val="1"/>
          <w:numId w:val="3"/>
        </w:numPr>
        <w:rPr>
          <w:rFonts w:ascii="Times New Roman" w:hAnsi="Times New Roman" w:cs="Times New Roman"/>
        </w:rPr>
      </w:pPr>
      <w:r w:rsidRPr="009C3FBD">
        <w:rPr>
          <w:rFonts w:ascii="Times New Roman" w:hAnsi="Times New Roman" w:cs="Times New Roman"/>
        </w:rPr>
        <w:t xml:space="preserve">Returns are defined as the percentage gain or </w:t>
      </w:r>
      <w:r w:rsidR="009C3FBD">
        <w:rPr>
          <w:rFonts w:ascii="Times New Roman" w:hAnsi="Times New Roman" w:cs="Times New Roman"/>
        </w:rPr>
        <w:t>loss achieved by trading the BTC-ETH spread over the holding period. This return will be calculated net of transaction fees and slippage.</w:t>
      </w:r>
    </w:p>
    <w:p w14:paraId="71F2F37E" w14:textId="3C32ECEB" w:rsidR="009C3FBD" w:rsidRDefault="009C3FBD" w:rsidP="009C3FBD">
      <w:pPr>
        <w:pStyle w:val="ListParagraph"/>
        <w:numPr>
          <w:ilvl w:val="0"/>
          <w:numId w:val="3"/>
        </w:numPr>
        <w:rPr>
          <w:rFonts w:ascii="Times New Roman" w:hAnsi="Times New Roman" w:cs="Times New Roman"/>
          <w:b/>
          <w:bCs/>
        </w:rPr>
      </w:pPr>
      <w:r w:rsidRPr="009C3FBD">
        <w:rPr>
          <w:rFonts w:ascii="Times New Roman" w:hAnsi="Times New Roman" w:cs="Times New Roman"/>
          <w:b/>
          <w:bCs/>
        </w:rPr>
        <w:t>Rebalancing Frequency:</w:t>
      </w:r>
    </w:p>
    <w:p w14:paraId="3D1DDD6A" w14:textId="4B3463C6" w:rsidR="009C3FBD" w:rsidRPr="009C3FBD" w:rsidRDefault="009C3FBD" w:rsidP="009C3FBD">
      <w:pPr>
        <w:pStyle w:val="ListParagraph"/>
        <w:numPr>
          <w:ilvl w:val="1"/>
          <w:numId w:val="3"/>
        </w:numPr>
        <w:rPr>
          <w:rFonts w:ascii="Times New Roman" w:hAnsi="Times New Roman" w:cs="Times New Roman"/>
          <w:b/>
          <w:bCs/>
        </w:rPr>
      </w:pPr>
      <w:r>
        <w:rPr>
          <w:rFonts w:ascii="Times New Roman" w:hAnsi="Times New Roman" w:cs="Times New Roman"/>
        </w:rPr>
        <w:t>The strategy will operate on 1-minute data to identify short-term arbitrage opportunities and potential mean-reversion events. It may re-adjust position every minute if signals indicate entry or exit conditions.</w:t>
      </w:r>
    </w:p>
    <w:p w14:paraId="5DCD37AC" w14:textId="4A2DF8D5" w:rsidR="009C3FBD" w:rsidRDefault="009C3FBD" w:rsidP="009C3FBD">
      <w:pPr>
        <w:pStyle w:val="ListParagraph"/>
        <w:numPr>
          <w:ilvl w:val="0"/>
          <w:numId w:val="3"/>
        </w:numPr>
        <w:rPr>
          <w:rFonts w:ascii="Times New Roman" w:hAnsi="Times New Roman" w:cs="Times New Roman"/>
          <w:b/>
          <w:bCs/>
        </w:rPr>
      </w:pPr>
      <w:r w:rsidRPr="009C3FBD">
        <w:rPr>
          <w:rFonts w:ascii="Times New Roman" w:hAnsi="Times New Roman" w:cs="Times New Roman"/>
          <w:b/>
          <w:bCs/>
        </w:rPr>
        <w:t>Transaction Costs:</w:t>
      </w:r>
    </w:p>
    <w:p w14:paraId="02D8F420" w14:textId="4C187489" w:rsidR="009C3FBD" w:rsidRPr="009C3FBD" w:rsidRDefault="009C3FBD" w:rsidP="009C3FBD">
      <w:pPr>
        <w:pStyle w:val="ListParagraph"/>
        <w:numPr>
          <w:ilvl w:val="1"/>
          <w:numId w:val="3"/>
        </w:numPr>
        <w:rPr>
          <w:rFonts w:ascii="Times New Roman" w:hAnsi="Times New Roman" w:cs="Times New Roman"/>
          <w:b/>
          <w:bCs/>
        </w:rPr>
      </w:pPr>
      <w:r>
        <w:rPr>
          <w:rFonts w:ascii="Times New Roman" w:hAnsi="Times New Roman" w:cs="Times New Roman"/>
        </w:rPr>
        <w:t>Coinbase charges transaction fees that vary with trading volume, typically around 0.40% to 1.20% depending on the fee tiers (</w:t>
      </w:r>
      <w:hyperlink r:id="rId7" w:history="1">
        <w:r w:rsidRPr="009C3FBD">
          <w:rPr>
            <w:rStyle w:val="Hyperlink"/>
            <w:rFonts w:ascii="Times New Roman" w:hAnsi="Times New Roman" w:cs="Times New Roman"/>
          </w:rPr>
          <w:t>Coinbase Advanced Fees</w:t>
        </w:r>
      </w:hyperlink>
      <w:r>
        <w:rPr>
          <w:rFonts w:ascii="Times New Roman" w:hAnsi="Times New Roman" w:cs="Times New Roman"/>
        </w:rPr>
        <w:t>). Slippage, especially on higher volume trades, will also be factored into our model to more accurately simulate live trading.</w:t>
      </w:r>
    </w:p>
    <w:p w14:paraId="23D95CA8" w14:textId="059BBF53" w:rsidR="009C3FBD" w:rsidRDefault="009C3FBD" w:rsidP="009C3FBD">
      <w:pPr>
        <w:pStyle w:val="ListParagraph"/>
        <w:numPr>
          <w:ilvl w:val="0"/>
          <w:numId w:val="6"/>
        </w:numPr>
        <w:rPr>
          <w:rFonts w:ascii="Times New Roman" w:hAnsi="Times New Roman" w:cs="Times New Roman"/>
          <w:b/>
          <w:bCs/>
        </w:rPr>
      </w:pPr>
      <w:r>
        <w:rPr>
          <w:rFonts w:ascii="Times New Roman" w:hAnsi="Times New Roman" w:cs="Times New Roman"/>
          <w:b/>
          <w:bCs/>
        </w:rPr>
        <w:t>Testing Period:</w:t>
      </w:r>
    </w:p>
    <w:p w14:paraId="0FFBC03C" w14:textId="7B5D3788" w:rsidR="009C3FBD" w:rsidRPr="00494AC7" w:rsidRDefault="009C3FBD" w:rsidP="009C3FBD">
      <w:pPr>
        <w:pStyle w:val="ListParagraph"/>
        <w:numPr>
          <w:ilvl w:val="1"/>
          <w:numId w:val="6"/>
        </w:numPr>
        <w:rPr>
          <w:rFonts w:ascii="Times New Roman" w:hAnsi="Times New Roman" w:cs="Times New Roman"/>
          <w:b/>
          <w:bCs/>
        </w:rPr>
      </w:pPr>
      <w:r>
        <w:rPr>
          <w:rFonts w:ascii="Times New Roman" w:hAnsi="Times New Roman" w:cs="Times New Roman"/>
        </w:rPr>
        <w:t xml:space="preserve">Our testing period will span from January 1, </w:t>
      </w:r>
      <w:proofErr w:type="gramStart"/>
      <w:r>
        <w:rPr>
          <w:rFonts w:ascii="Times New Roman" w:hAnsi="Times New Roman" w:cs="Times New Roman"/>
        </w:rPr>
        <w:t>2022</w:t>
      </w:r>
      <w:proofErr w:type="gramEnd"/>
      <w:r>
        <w:rPr>
          <w:rFonts w:ascii="Times New Roman" w:hAnsi="Times New Roman" w:cs="Times New Roman"/>
        </w:rPr>
        <w:t xml:space="preserve"> to Oct 31, 2024</w:t>
      </w:r>
      <w:r w:rsidR="00494AC7">
        <w:rPr>
          <w:rFonts w:ascii="Times New Roman" w:hAnsi="Times New Roman" w:cs="Times New Roman"/>
        </w:rPr>
        <w:t>. Almost three years of Coinbase 1-minute data will provide enough variability for training and testing across various market regimes.</w:t>
      </w:r>
    </w:p>
    <w:p w14:paraId="227B32BA" w14:textId="311710B5" w:rsidR="00494AC7" w:rsidRDefault="00494AC7" w:rsidP="00494AC7">
      <w:pPr>
        <w:pStyle w:val="ListParagraph"/>
        <w:numPr>
          <w:ilvl w:val="0"/>
          <w:numId w:val="6"/>
        </w:numPr>
        <w:rPr>
          <w:rFonts w:ascii="Times New Roman" w:hAnsi="Times New Roman" w:cs="Times New Roman"/>
          <w:b/>
          <w:bCs/>
        </w:rPr>
      </w:pPr>
      <w:r w:rsidRPr="00494AC7">
        <w:rPr>
          <w:rFonts w:ascii="Times New Roman" w:hAnsi="Times New Roman" w:cs="Times New Roman"/>
          <w:b/>
          <w:bCs/>
        </w:rPr>
        <w:t>Benchmark</w:t>
      </w:r>
      <w:r>
        <w:rPr>
          <w:rFonts w:ascii="Times New Roman" w:hAnsi="Times New Roman" w:cs="Times New Roman"/>
          <w:b/>
          <w:bCs/>
        </w:rPr>
        <w:t>:</w:t>
      </w:r>
    </w:p>
    <w:p w14:paraId="659CA228" w14:textId="2A1F0102" w:rsidR="00494AC7" w:rsidRPr="00494AC7" w:rsidRDefault="00494AC7" w:rsidP="00494AC7">
      <w:pPr>
        <w:pStyle w:val="ListParagraph"/>
        <w:numPr>
          <w:ilvl w:val="1"/>
          <w:numId w:val="6"/>
        </w:numPr>
        <w:rPr>
          <w:rFonts w:ascii="Times New Roman" w:hAnsi="Times New Roman" w:cs="Times New Roman"/>
          <w:b/>
          <w:bCs/>
        </w:rPr>
      </w:pPr>
      <w:r>
        <w:rPr>
          <w:rFonts w:ascii="Times New Roman" w:hAnsi="Times New Roman" w:cs="Times New Roman"/>
        </w:rPr>
        <w:t>The benchmark is an equally weighted buy and hold portfolio of BTC and ETH. This baseline allows us to measure performance against a passive holding strategy.</w:t>
      </w:r>
    </w:p>
    <w:p w14:paraId="153C40F5" w14:textId="2441FB7F" w:rsidR="00494AC7" w:rsidRDefault="00494AC7" w:rsidP="00494AC7">
      <w:pPr>
        <w:rPr>
          <w:rFonts w:ascii="Times New Roman" w:hAnsi="Times New Roman" w:cs="Times New Roman"/>
          <w:b/>
          <w:bCs/>
        </w:rPr>
      </w:pPr>
      <w:r>
        <w:rPr>
          <w:rFonts w:ascii="Times New Roman" w:hAnsi="Times New Roman" w:cs="Times New Roman"/>
          <w:b/>
          <w:bCs/>
        </w:rPr>
        <w:t>Strategy Hypothesis</w:t>
      </w:r>
    </w:p>
    <w:p w14:paraId="209B42EA" w14:textId="120FCB46" w:rsidR="00494AC7" w:rsidRDefault="00494AC7" w:rsidP="00494AC7">
      <w:pPr>
        <w:pStyle w:val="ListParagraph"/>
        <w:numPr>
          <w:ilvl w:val="0"/>
          <w:numId w:val="7"/>
        </w:numPr>
        <w:rPr>
          <w:rFonts w:ascii="Times New Roman" w:hAnsi="Times New Roman" w:cs="Times New Roman"/>
          <w:b/>
          <w:bCs/>
        </w:rPr>
      </w:pPr>
      <w:r>
        <w:rPr>
          <w:rFonts w:ascii="Times New Roman" w:hAnsi="Times New Roman" w:cs="Times New Roman"/>
          <w:b/>
          <w:bCs/>
        </w:rPr>
        <w:t>Hypothesis:</w:t>
      </w:r>
    </w:p>
    <w:p w14:paraId="279B12D7" w14:textId="447AB546" w:rsidR="00494AC7" w:rsidRPr="00494AC7" w:rsidRDefault="00494AC7" w:rsidP="00494AC7">
      <w:pPr>
        <w:pStyle w:val="ListParagraph"/>
        <w:numPr>
          <w:ilvl w:val="1"/>
          <w:numId w:val="7"/>
        </w:numPr>
        <w:rPr>
          <w:rFonts w:ascii="Times New Roman" w:hAnsi="Times New Roman" w:cs="Times New Roman"/>
          <w:b/>
          <w:bCs/>
        </w:rPr>
      </w:pPr>
      <w:r>
        <w:rPr>
          <w:rFonts w:ascii="Times New Roman" w:hAnsi="Times New Roman" w:cs="Times New Roman"/>
        </w:rPr>
        <w:t xml:space="preserve">BTC and ETH maintain a stable and long-term correlation. Any </w:t>
      </w:r>
      <w:r w:rsidR="00B43C59">
        <w:rPr>
          <w:rFonts w:ascii="Times New Roman" w:hAnsi="Times New Roman" w:cs="Times New Roman"/>
        </w:rPr>
        <w:t>short-term</w:t>
      </w:r>
      <w:r>
        <w:rPr>
          <w:rFonts w:ascii="Times New Roman" w:hAnsi="Times New Roman" w:cs="Times New Roman"/>
        </w:rPr>
        <w:t xml:space="preserve"> deviations from this equilibrium represent temporary inefficiencies that we can exploit for a profit</w:t>
      </w:r>
    </w:p>
    <w:p w14:paraId="0715F964" w14:textId="0E1F954F" w:rsidR="00494AC7" w:rsidRPr="00494AC7" w:rsidRDefault="00494AC7" w:rsidP="00494AC7">
      <w:pPr>
        <w:pStyle w:val="ListParagraph"/>
        <w:numPr>
          <w:ilvl w:val="0"/>
          <w:numId w:val="7"/>
        </w:numPr>
        <w:rPr>
          <w:rFonts w:ascii="Times New Roman" w:hAnsi="Times New Roman" w:cs="Times New Roman"/>
          <w:b/>
          <w:bCs/>
        </w:rPr>
      </w:pPr>
      <w:r w:rsidRPr="00494AC7">
        <w:rPr>
          <w:rFonts w:ascii="Times New Roman" w:hAnsi="Times New Roman" w:cs="Times New Roman"/>
          <w:b/>
          <w:bCs/>
        </w:rPr>
        <w:t>Entry and Exit Criteria:</w:t>
      </w:r>
    </w:p>
    <w:p w14:paraId="7C9C7A32" w14:textId="77777777" w:rsidR="00494AC7" w:rsidRDefault="00494AC7" w:rsidP="00494AC7">
      <w:pPr>
        <w:pStyle w:val="ListParagraph"/>
        <w:numPr>
          <w:ilvl w:val="1"/>
          <w:numId w:val="7"/>
        </w:numPr>
        <w:rPr>
          <w:rFonts w:ascii="Times New Roman" w:hAnsi="Times New Roman" w:cs="Times New Roman"/>
        </w:rPr>
      </w:pPr>
      <w:r w:rsidRPr="00494AC7">
        <w:rPr>
          <w:rFonts w:ascii="Times New Roman" w:hAnsi="Times New Roman" w:cs="Times New Roman"/>
        </w:rPr>
        <w:t xml:space="preserve">Spread </w:t>
      </w:r>
      <w:r>
        <w:rPr>
          <w:rFonts w:ascii="Times New Roman" w:hAnsi="Times New Roman" w:cs="Times New Roman"/>
        </w:rPr>
        <w:t>Calculation: We define the BTC-ETH spread as</w:t>
      </w:r>
    </w:p>
    <w:p w14:paraId="27E16D01" w14:textId="1A08BFF6" w:rsidR="00494AC7" w:rsidRPr="00494AC7" w:rsidRDefault="00494AC7" w:rsidP="00494AC7">
      <w:pPr>
        <w:pStyle w:val="ListParagraph"/>
        <w:ind w:left="1440"/>
        <w:rPr>
          <w:rFonts w:ascii="Times New Roman" w:eastAsiaTheme="minorEastAsia" w:hAnsi="Times New Roman" w:cs="Times New Roman"/>
        </w:rPr>
      </w:pPr>
      <m:oMathPara>
        <m:oMath>
          <m:r>
            <w:rPr>
              <w:rFonts w:ascii="Cambria Math" w:hAnsi="Cambria Math" w:cs="Times New Roman"/>
            </w:rPr>
            <m:t>BTC Price-β*ETH Price</m:t>
          </m:r>
        </m:oMath>
      </m:oMathPara>
    </w:p>
    <w:p w14:paraId="40B44B75" w14:textId="3FE540D0" w:rsidR="00494AC7" w:rsidRDefault="00494AC7" w:rsidP="00494AC7">
      <w:pPr>
        <w:pStyle w:val="ListParagraph"/>
        <w:ind w:left="1440"/>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β</m:t>
        </m:r>
      </m:oMath>
      <w:r>
        <w:rPr>
          <w:rFonts w:ascii="Times New Roman" w:eastAsiaTheme="minorEastAsia" w:hAnsi="Times New Roman" w:cs="Times New Roman"/>
        </w:rPr>
        <w:t xml:space="preserve"> is calculated through cointegration analysis.</w:t>
      </w:r>
    </w:p>
    <w:p w14:paraId="2D4B3B46" w14:textId="416A656B" w:rsidR="00494AC7" w:rsidRDefault="00494AC7" w:rsidP="00494AC7">
      <w:pPr>
        <w:pStyle w:val="ListParagraph"/>
        <w:numPr>
          <w:ilvl w:val="1"/>
          <w:numId w:val="9"/>
        </w:numPr>
        <w:rPr>
          <w:rFonts w:ascii="Times New Roman" w:eastAsiaTheme="minorEastAsia" w:hAnsi="Times New Roman" w:cs="Times New Roman"/>
        </w:rPr>
      </w:pPr>
      <w:r>
        <w:rPr>
          <w:rFonts w:ascii="Times New Roman" w:eastAsiaTheme="minorEastAsia" w:hAnsi="Times New Roman" w:cs="Times New Roman"/>
        </w:rPr>
        <w:lastRenderedPageBreak/>
        <w:t>We will enter a long position on one asset and short position on the other when the spread deviates by more than a certain number of standard deviations from the mean.</w:t>
      </w:r>
    </w:p>
    <w:p w14:paraId="02973B6E" w14:textId="61326799" w:rsidR="00494AC7" w:rsidRDefault="00494AC7" w:rsidP="00494AC7">
      <w:pPr>
        <w:pStyle w:val="ListParagraph"/>
        <w:numPr>
          <w:ilvl w:val="1"/>
          <w:numId w:val="9"/>
        </w:numPr>
        <w:rPr>
          <w:rFonts w:ascii="Times New Roman" w:eastAsiaTheme="minorEastAsia" w:hAnsi="Times New Roman" w:cs="Times New Roman"/>
        </w:rPr>
      </w:pPr>
      <w:r>
        <w:rPr>
          <w:rFonts w:ascii="Times New Roman" w:eastAsiaTheme="minorEastAsia" w:hAnsi="Times New Roman" w:cs="Times New Roman"/>
        </w:rPr>
        <w:t>We will close the positions when the spread reverts to its mean or within a range close to the mean.</w:t>
      </w:r>
    </w:p>
    <w:p w14:paraId="278EBC09" w14:textId="7947227E" w:rsidR="00494AC7" w:rsidRDefault="00691349" w:rsidP="00494AC7">
      <w:pPr>
        <w:pStyle w:val="ListParagraph"/>
        <w:numPr>
          <w:ilvl w:val="1"/>
          <w:numId w:val="9"/>
        </w:numPr>
        <w:rPr>
          <w:rFonts w:ascii="Times New Roman" w:eastAsiaTheme="minorEastAsia" w:hAnsi="Times New Roman" w:cs="Times New Roman"/>
        </w:rPr>
      </w:pPr>
      <w:r>
        <w:rPr>
          <w:rFonts w:ascii="Times New Roman" w:eastAsiaTheme="minorEastAsia" w:hAnsi="Times New Roman" w:cs="Times New Roman"/>
        </w:rPr>
        <w:t>To</w:t>
      </w:r>
      <w:r w:rsidR="00494AC7">
        <w:rPr>
          <w:rFonts w:ascii="Times New Roman" w:eastAsiaTheme="minorEastAsia" w:hAnsi="Times New Roman" w:cs="Times New Roman"/>
        </w:rPr>
        <w:t xml:space="preserve"> mitigate risk, we will implement a stop loss to limit losses if the spread continues to diverge.</w:t>
      </w:r>
    </w:p>
    <w:p w14:paraId="7FEFFABB" w14:textId="39982914" w:rsidR="00494AC7" w:rsidRDefault="00494AC7" w:rsidP="00494AC7">
      <w:pPr>
        <w:rPr>
          <w:rFonts w:ascii="Times New Roman" w:eastAsiaTheme="minorEastAsia" w:hAnsi="Times New Roman" w:cs="Times New Roman"/>
          <w:b/>
          <w:bCs/>
        </w:rPr>
      </w:pPr>
      <w:r w:rsidRPr="00494AC7">
        <w:rPr>
          <w:rFonts w:ascii="Times New Roman" w:eastAsiaTheme="minorEastAsia" w:hAnsi="Times New Roman" w:cs="Times New Roman"/>
          <w:b/>
          <w:bCs/>
        </w:rPr>
        <w:t>Market Impact and Liquidity Constraints</w:t>
      </w:r>
    </w:p>
    <w:p w14:paraId="70EB1649" w14:textId="50C47535" w:rsidR="00494AC7" w:rsidRDefault="00494AC7" w:rsidP="00494AC7">
      <w:pPr>
        <w:pStyle w:val="ListParagraph"/>
        <w:numPr>
          <w:ilvl w:val="0"/>
          <w:numId w:val="10"/>
        </w:numPr>
        <w:rPr>
          <w:rFonts w:ascii="Times New Roman" w:eastAsiaTheme="minorEastAsia" w:hAnsi="Times New Roman" w:cs="Times New Roman"/>
          <w:b/>
          <w:bCs/>
        </w:rPr>
      </w:pPr>
      <w:r>
        <w:rPr>
          <w:rFonts w:ascii="Times New Roman" w:eastAsiaTheme="minorEastAsia" w:hAnsi="Times New Roman" w:cs="Times New Roman"/>
          <w:b/>
          <w:bCs/>
        </w:rPr>
        <w:t>Market Impact:</w:t>
      </w:r>
    </w:p>
    <w:p w14:paraId="469D8F2F" w14:textId="6F952F85" w:rsidR="00494AC7" w:rsidRPr="0075640E" w:rsidRDefault="00494AC7" w:rsidP="00494AC7">
      <w:pPr>
        <w:pStyle w:val="ListParagraph"/>
        <w:numPr>
          <w:ilvl w:val="1"/>
          <w:numId w:val="10"/>
        </w:numPr>
        <w:rPr>
          <w:rFonts w:ascii="Times New Roman" w:eastAsiaTheme="minorEastAsia" w:hAnsi="Times New Roman" w:cs="Times New Roman"/>
          <w:b/>
          <w:bCs/>
        </w:rPr>
      </w:pPr>
      <w:r>
        <w:rPr>
          <w:rFonts w:ascii="Times New Roman" w:eastAsiaTheme="minorEastAsia" w:hAnsi="Times New Roman" w:cs="Times New Roman"/>
        </w:rPr>
        <w:t xml:space="preserve">Rebalancing on a 1-minute timeframe can lead to higher transaction costs due to slippage and market impact, particularly in volatile markets such as crypto. We will need to scale trading volumes to </w:t>
      </w:r>
      <w:r w:rsidR="0075640E">
        <w:rPr>
          <w:rFonts w:ascii="Times New Roman" w:eastAsiaTheme="minorEastAsia" w:hAnsi="Times New Roman" w:cs="Times New Roman"/>
        </w:rPr>
        <w:t>avoid excessive slippage.</w:t>
      </w:r>
    </w:p>
    <w:p w14:paraId="26C50528" w14:textId="14F877D4" w:rsidR="0075640E" w:rsidRPr="00B43C59" w:rsidRDefault="0075640E" w:rsidP="0075640E">
      <w:pPr>
        <w:pStyle w:val="ListParagraph"/>
        <w:numPr>
          <w:ilvl w:val="0"/>
          <w:numId w:val="10"/>
        </w:numPr>
        <w:rPr>
          <w:rFonts w:ascii="Times New Roman" w:eastAsiaTheme="minorEastAsia" w:hAnsi="Times New Roman" w:cs="Times New Roman"/>
          <w:b/>
          <w:bCs/>
        </w:rPr>
      </w:pPr>
      <w:r w:rsidRPr="00B43C59">
        <w:rPr>
          <w:rFonts w:ascii="Times New Roman" w:eastAsiaTheme="minorEastAsia" w:hAnsi="Times New Roman" w:cs="Times New Roman"/>
          <w:b/>
          <w:bCs/>
        </w:rPr>
        <w:t xml:space="preserve">Liquidity </w:t>
      </w:r>
      <w:r w:rsidR="00B43C59" w:rsidRPr="00B43C59">
        <w:rPr>
          <w:rFonts w:ascii="Times New Roman" w:eastAsiaTheme="minorEastAsia" w:hAnsi="Times New Roman" w:cs="Times New Roman"/>
          <w:b/>
          <w:bCs/>
        </w:rPr>
        <w:t>Constraints</w:t>
      </w:r>
      <w:r w:rsidRPr="00B43C59">
        <w:rPr>
          <w:rFonts w:ascii="Times New Roman" w:eastAsiaTheme="minorEastAsia" w:hAnsi="Times New Roman" w:cs="Times New Roman"/>
          <w:b/>
          <w:bCs/>
        </w:rPr>
        <w:t>:</w:t>
      </w:r>
    </w:p>
    <w:p w14:paraId="6CA1FB42" w14:textId="51692748" w:rsidR="0075640E" w:rsidRPr="0049741D" w:rsidRDefault="0075640E" w:rsidP="0075640E">
      <w:pPr>
        <w:pStyle w:val="ListParagraph"/>
        <w:numPr>
          <w:ilvl w:val="1"/>
          <w:numId w:val="10"/>
        </w:numPr>
        <w:rPr>
          <w:rFonts w:ascii="Times New Roman" w:eastAsiaTheme="minorEastAsia" w:hAnsi="Times New Roman" w:cs="Times New Roman"/>
          <w:b/>
          <w:bCs/>
        </w:rPr>
      </w:pPr>
      <w:r>
        <w:rPr>
          <w:rFonts w:ascii="Times New Roman" w:eastAsiaTheme="minorEastAsia" w:hAnsi="Times New Roman" w:cs="Times New Roman"/>
        </w:rPr>
        <w:t xml:space="preserve">We selected BTC and ETH for this strategy </w:t>
      </w:r>
      <w:r w:rsidR="00B43C59">
        <w:rPr>
          <w:rFonts w:ascii="Times New Roman" w:eastAsiaTheme="minorEastAsia" w:hAnsi="Times New Roman" w:cs="Times New Roman"/>
        </w:rPr>
        <w:t xml:space="preserve">not only due to their high correlation and cointegration but also </w:t>
      </w:r>
      <w:r>
        <w:rPr>
          <w:rFonts w:ascii="Times New Roman" w:eastAsiaTheme="minorEastAsia" w:hAnsi="Times New Roman" w:cs="Times New Roman"/>
        </w:rPr>
        <w:t>their high liquidity</w:t>
      </w:r>
      <w:r w:rsidR="00B43C59">
        <w:rPr>
          <w:rFonts w:ascii="Times New Roman" w:eastAsiaTheme="minorEastAsia" w:hAnsi="Times New Roman" w:cs="Times New Roman"/>
        </w:rPr>
        <w:t>. While they are both very liquid assets, trading large volumes within a single minute could induce substantial slippage during high volatility markets. As a result, we will limit the strategies position sizes, especially during low liquidity periods such as weekends or after major news events.</w:t>
      </w:r>
    </w:p>
    <w:p w14:paraId="00AE5F19" w14:textId="77777777" w:rsidR="0049741D" w:rsidRPr="0064049F" w:rsidRDefault="0049741D" w:rsidP="0049741D">
      <w:pPr>
        <w:pStyle w:val="ListParagraph"/>
        <w:ind w:left="1440"/>
        <w:rPr>
          <w:rFonts w:ascii="Times New Roman" w:eastAsiaTheme="minorEastAsia" w:hAnsi="Times New Roman" w:cs="Times New Roman"/>
          <w:b/>
          <w:bCs/>
        </w:rPr>
      </w:pPr>
    </w:p>
    <w:p w14:paraId="0265BD4D" w14:textId="05883BEE" w:rsidR="0064049F" w:rsidRDefault="0064049F" w:rsidP="0049741D">
      <w:pPr>
        <w:pStyle w:val="ListParagraph"/>
        <w:numPr>
          <w:ilvl w:val="0"/>
          <w:numId w:val="11"/>
        </w:numPr>
        <w:rPr>
          <w:rFonts w:ascii="Times New Roman" w:eastAsiaTheme="minorEastAsia" w:hAnsi="Times New Roman" w:cs="Times New Roman"/>
          <w:b/>
          <w:bCs/>
          <w:sz w:val="24"/>
          <w:szCs w:val="24"/>
        </w:rPr>
      </w:pPr>
      <w:r w:rsidRPr="0049741D">
        <w:rPr>
          <w:rFonts w:ascii="Times New Roman" w:eastAsiaTheme="minorEastAsia" w:hAnsi="Times New Roman" w:cs="Times New Roman"/>
          <w:b/>
          <w:bCs/>
          <w:sz w:val="24"/>
          <w:szCs w:val="24"/>
        </w:rPr>
        <w:t>Portfolio Construction and Rebalancing</w:t>
      </w:r>
    </w:p>
    <w:p w14:paraId="07EAD6ED" w14:textId="40C3A09B" w:rsidR="0049741D" w:rsidRPr="0049741D" w:rsidRDefault="0049741D" w:rsidP="0049741D">
      <w:pPr>
        <w:rPr>
          <w:rFonts w:ascii="Times New Roman" w:eastAsiaTheme="minorEastAsia" w:hAnsi="Times New Roman" w:cs="Times New Roman"/>
          <w:b/>
          <w:bCs/>
        </w:rPr>
      </w:pPr>
      <w:r w:rsidRPr="0049741D">
        <w:rPr>
          <w:rFonts w:ascii="Times New Roman" w:eastAsiaTheme="minorEastAsia" w:hAnsi="Times New Roman" w:cs="Times New Roman"/>
          <w:b/>
          <w:bCs/>
        </w:rPr>
        <w:t>Historical Data</w:t>
      </w:r>
    </w:p>
    <w:p w14:paraId="06609E49" w14:textId="77777777" w:rsidR="0049741D" w:rsidRPr="0049741D" w:rsidRDefault="0049741D" w:rsidP="0049741D">
      <w:pPr>
        <w:pStyle w:val="ListParagraph"/>
        <w:numPr>
          <w:ilvl w:val="0"/>
          <w:numId w:val="12"/>
        </w:numPr>
        <w:rPr>
          <w:rFonts w:ascii="Times New Roman" w:eastAsiaTheme="minorEastAsia" w:hAnsi="Times New Roman" w:cs="Times New Roman"/>
          <w:b/>
          <w:bCs/>
        </w:rPr>
      </w:pPr>
      <w:r w:rsidRPr="0049741D">
        <w:rPr>
          <w:rFonts w:ascii="Times New Roman" w:eastAsiaTheme="minorEastAsia" w:hAnsi="Times New Roman" w:cs="Times New Roman"/>
          <w:b/>
          <w:bCs/>
        </w:rPr>
        <w:t>About the Data</w:t>
      </w:r>
    </w:p>
    <w:p w14:paraId="6189DF83" w14:textId="77777777" w:rsidR="0049741D" w:rsidRDefault="0049741D" w:rsidP="0049741D">
      <w:pPr>
        <w:pStyle w:val="ListParagraph"/>
        <w:numPr>
          <w:ilvl w:val="1"/>
          <w:numId w:val="12"/>
        </w:numPr>
        <w:rPr>
          <w:rFonts w:ascii="Times New Roman" w:eastAsiaTheme="minorEastAsia" w:hAnsi="Times New Roman" w:cs="Times New Roman"/>
        </w:rPr>
      </w:pPr>
      <w:r w:rsidRPr="0049741D">
        <w:rPr>
          <w:rFonts w:ascii="Times New Roman" w:eastAsiaTheme="minorEastAsia" w:hAnsi="Times New Roman" w:cs="Times New Roman"/>
        </w:rPr>
        <w:t>Our strategy relies on 1-minute historical data for BTC and ETH. We sourced this data via API directly from Coinbase. The historical data includes the following fields: open, high, close, volume. Initially we are focusing on only the per minute close price for training and back testing, however, we plan to expand our model to incorporate volume and potential other metrics</w:t>
      </w:r>
      <w:r>
        <w:rPr>
          <w:rFonts w:ascii="Times New Roman" w:eastAsiaTheme="minorEastAsia" w:hAnsi="Times New Roman" w:cs="Times New Roman"/>
        </w:rPr>
        <w:t>.</w:t>
      </w:r>
    </w:p>
    <w:p w14:paraId="7C78394A" w14:textId="77777777" w:rsidR="0049741D" w:rsidRPr="0049741D" w:rsidRDefault="0049741D" w:rsidP="0049741D">
      <w:pPr>
        <w:pStyle w:val="ListParagraph"/>
        <w:numPr>
          <w:ilvl w:val="0"/>
          <w:numId w:val="12"/>
        </w:numPr>
        <w:rPr>
          <w:rFonts w:ascii="Times New Roman" w:eastAsiaTheme="minorEastAsia" w:hAnsi="Times New Roman" w:cs="Times New Roman"/>
        </w:rPr>
      </w:pPr>
      <w:r w:rsidRPr="0049741D">
        <w:rPr>
          <w:rFonts w:ascii="Times New Roman" w:eastAsiaTheme="minorEastAsia" w:hAnsi="Times New Roman" w:cs="Times New Roman"/>
          <w:b/>
          <w:bCs/>
        </w:rPr>
        <w:t>Data</w:t>
      </w:r>
      <w:r>
        <w:rPr>
          <w:rFonts w:ascii="Times New Roman" w:eastAsiaTheme="minorEastAsia" w:hAnsi="Times New Roman" w:cs="Times New Roman"/>
          <w:b/>
          <w:bCs/>
        </w:rPr>
        <w:t xml:space="preserve"> Preprocessing Steps</w:t>
      </w:r>
    </w:p>
    <w:p w14:paraId="728A604A" w14:textId="0A1CE606" w:rsidR="008F0272" w:rsidRDefault="008F0272" w:rsidP="0049741D">
      <w:pPr>
        <w:pStyle w:val="ListParagraph"/>
        <w:numPr>
          <w:ilvl w:val="1"/>
          <w:numId w:val="12"/>
        </w:numPr>
        <w:rPr>
          <w:rFonts w:ascii="Times New Roman" w:eastAsiaTheme="minorEastAsia" w:hAnsi="Times New Roman" w:cs="Times New Roman"/>
        </w:rPr>
      </w:pPr>
      <w:r>
        <w:rPr>
          <w:rFonts w:ascii="Times New Roman" w:eastAsiaTheme="minorEastAsia" w:hAnsi="Times New Roman" w:cs="Times New Roman"/>
        </w:rPr>
        <w:t xml:space="preserve">Timestamp conversion: </w:t>
      </w:r>
      <w:r w:rsidR="008768D8">
        <w:rPr>
          <w:rFonts w:ascii="Times New Roman" w:eastAsiaTheme="minorEastAsia" w:hAnsi="Times New Roman" w:cs="Times New Roman"/>
        </w:rPr>
        <w:t>C</w:t>
      </w:r>
      <w:r>
        <w:rPr>
          <w:rFonts w:ascii="Times New Roman" w:eastAsiaTheme="minorEastAsia" w:hAnsi="Times New Roman" w:cs="Times New Roman"/>
        </w:rPr>
        <w:t>onverted the timestamp to US/Central time to avoid confusion throughout analysis.</w:t>
      </w:r>
    </w:p>
    <w:p w14:paraId="357A34DB" w14:textId="3AE9FC59" w:rsidR="0049741D" w:rsidRDefault="008F0272" w:rsidP="0049741D">
      <w:pPr>
        <w:pStyle w:val="ListParagraph"/>
        <w:numPr>
          <w:ilvl w:val="1"/>
          <w:numId w:val="12"/>
        </w:numPr>
        <w:rPr>
          <w:rFonts w:ascii="Times New Roman" w:eastAsiaTheme="minorEastAsia" w:hAnsi="Times New Roman" w:cs="Times New Roman"/>
        </w:rPr>
      </w:pPr>
      <w:r>
        <w:rPr>
          <w:rFonts w:ascii="Times New Roman" w:eastAsiaTheme="minorEastAsia" w:hAnsi="Times New Roman" w:cs="Times New Roman"/>
        </w:rPr>
        <w:t xml:space="preserve">Handling missing data: </w:t>
      </w:r>
      <w:r w:rsidR="008768D8">
        <w:rPr>
          <w:rFonts w:ascii="Times New Roman" w:eastAsiaTheme="minorEastAsia" w:hAnsi="Times New Roman" w:cs="Times New Roman"/>
        </w:rPr>
        <w:t>F</w:t>
      </w:r>
      <w:r>
        <w:rPr>
          <w:rFonts w:ascii="Times New Roman" w:eastAsiaTheme="minorEastAsia" w:hAnsi="Times New Roman" w:cs="Times New Roman"/>
        </w:rPr>
        <w:t>illed missing timestamps uses forward filling as most were over short periods.</w:t>
      </w:r>
    </w:p>
    <w:p w14:paraId="6CC6A557" w14:textId="0DE43388" w:rsidR="008F0272" w:rsidRDefault="008768D8" w:rsidP="0049741D">
      <w:pPr>
        <w:pStyle w:val="ListParagraph"/>
        <w:numPr>
          <w:ilvl w:val="1"/>
          <w:numId w:val="12"/>
        </w:numPr>
        <w:rPr>
          <w:rFonts w:ascii="Times New Roman" w:eastAsiaTheme="minorEastAsia" w:hAnsi="Times New Roman" w:cs="Times New Roman"/>
        </w:rPr>
      </w:pPr>
      <w:r>
        <w:rPr>
          <w:rFonts w:ascii="Times New Roman" w:eastAsiaTheme="minorEastAsia" w:hAnsi="Times New Roman" w:cs="Times New Roman"/>
        </w:rPr>
        <w:t>Log returns: Converted prices to log returns for statistical analysis, as this helps identify mean-reverting properties for our strategy.</w:t>
      </w:r>
    </w:p>
    <w:p w14:paraId="4FEC6887" w14:textId="75B70E8C" w:rsidR="008768D8" w:rsidRDefault="008768D8" w:rsidP="0049741D">
      <w:pPr>
        <w:pStyle w:val="ListParagraph"/>
        <w:numPr>
          <w:ilvl w:val="1"/>
          <w:numId w:val="12"/>
        </w:numPr>
        <w:rPr>
          <w:rFonts w:ascii="Times New Roman" w:eastAsiaTheme="minorEastAsia" w:hAnsi="Times New Roman" w:cs="Times New Roman"/>
        </w:rPr>
      </w:pPr>
      <w:r>
        <w:rPr>
          <w:rFonts w:ascii="Times New Roman" w:eastAsiaTheme="minorEastAsia" w:hAnsi="Times New Roman" w:cs="Times New Roman"/>
        </w:rPr>
        <w:t>Normalization: Due to the scale disparities between BTC and ETH prices, we will normalize the prices.</w:t>
      </w:r>
    </w:p>
    <w:p w14:paraId="06F59656" w14:textId="65CE3976" w:rsidR="008768D8" w:rsidRDefault="008768D8" w:rsidP="0049741D">
      <w:pPr>
        <w:pStyle w:val="ListParagraph"/>
        <w:numPr>
          <w:ilvl w:val="1"/>
          <w:numId w:val="12"/>
        </w:numPr>
        <w:rPr>
          <w:rFonts w:ascii="Times New Roman" w:eastAsiaTheme="minorEastAsia" w:hAnsi="Times New Roman" w:cs="Times New Roman"/>
        </w:rPr>
      </w:pPr>
      <w:r>
        <w:rPr>
          <w:rFonts w:ascii="Times New Roman" w:eastAsiaTheme="minorEastAsia" w:hAnsi="Times New Roman" w:cs="Times New Roman"/>
        </w:rPr>
        <w:t>Stationarity test: Performed stationarity tests in the form of Engle-Granger and Augmented Dickey-Fuller test on the price ratio and spread between BTC and ETH to confirm suitability for pairs trading.</w:t>
      </w:r>
    </w:p>
    <w:p w14:paraId="096F1621" w14:textId="77777777" w:rsidR="00982A7E" w:rsidRDefault="00982A7E" w:rsidP="00982A7E">
      <w:pPr>
        <w:rPr>
          <w:rFonts w:ascii="Times New Roman" w:eastAsiaTheme="minorEastAsia" w:hAnsi="Times New Roman" w:cs="Times New Roman"/>
        </w:rPr>
      </w:pPr>
    </w:p>
    <w:p w14:paraId="1850CBE2" w14:textId="77777777" w:rsidR="00982A7E" w:rsidRDefault="00982A7E" w:rsidP="00982A7E">
      <w:pPr>
        <w:rPr>
          <w:rFonts w:ascii="Times New Roman" w:eastAsiaTheme="minorEastAsia" w:hAnsi="Times New Roman" w:cs="Times New Roman"/>
        </w:rPr>
      </w:pPr>
    </w:p>
    <w:p w14:paraId="6F51980D" w14:textId="2A9173EA" w:rsidR="00982A7E" w:rsidRDefault="00982A7E" w:rsidP="00982A7E">
      <w:pPr>
        <w:jc w:val="center"/>
        <w:rPr>
          <w:rFonts w:ascii="Times New Roman" w:eastAsiaTheme="minorEastAsia" w:hAnsi="Times New Roman" w:cs="Times New Roman"/>
        </w:rPr>
      </w:pPr>
      <w:r w:rsidRPr="00982A7E">
        <w:rPr>
          <w:rFonts w:ascii="Times New Roman" w:eastAsiaTheme="minorEastAsia" w:hAnsi="Times New Roman" w:cs="Times New Roman"/>
        </w:rPr>
        <w:lastRenderedPageBreak/>
        <w:drawing>
          <wp:inline distT="0" distB="0" distL="0" distR="0" wp14:anchorId="3FC3E11A" wp14:editId="3086A3F4">
            <wp:extent cx="2424545" cy="2052090"/>
            <wp:effectExtent l="0" t="0" r="0" b="5715"/>
            <wp:docPr id="185460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01892" name="Picture 1"/>
                    <pic:cNvPicPr/>
                  </pic:nvPicPr>
                  <pic:blipFill>
                    <a:blip r:embed="rId8"/>
                    <a:stretch>
                      <a:fillRect/>
                    </a:stretch>
                  </pic:blipFill>
                  <pic:spPr>
                    <a:xfrm>
                      <a:off x="0" y="0"/>
                      <a:ext cx="2449521" cy="2073229"/>
                    </a:xfrm>
                    <a:prstGeom prst="rect">
                      <a:avLst/>
                    </a:prstGeom>
                  </pic:spPr>
                </pic:pic>
              </a:graphicData>
            </a:graphic>
          </wp:inline>
        </w:drawing>
      </w:r>
    </w:p>
    <w:p w14:paraId="12345692" w14:textId="04B645C5" w:rsidR="00982A7E" w:rsidRPr="00982A7E" w:rsidRDefault="00982A7E" w:rsidP="00982A7E">
      <w:pPr>
        <w:jc w:val="center"/>
        <w:rPr>
          <w:rFonts w:ascii="Times New Roman" w:eastAsiaTheme="minorEastAsia" w:hAnsi="Times New Roman" w:cs="Times New Roman"/>
          <w:i/>
          <w:iCs/>
          <w:sz w:val="20"/>
          <w:szCs w:val="20"/>
        </w:rPr>
      </w:pPr>
      <w:r>
        <w:rPr>
          <w:rFonts w:ascii="Times New Roman" w:eastAsiaTheme="minorEastAsia" w:hAnsi="Times New Roman" w:cs="Times New Roman"/>
          <w:i/>
          <w:iCs/>
          <w:sz w:val="20"/>
          <w:szCs w:val="20"/>
        </w:rPr>
        <w:t xml:space="preserve">Crypto assets are strongly correlated as shown above. </w:t>
      </w:r>
      <w:r w:rsidRPr="00982A7E">
        <w:rPr>
          <w:rFonts w:ascii="Times New Roman" w:eastAsiaTheme="minorEastAsia" w:hAnsi="Times New Roman" w:cs="Times New Roman"/>
          <w:i/>
          <w:iCs/>
          <w:sz w:val="20"/>
          <w:szCs w:val="20"/>
        </w:rPr>
        <w:t>P-value of 3.62% (&lt;5.00%) supports cointegration between BTC and ETH price ratio</w:t>
      </w:r>
    </w:p>
    <w:p w14:paraId="3665F849" w14:textId="42B3FE8F" w:rsidR="008768D8" w:rsidRPr="008768D8" w:rsidRDefault="008768D8" w:rsidP="008768D8">
      <w:pPr>
        <w:rPr>
          <w:rFonts w:ascii="Times New Roman" w:eastAsiaTheme="minorEastAsia" w:hAnsi="Times New Roman" w:cs="Times New Roman"/>
          <w:b/>
          <w:bCs/>
        </w:rPr>
      </w:pPr>
      <w:r w:rsidRPr="008768D8">
        <w:rPr>
          <w:rFonts w:ascii="Times New Roman" w:eastAsiaTheme="minorEastAsia" w:hAnsi="Times New Roman" w:cs="Times New Roman"/>
          <w:b/>
          <w:bCs/>
        </w:rPr>
        <w:t>Transaction Cost Models</w:t>
      </w:r>
    </w:p>
    <w:p w14:paraId="1A85FFD1" w14:textId="3470B3A1" w:rsidR="0049741D" w:rsidRDefault="008768D8" w:rsidP="0049741D">
      <w:pPr>
        <w:rPr>
          <w:rFonts w:ascii="Times New Roman" w:eastAsiaTheme="minorEastAsia" w:hAnsi="Times New Roman" w:cs="Times New Roman"/>
        </w:rPr>
      </w:pPr>
      <w:r>
        <w:rPr>
          <w:rFonts w:ascii="Times New Roman" w:eastAsiaTheme="minorEastAsia" w:hAnsi="Times New Roman" w:cs="Times New Roman"/>
        </w:rPr>
        <w:t>To simulate real market conditions, we will incorporate the following transaction costs:</w:t>
      </w:r>
    </w:p>
    <w:p w14:paraId="33DFE4C6" w14:textId="08045151" w:rsidR="0064049F" w:rsidRDefault="008768D8" w:rsidP="0064049F">
      <w:pPr>
        <w:pStyle w:val="ListParagraph"/>
        <w:numPr>
          <w:ilvl w:val="0"/>
          <w:numId w:val="13"/>
        </w:numPr>
        <w:rPr>
          <w:rFonts w:ascii="Times New Roman" w:eastAsiaTheme="minorEastAsia" w:hAnsi="Times New Roman" w:cs="Times New Roman"/>
        </w:rPr>
      </w:pPr>
      <w:r w:rsidRPr="008768D8">
        <w:rPr>
          <w:rFonts w:ascii="Times New Roman" w:eastAsiaTheme="minorEastAsia" w:hAnsi="Times New Roman" w:cs="Times New Roman"/>
          <w:b/>
          <w:bCs/>
        </w:rPr>
        <w:t>Market Impact:</w:t>
      </w:r>
      <w:r>
        <w:rPr>
          <w:rFonts w:ascii="Times New Roman" w:eastAsiaTheme="minorEastAsia" w:hAnsi="Times New Roman" w:cs="Times New Roman"/>
        </w:rPr>
        <w:t xml:space="preserve"> Assuming we will experience price slippage in live trading, we will factor in a slippage cost of 0.05%-0.1% of the traded amount.</w:t>
      </w:r>
    </w:p>
    <w:p w14:paraId="3A4AFCCB" w14:textId="740398E4" w:rsidR="008768D8" w:rsidRPr="00CD5143" w:rsidRDefault="008768D8" w:rsidP="00185E75">
      <w:pPr>
        <w:pStyle w:val="ListParagraph"/>
        <w:numPr>
          <w:ilvl w:val="0"/>
          <w:numId w:val="13"/>
        </w:numPr>
        <w:rPr>
          <w:rFonts w:ascii="Times New Roman" w:eastAsiaTheme="minorEastAsia" w:hAnsi="Times New Roman" w:cs="Times New Roman"/>
        </w:rPr>
      </w:pPr>
      <w:r w:rsidRPr="00CD5143">
        <w:rPr>
          <w:rFonts w:ascii="Times New Roman" w:eastAsiaTheme="minorEastAsia" w:hAnsi="Times New Roman" w:cs="Times New Roman"/>
          <w:b/>
          <w:bCs/>
        </w:rPr>
        <w:t>Exchange Fees:</w:t>
      </w:r>
      <w:r w:rsidRPr="00CD5143">
        <w:rPr>
          <w:rFonts w:ascii="Times New Roman" w:eastAsiaTheme="minorEastAsia" w:hAnsi="Times New Roman" w:cs="Times New Roman"/>
        </w:rPr>
        <w:t xml:space="preserve"> As show below Coinbase charges fee tiers based on </w:t>
      </w:r>
      <w:proofErr w:type="gramStart"/>
      <w:r w:rsidRPr="00CD5143">
        <w:rPr>
          <w:rFonts w:ascii="Times New Roman" w:eastAsiaTheme="minorEastAsia" w:hAnsi="Times New Roman" w:cs="Times New Roman"/>
        </w:rPr>
        <w:t>30 day</w:t>
      </w:r>
      <w:proofErr w:type="gramEnd"/>
      <w:r w:rsidRPr="00CD5143">
        <w:rPr>
          <w:rFonts w:ascii="Times New Roman" w:eastAsiaTheme="minorEastAsia" w:hAnsi="Times New Roman" w:cs="Times New Roman"/>
        </w:rPr>
        <w:t xml:space="preserve"> volume and asset balance. According to our investment philosophy and objectives we plan to maintain </w:t>
      </w:r>
      <w:r w:rsidR="00CD5143" w:rsidRPr="00CD5143">
        <w:rPr>
          <w:rFonts w:ascii="Times New Roman" w:eastAsiaTheme="minorEastAsia" w:hAnsi="Times New Roman" w:cs="Times New Roman"/>
        </w:rPr>
        <w:t>a 30-day volume greater than $500K but less than $1M. As a result, we will take the weighted average fee of 0.27% when factoring exchange fees in our model and back testing.</w:t>
      </w:r>
    </w:p>
    <w:p w14:paraId="0C8387F8" w14:textId="59A18C2C" w:rsidR="008768D8" w:rsidRDefault="008768D8" w:rsidP="00982A7E">
      <w:pPr>
        <w:ind w:left="360"/>
        <w:jc w:val="center"/>
        <w:rPr>
          <w:rFonts w:ascii="Times New Roman" w:eastAsiaTheme="minorEastAsia" w:hAnsi="Times New Roman" w:cs="Times New Roman"/>
        </w:rPr>
      </w:pPr>
      <w:r w:rsidRPr="009C3FBD">
        <w:rPr>
          <w:rFonts w:ascii="Times New Roman" w:hAnsi="Times New Roman" w:cs="Times New Roman"/>
          <w:b/>
          <w:bCs/>
        </w:rPr>
        <w:drawing>
          <wp:inline distT="0" distB="0" distL="0" distR="0" wp14:anchorId="08462E80" wp14:editId="200C1CC2">
            <wp:extent cx="4100945" cy="1904135"/>
            <wp:effectExtent l="0" t="0" r="0" b="1270"/>
            <wp:docPr id="402877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21826" name="Picture 1" descr="A screenshot of a computer&#10;&#10;Description automatically generated"/>
                    <pic:cNvPicPr/>
                  </pic:nvPicPr>
                  <pic:blipFill>
                    <a:blip r:embed="rId9"/>
                    <a:stretch>
                      <a:fillRect/>
                    </a:stretch>
                  </pic:blipFill>
                  <pic:spPr>
                    <a:xfrm>
                      <a:off x="0" y="0"/>
                      <a:ext cx="4124960" cy="1915285"/>
                    </a:xfrm>
                    <a:prstGeom prst="rect">
                      <a:avLst/>
                    </a:prstGeom>
                  </pic:spPr>
                </pic:pic>
              </a:graphicData>
            </a:graphic>
          </wp:inline>
        </w:drawing>
      </w:r>
    </w:p>
    <w:p w14:paraId="6EF80665" w14:textId="301F3AC6" w:rsidR="00257651" w:rsidRDefault="00257651" w:rsidP="00257651">
      <w:pPr>
        <w:rPr>
          <w:rFonts w:ascii="Times New Roman" w:eastAsiaTheme="minorEastAsia" w:hAnsi="Times New Roman" w:cs="Times New Roman"/>
          <w:b/>
          <w:bCs/>
        </w:rPr>
      </w:pPr>
      <w:r>
        <w:rPr>
          <w:rFonts w:ascii="Times New Roman" w:eastAsiaTheme="minorEastAsia" w:hAnsi="Times New Roman" w:cs="Times New Roman"/>
          <w:b/>
          <w:bCs/>
        </w:rPr>
        <w:t>Trade Execution and Rebalancing Frequencies</w:t>
      </w:r>
    </w:p>
    <w:p w14:paraId="2CD6643A" w14:textId="574B0624" w:rsidR="00257651" w:rsidRDefault="00257651" w:rsidP="00257651">
      <w:pPr>
        <w:rPr>
          <w:rFonts w:ascii="Times New Roman" w:eastAsiaTheme="minorEastAsia" w:hAnsi="Times New Roman" w:cs="Times New Roman"/>
        </w:rPr>
      </w:pPr>
      <w:r>
        <w:rPr>
          <w:rFonts w:ascii="Times New Roman" w:eastAsiaTheme="minorEastAsia" w:hAnsi="Times New Roman" w:cs="Times New Roman"/>
        </w:rPr>
        <w:t>We will enter trades when signal thresholds are met and close positions when the ratio revert to the mean or a stop-loss threshold is reached.</w:t>
      </w:r>
    </w:p>
    <w:p w14:paraId="2830E18E" w14:textId="0BB80669" w:rsidR="00257651" w:rsidRDefault="00257651" w:rsidP="00257651">
      <w:pPr>
        <w:rPr>
          <w:rFonts w:ascii="Times New Roman" w:eastAsiaTheme="minorEastAsia" w:hAnsi="Times New Roman" w:cs="Times New Roman"/>
        </w:rPr>
      </w:pPr>
      <w:r>
        <w:rPr>
          <w:rFonts w:ascii="Times New Roman" w:eastAsiaTheme="minorEastAsia" w:hAnsi="Times New Roman" w:cs="Times New Roman"/>
        </w:rPr>
        <w:t>Rebalancing is not applicable for a 1-minute strategy. However, our model considers rolling means and rolling volatility, so it is somewhat built into the model. We will want to re-evaluate the model frequently to account for microstructure and relationship changes for BTC and ETH</w:t>
      </w:r>
      <w:r w:rsidR="004820DA">
        <w:rPr>
          <w:rFonts w:ascii="Times New Roman" w:eastAsiaTheme="minorEastAsia" w:hAnsi="Times New Roman" w:cs="Times New Roman"/>
        </w:rPr>
        <w:t xml:space="preserve">. Furthermore, we use </w:t>
      </w:r>
      <w:proofErr w:type="spellStart"/>
      <w:r w:rsidR="004820DA">
        <w:rPr>
          <w:rFonts w:ascii="Times New Roman" w:eastAsiaTheme="minorEastAsia" w:hAnsi="Times New Roman" w:cs="Times New Roman"/>
        </w:rPr>
        <w:t>Optuna</w:t>
      </w:r>
      <w:proofErr w:type="spellEnd"/>
      <w:r w:rsidR="004820DA">
        <w:rPr>
          <w:rFonts w:ascii="Times New Roman" w:eastAsiaTheme="minorEastAsia" w:hAnsi="Times New Roman" w:cs="Times New Roman"/>
        </w:rPr>
        <w:t xml:space="preserve"> to tune the hyperparameters for our trading model including entry threshold, exit threshold, and rolling window for our mean and standard deviations when calculating our Z-score.</w:t>
      </w:r>
      <w:r w:rsidR="00982A7E">
        <w:rPr>
          <w:rFonts w:ascii="Times New Roman" w:eastAsiaTheme="minorEastAsia" w:hAnsi="Times New Roman" w:cs="Times New Roman"/>
        </w:rPr>
        <w:t xml:space="preserve"> Potentially incorporating a more frequent tuning of these parameters in real-time could improve the model’s stability.</w:t>
      </w:r>
      <w:r w:rsidR="004820DA">
        <w:rPr>
          <w:rFonts w:ascii="Times New Roman" w:eastAsiaTheme="minorEastAsia" w:hAnsi="Times New Roman" w:cs="Times New Roman"/>
        </w:rPr>
        <w:t xml:space="preserve"> </w:t>
      </w:r>
    </w:p>
    <w:p w14:paraId="1E139ED1" w14:textId="577C0B39" w:rsidR="00A629D3" w:rsidRDefault="00257651" w:rsidP="00A629D3">
      <w:pPr>
        <w:pStyle w:val="ListParagraph"/>
        <w:numPr>
          <w:ilvl w:val="0"/>
          <w:numId w:val="11"/>
        </w:numPr>
        <w:rPr>
          <w:rFonts w:ascii="Times New Roman" w:eastAsiaTheme="minorEastAsia" w:hAnsi="Times New Roman" w:cs="Times New Roman"/>
          <w:b/>
          <w:bCs/>
          <w:sz w:val="24"/>
          <w:szCs w:val="24"/>
        </w:rPr>
      </w:pPr>
      <w:r w:rsidRPr="00257651">
        <w:rPr>
          <w:rFonts w:ascii="Times New Roman" w:eastAsiaTheme="minorEastAsia" w:hAnsi="Times New Roman" w:cs="Times New Roman"/>
          <w:b/>
          <w:bCs/>
          <w:sz w:val="24"/>
          <w:szCs w:val="24"/>
        </w:rPr>
        <w:lastRenderedPageBreak/>
        <w:t xml:space="preserve">Evaluate </w:t>
      </w:r>
      <w:proofErr w:type="spellStart"/>
      <w:r w:rsidRPr="00257651">
        <w:rPr>
          <w:rFonts w:ascii="Times New Roman" w:eastAsiaTheme="minorEastAsia" w:hAnsi="Times New Roman" w:cs="Times New Roman"/>
          <w:b/>
          <w:bCs/>
          <w:sz w:val="24"/>
          <w:szCs w:val="24"/>
        </w:rPr>
        <w:t>Backtesting</w:t>
      </w:r>
      <w:proofErr w:type="spellEnd"/>
      <w:r w:rsidRPr="00257651">
        <w:rPr>
          <w:rFonts w:ascii="Times New Roman" w:eastAsiaTheme="minorEastAsia" w:hAnsi="Times New Roman" w:cs="Times New Roman"/>
          <w:b/>
          <w:bCs/>
          <w:sz w:val="24"/>
          <w:szCs w:val="24"/>
        </w:rPr>
        <w:t xml:space="preserve"> Results</w:t>
      </w:r>
    </w:p>
    <w:p w14:paraId="0A273A8C" w14:textId="3D03E132" w:rsidR="00A629D3" w:rsidRDefault="00A629D3" w:rsidP="00A629D3">
      <w:pPr>
        <w:rPr>
          <w:rFonts w:ascii="Times New Roman" w:eastAsiaTheme="minorEastAsia" w:hAnsi="Times New Roman" w:cs="Times New Roman"/>
        </w:rPr>
      </w:pPr>
      <w:r>
        <w:rPr>
          <w:rFonts w:ascii="Times New Roman" w:eastAsiaTheme="minorEastAsia" w:hAnsi="Times New Roman" w:cs="Times New Roman"/>
        </w:rPr>
        <w:t>For this initial evaluation, we back tested our model from January 1</w:t>
      </w:r>
      <w:r w:rsidRPr="00A629D3">
        <w:rPr>
          <w:rFonts w:ascii="Times New Roman" w:eastAsiaTheme="minorEastAsia" w:hAnsi="Times New Roman" w:cs="Times New Roman"/>
          <w:vertAlign w:val="superscript"/>
        </w:rPr>
        <w:t>st</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2022</w:t>
      </w:r>
      <w:proofErr w:type="gramEnd"/>
      <w:r>
        <w:rPr>
          <w:rFonts w:ascii="Times New Roman" w:eastAsiaTheme="minorEastAsia" w:hAnsi="Times New Roman" w:cs="Times New Roman"/>
        </w:rPr>
        <w:t xml:space="preserve"> to September 30, 2024 on Coinbase sources 1-minute close price data. Below is the cumulative return of our strategy (84.20%) versus the benchmark of a buy-and-hold strategy in BTC (35.25%) and ETH (-29.13%) of the same period.</w:t>
      </w:r>
    </w:p>
    <w:p w14:paraId="3615C04A" w14:textId="29994177" w:rsidR="004820DA" w:rsidRDefault="00A42445" w:rsidP="00A629D3">
      <w:pPr>
        <w:jc w:val="center"/>
        <w:rPr>
          <w:rFonts w:ascii="Times New Roman" w:eastAsiaTheme="minorEastAsia" w:hAnsi="Times New Roman" w:cs="Times New Roman"/>
          <w:b/>
          <w:bCs/>
          <w:sz w:val="24"/>
          <w:szCs w:val="24"/>
        </w:rPr>
      </w:pPr>
      <w:r w:rsidRPr="00A42445">
        <w:rPr>
          <w:rFonts w:ascii="Times New Roman" w:eastAsiaTheme="minorEastAsia" w:hAnsi="Times New Roman" w:cs="Times New Roman"/>
          <w:b/>
          <w:bCs/>
          <w:sz w:val="24"/>
          <w:szCs w:val="24"/>
        </w:rPr>
        <w:drawing>
          <wp:inline distT="0" distB="0" distL="0" distR="0" wp14:anchorId="58442F6A" wp14:editId="3CAE3B52">
            <wp:extent cx="4180464" cy="2218414"/>
            <wp:effectExtent l="0" t="0" r="0" b="0"/>
            <wp:docPr id="284819799" name="Picture 1" descr="A graph of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19799" name="Picture 1" descr="A graph of red and blue lines&#10;&#10;Description automatically generated"/>
                    <pic:cNvPicPr/>
                  </pic:nvPicPr>
                  <pic:blipFill>
                    <a:blip r:embed="rId10"/>
                    <a:stretch>
                      <a:fillRect/>
                    </a:stretch>
                  </pic:blipFill>
                  <pic:spPr>
                    <a:xfrm>
                      <a:off x="0" y="0"/>
                      <a:ext cx="4228180" cy="2243735"/>
                    </a:xfrm>
                    <a:prstGeom prst="rect">
                      <a:avLst/>
                    </a:prstGeom>
                  </pic:spPr>
                </pic:pic>
              </a:graphicData>
            </a:graphic>
          </wp:inline>
        </w:drawing>
      </w:r>
    </w:p>
    <w:p w14:paraId="280F2804" w14:textId="7548D01C" w:rsidR="00A629D3" w:rsidRPr="00A629D3" w:rsidRDefault="00A629D3" w:rsidP="00A629D3">
      <w:pPr>
        <w:rPr>
          <w:rFonts w:ascii="Times New Roman" w:eastAsiaTheme="minorEastAsia" w:hAnsi="Times New Roman" w:cs="Times New Roman"/>
        </w:rPr>
      </w:pPr>
      <w:r w:rsidRPr="00A629D3">
        <w:rPr>
          <w:rFonts w:ascii="Times New Roman" w:eastAsiaTheme="minorEastAsia" w:hAnsi="Times New Roman" w:cs="Times New Roman"/>
          <w:b/>
          <w:bCs/>
        </w:rPr>
        <w:t>Key Highlights:</w:t>
      </w:r>
    </w:p>
    <w:p w14:paraId="68CC1151" w14:textId="11F4A4EA" w:rsidR="00A629D3" w:rsidRDefault="00A629D3" w:rsidP="00A629D3">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Cumulative returns: The trading strategy significantly outperformed BTC and ETH benchmarks over the evaluation period. We will continue to further validate this performance by considering rolling time periods and out of sample testing.</w:t>
      </w:r>
    </w:p>
    <w:p w14:paraId="5FDB2DBC" w14:textId="7A549446" w:rsidR="00A629D3" w:rsidRDefault="00A629D3" w:rsidP="00A629D3">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Risk-adjusted performance: The strategy achieved a Sharpe Ratio of 0.84, which indicates it provided higher return per unit of risk compared to BTC’s 0.26.</w:t>
      </w:r>
    </w:p>
    <w:p w14:paraId="3C085D57" w14:textId="485F9C90" w:rsidR="00D82DEB" w:rsidRDefault="00A629D3" w:rsidP="00D82DEB">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 xml:space="preserve">Mark Drawdown: The strategy saw a much lower Max Drawdown of -40% compared to BTC’s 74%. </w:t>
      </w:r>
    </w:p>
    <w:p w14:paraId="5EB62C64" w14:textId="74CF515E" w:rsidR="00D82DEB" w:rsidRDefault="00D82DEB" w:rsidP="00D82DEB">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Value-at-Risk (</w:t>
      </w:r>
      <w:proofErr w:type="spellStart"/>
      <w:r>
        <w:rPr>
          <w:rFonts w:ascii="Times New Roman" w:eastAsiaTheme="minorEastAsia" w:hAnsi="Times New Roman" w:cs="Times New Roman"/>
        </w:rPr>
        <w:t>VaR</w:t>
      </w:r>
      <w:proofErr w:type="spellEnd"/>
      <w:r>
        <w:rPr>
          <w:rFonts w:ascii="Times New Roman" w:eastAsiaTheme="minorEastAsia" w:hAnsi="Times New Roman" w:cs="Times New Roman"/>
        </w:rPr>
        <w:t>): At a 95% confidence interval the strategy is expected to lose less than 0.0922% of its value in a single minute. This is superior to holding BTC which is expected to loss less than 0.0015% of its value.</w:t>
      </w:r>
    </w:p>
    <w:p w14:paraId="1F52A719" w14:textId="77777777" w:rsidR="00691349" w:rsidRDefault="00691349" w:rsidP="00D82DEB">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 xml:space="preserve">Number of transactions: </w:t>
      </w:r>
    </w:p>
    <w:p w14:paraId="1F8D3F84" w14:textId="3F316C29" w:rsidR="00691349" w:rsidRDefault="00691349" w:rsidP="00691349">
      <w:pPr>
        <w:pStyle w:val="ListParagraph"/>
        <w:numPr>
          <w:ilvl w:val="1"/>
          <w:numId w:val="18"/>
        </w:numPr>
        <w:rPr>
          <w:rFonts w:ascii="Times New Roman" w:eastAsiaTheme="minorEastAsia" w:hAnsi="Times New Roman" w:cs="Times New Roman"/>
        </w:rPr>
      </w:pPr>
      <w:r>
        <w:rPr>
          <w:rFonts w:ascii="Times New Roman" w:eastAsiaTheme="minorEastAsia" w:hAnsi="Times New Roman" w:cs="Times New Roman"/>
        </w:rPr>
        <w:t xml:space="preserve">Long </w:t>
      </w:r>
      <w:r w:rsidR="00457D4C">
        <w:rPr>
          <w:rFonts w:ascii="Times New Roman" w:eastAsiaTheme="minorEastAsia" w:hAnsi="Times New Roman" w:cs="Times New Roman"/>
        </w:rPr>
        <w:t>positions</w:t>
      </w:r>
      <w:r w:rsidR="00DF471B">
        <w:rPr>
          <w:rFonts w:ascii="Times New Roman" w:eastAsiaTheme="minorEastAsia" w:hAnsi="Times New Roman" w:cs="Times New Roman"/>
        </w:rPr>
        <w:t xml:space="preserve"> (Sell ETH, Buy BTC)</w:t>
      </w:r>
      <w:r>
        <w:rPr>
          <w:rFonts w:ascii="Times New Roman" w:eastAsiaTheme="minorEastAsia" w:hAnsi="Times New Roman" w:cs="Times New Roman"/>
        </w:rPr>
        <w:t>: 203,370</w:t>
      </w:r>
    </w:p>
    <w:p w14:paraId="09D53F88" w14:textId="5E4D2E01" w:rsidR="00691349" w:rsidRDefault="00691349" w:rsidP="00691349">
      <w:pPr>
        <w:pStyle w:val="ListParagraph"/>
        <w:numPr>
          <w:ilvl w:val="1"/>
          <w:numId w:val="18"/>
        </w:numPr>
        <w:rPr>
          <w:rFonts w:ascii="Times New Roman" w:eastAsiaTheme="minorEastAsia" w:hAnsi="Times New Roman" w:cs="Times New Roman"/>
        </w:rPr>
      </w:pPr>
      <w:r>
        <w:rPr>
          <w:rFonts w:ascii="Times New Roman" w:eastAsiaTheme="minorEastAsia" w:hAnsi="Times New Roman" w:cs="Times New Roman"/>
        </w:rPr>
        <w:t xml:space="preserve">Short </w:t>
      </w:r>
      <w:r w:rsidR="00457D4C">
        <w:rPr>
          <w:rFonts w:ascii="Times New Roman" w:eastAsiaTheme="minorEastAsia" w:hAnsi="Times New Roman" w:cs="Times New Roman"/>
        </w:rPr>
        <w:t>positions</w:t>
      </w:r>
      <w:r w:rsidR="00DF471B">
        <w:rPr>
          <w:rFonts w:ascii="Times New Roman" w:eastAsiaTheme="minorEastAsia" w:hAnsi="Times New Roman" w:cs="Times New Roman"/>
        </w:rPr>
        <w:t xml:space="preserve"> (Sell BTC, Buy ETH)</w:t>
      </w:r>
      <w:r>
        <w:rPr>
          <w:rFonts w:ascii="Times New Roman" w:eastAsiaTheme="minorEastAsia" w:hAnsi="Times New Roman" w:cs="Times New Roman"/>
        </w:rPr>
        <w:t>: 204,301</w:t>
      </w:r>
    </w:p>
    <w:p w14:paraId="57E1C194" w14:textId="775E32E9" w:rsidR="00691349" w:rsidRDefault="00691349" w:rsidP="00691349">
      <w:pPr>
        <w:pStyle w:val="ListParagraph"/>
        <w:numPr>
          <w:ilvl w:val="1"/>
          <w:numId w:val="18"/>
        </w:numPr>
        <w:rPr>
          <w:rFonts w:ascii="Times New Roman" w:eastAsiaTheme="minorEastAsia" w:hAnsi="Times New Roman" w:cs="Times New Roman"/>
        </w:rPr>
      </w:pPr>
      <w:r>
        <w:rPr>
          <w:rFonts w:ascii="Times New Roman" w:eastAsiaTheme="minorEastAsia" w:hAnsi="Times New Roman" w:cs="Times New Roman"/>
        </w:rPr>
        <w:t>No positions: 393,811</w:t>
      </w:r>
    </w:p>
    <w:p w14:paraId="6D58C2CE" w14:textId="4065BD1F" w:rsidR="00D82DEB" w:rsidRDefault="00D82DEB" w:rsidP="00D82DEB">
      <w:pPr>
        <w:jc w:val="center"/>
        <w:rPr>
          <w:rFonts w:ascii="Times New Roman" w:eastAsiaTheme="minorEastAsia" w:hAnsi="Times New Roman" w:cs="Times New Roman"/>
        </w:rPr>
      </w:pPr>
      <w:r w:rsidRPr="002C20FE">
        <w:rPr>
          <w:rFonts w:ascii="Times New Roman" w:eastAsiaTheme="minorEastAsia" w:hAnsi="Times New Roman" w:cs="Times New Roman"/>
          <w:b/>
          <w:bCs/>
          <w:sz w:val="24"/>
          <w:szCs w:val="24"/>
        </w:rPr>
        <w:drawing>
          <wp:inline distT="0" distB="0" distL="0" distR="0" wp14:anchorId="1A152269" wp14:editId="0A520515">
            <wp:extent cx="4171033" cy="488849"/>
            <wp:effectExtent l="0" t="0" r="1270" b="6985"/>
            <wp:docPr id="118879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93025" name=""/>
                    <pic:cNvPicPr/>
                  </pic:nvPicPr>
                  <pic:blipFill>
                    <a:blip r:embed="rId11"/>
                    <a:stretch>
                      <a:fillRect/>
                    </a:stretch>
                  </pic:blipFill>
                  <pic:spPr>
                    <a:xfrm>
                      <a:off x="0" y="0"/>
                      <a:ext cx="4255613" cy="498762"/>
                    </a:xfrm>
                    <a:prstGeom prst="rect">
                      <a:avLst/>
                    </a:prstGeom>
                  </pic:spPr>
                </pic:pic>
              </a:graphicData>
            </a:graphic>
          </wp:inline>
        </w:drawing>
      </w:r>
    </w:p>
    <w:p w14:paraId="12D5D5EB" w14:textId="7C6351D1" w:rsidR="00691349" w:rsidRPr="00D82DEB" w:rsidRDefault="00D82DEB" w:rsidP="00691349">
      <w:pPr>
        <w:jc w:val="center"/>
        <w:rPr>
          <w:rFonts w:ascii="Times New Roman" w:eastAsiaTheme="minorEastAsia" w:hAnsi="Times New Roman" w:cs="Times New Roman"/>
        </w:rPr>
      </w:pPr>
      <w:r w:rsidRPr="002C20FE">
        <w:rPr>
          <w:rFonts w:ascii="Times New Roman" w:eastAsiaTheme="minorEastAsia" w:hAnsi="Times New Roman" w:cs="Times New Roman"/>
          <w:b/>
          <w:bCs/>
          <w:sz w:val="24"/>
          <w:szCs w:val="24"/>
        </w:rPr>
        <w:drawing>
          <wp:inline distT="0" distB="0" distL="0" distR="0" wp14:anchorId="3F135712" wp14:editId="29CEA1D0">
            <wp:extent cx="5167972" cy="508543"/>
            <wp:effectExtent l="0" t="0" r="0" b="6350"/>
            <wp:docPr id="58585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56819" name=""/>
                    <pic:cNvPicPr/>
                  </pic:nvPicPr>
                  <pic:blipFill>
                    <a:blip r:embed="rId12"/>
                    <a:stretch>
                      <a:fillRect/>
                    </a:stretch>
                  </pic:blipFill>
                  <pic:spPr>
                    <a:xfrm>
                      <a:off x="0" y="0"/>
                      <a:ext cx="5529445" cy="544113"/>
                    </a:xfrm>
                    <a:prstGeom prst="rect">
                      <a:avLst/>
                    </a:prstGeom>
                  </pic:spPr>
                </pic:pic>
              </a:graphicData>
            </a:graphic>
          </wp:inline>
        </w:drawing>
      </w:r>
    </w:p>
    <w:p w14:paraId="626882C8" w14:textId="3AF8F888" w:rsidR="002C20FE" w:rsidRPr="004820DA" w:rsidRDefault="00D82DEB" w:rsidP="002C20FE">
      <w:pPr>
        <w:rPr>
          <w:rFonts w:ascii="Times New Roman" w:eastAsiaTheme="minorEastAsia" w:hAnsi="Times New Roman" w:cs="Times New Roman"/>
          <w:b/>
          <w:bCs/>
          <w:sz w:val="24"/>
          <w:szCs w:val="24"/>
        </w:rPr>
      </w:pPr>
      <w:r>
        <w:rPr>
          <w:rFonts w:ascii="Times New Roman" w:eastAsiaTheme="minorEastAsia" w:hAnsi="Times New Roman" w:cs="Times New Roman"/>
        </w:rPr>
        <w:t xml:space="preserve">Overall, the back testing results highlight the potential strong performance of the trading strategy and ability to effectively balance return and risk. However, we will need to continue to confirm the strategy’s validity through thorough out of sample testing and researching </w:t>
      </w:r>
      <w:proofErr w:type="gramStart"/>
      <w:r>
        <w:rPr>
          <w:rFonts w:ascii="Times New Roman" w:eastAsiaTheme="minorEastAsia" w:hAnsi="Times New Roman" w:cs="Times New Roman"/>
        </w:rPr>
        <w:t>it’s</w:t>
      </w:r>
      <w:proofErr w:type="gramEnd"/>
      <w:r>
        <w:rPr>
          <w:rFonts w:ascii="Times New Roman" w:eastAsiaTheme="minorEastAsia" w:hAnsi="Times New Roman" w:cs="Times New Roman"/>
        </w:rPr>
        <w:t xml:space="preserve"> performance under the constantly changing crypto environment</w:t>
      </w:r>
      <w:r w:rsidR="00691349">
        <w:rPr>
          <w:rFonts w:ascii="Times New Roman" w:eastAsiaTheme="minorEastAsia" w:hAnsi="Times New Roman" w:cs="Times New Roman"/>
        </w:rPr>
        <w:t>.</w:t>
      </w:r>
    </w:p>
    <w:sectPr w:rsidR="002C20FE" w:rsidRPr="004820D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FB06A" w14:textId="77777777" w:rsidR="001D0683" w:rsidRDefault="001D0683" w:rsidP="002A0E67">
      <w:pPr>
        <w:spacing w:after="0" w:line="240" w:lineRule="auto"/>
      </w:pPr>
      <w:r>
        <w:separator/>
      </w:r>
    </w:p>
  </w:endnote>
  <w:endnote w:type="continuationSeparator" w:id="0">
    <w:p w14:paraId="5EB53A3F" w14:textId="77777777" w:rsidR="001D0683" w:rsidRDefault="001D0683" w:rsidP="002A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B4109" w14:textId="77777777" w:rsidR="001D0683" w:rsidRDefault="001D0683" w:rsidP="002A0E67">
      <w:pPr>
        <w:spacing w:after="0" w:line="240" w:lineRule="auto"/>
      </w:pPr>
      <w:r>
        <w:separator/>
      </w:r>
    </w:p>
  </w:footnote>
  <w:footnote w:type="continuationSeparator" w:id="0">
    <w:p w14:paraId="43A397D7" w14:textId="77777777" w:rsidR="001D0683" w:rsidRDefault="001D0683" w:rsidP="002A0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11979" w14:textId="691AD5E3" w:rsidR="002A0E67" w:rsidRPr="002A0E67" w:rsidRDefault="002A0E67">
    <w:pPr>
      <w:pStyle w:val="Header"/>
      <w:rPr>
        <w:rFonts w:ascii="Times New Roman" w:hAnsi="Times New Roman" w:cs="Times New Roman"/>
      </w:rPr>
    </w:pPr>
    <w:r w:rsidRPr="002A0E67">
      <w:rPr>
        <w:rFonts w:ascii="Times New Roman" w:hAnsi="Times New Roman" w:cs="Times New Roman"/>
      </w:rPr>
      <w:t>Harrison Holt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3441"/>
    <w:multiLevelType w:val="hybridMultilevel"/>
    <w:tmpl w:val="A7F2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91D2E"/>
    <w:multiLevelType w:val="hybridMultilevel"/>
    <w:tmpl w:val="4678E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150F9"/>
    <w:multiLevelType w:val="hybridMultilevel"/>
    <w:tmpl w:val="59383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E14B9"/>
    <w:multiLevelType w:val="hybridMultilevel"/>
    <w:tmpl w:val="5650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70BEA"/>
    <w:multiLevelType w:val="hybridMultilevel"/>
    <w:tmpl w:val="D5E40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17365"/>
    <w:multiLevelType w:val="hybridMultilevel"/>
    <w:tmpl w:val="75129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43928"/>
    <w:multiLevelType w:val="hybridMultilevel"/>
    <w:tmpl w:val="F052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A6243"/>
    <w:multiLevelType w:val="hybridMultilevel"/>
    <w:tmpl w:val="69204D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E93122"/>
    <w:multiLevelType w:val="hybridMultilevel"/>
    <w:tmpl w:val="400C9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F156DF"/>
    <w:multiLevelType w:val="hybridMultilevel"/>
    <w:tmpl w:val="FFCC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391308"/>
    <w:multiLevelType w:val="hybridMultilevel"/>
    <w:tmpl w:val="9A4A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065E6"/>
    <w:multiLevelType w:val="hybridMultilevel"/>
    <w:tmpl w:val="C9B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E21976"/>
    <w:multiLevelType w:val="hybridMultilevel"/>
    <w:tmpl w:val="EA344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22A89"/>
    <w:multiLevelType w:val="hybridMultilevel"/>
    <w:tmpl w:val="0834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D2983"/>
    <w:multiLevelType w:val="hybridMultilevel"/>
    <w:tmpl w:val="5D28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44164"/>
    <w:multiLevelType w:val="hybridMultilevel"/>
    <w:tmpl w:val="F7842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D458C8"/>
    <w:multiLevelType w:val="hybridMultilevel"/>
    <w:tmpl w:val="4F525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852A9"/>
    <w:multiLevelType w:val="hybridMultilevel"/>
    <w:tmpl w:val="CDB0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692927">
    <w:abstractNumId w:val="4"/>
  </w:num>
  <w:num w:numId="2" w16cid:durableId="1923945875">
    <w:abstractNumId w:val="10"/>
  </w:num>
  <w:num w:numId="3" w16cid:durableId="478883138">
    <w:abstractNumId w:val="16"/>
  </w:num>
  <w:num w:numId="4" w16cid:durableId="347485893">
    <w:abstractNumId w:val="13"/>
  </w:num>
  <w:num w:numId="5" w16cid:durableId="1856647966">
    <w:abstractNumId w:val="6"/>
  </w:num>
  <w:num w:numId="6" w16cid:durableId="654145362">
    <w:abstractNumId w:val="14"/>
  </w:num>
  <w:num w:numId="7" w16cid:durableId="1720669557">
    <w:abstractNumId w:val="5"/>
  </w:num>
  <w:num w:numId="8" w16cid:durableId="47657345">
    <w:abstractNumId w:val="11"/>
  </w:num>
  <w:num w:numId="9" w16cid:durableId="534346186">
    <w:abstractNumId w:val="2"/>
  </w:num>
  <w:num w:numId="10" w16cid:durableId="1144740572">
    <w:abstractNumId w:val="12"/>
  </w:num>
  <w:num w:numId="11" w16cid:durableId="1996060574">
    <w:abstractNumId w:val="7"/>
  </w:num>
  <w:num w:numId="12" w16cid:durableId="507721721">
    <w:abstractNumId w:val="1"/>
  </w:num>
  <w:num w:numId="13" w16cid:durableId="1459760399">
    <w:abstractNumId w:val="9"/>
  </w:num>
  <w:num w:numId="14" w16cid:durableId="1204244885">
    <w:abstractNumId w:val="3"/>
  </w:num>
  <w:num w:numId="15" w16cid:durableId="187304529">
    <w:abstractNumId w:val="17"/>
  </w:num>
  <w:num w:numId="16" w16cid:durableId="480852887">
    <w:abstractNumId w:val="0"/>
  </w:num>
  <w:num w:numId="17" w16cid:durableId="2036614621">
    <w:abstractNumId w:val="15"/>
  </w:num>
  <w:num w:numId="18" w16cid:durableId="5019404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67"/>
    <w:rsid w:val="00033ADC"/>
    <w:rsid w:val="00193DE4"/>
    <w:rsid w:val="001D0683"/>
    <w:rsid w:val="00257651"/>
    <w:rsid w:val="002A0E67"/>
    <w:rsid w:val="002C20FE"/>
    <w:rsid w:val="00364377"/>
    <w:rsid w:val="00375763"/>
    <w:rsid w:val="00457D4C"/>
    <w:rsid w:val="004820DA"/>
    <w:rsid w:val="00494AC7"/>
    <w:rsid w:val="0049741D"/>
    <w:rsid w:val="0064049F"/>
    <w:rsid w:val="00691349"/>
    <w:rsid w:val="0075640E"/>
    <w:rsid w:val="008768D8"/>
    <w:rsid w:val="008C052E"/>
    <w:rsid w:val="008F0272"/>
    <w:rsid w:val="00940137"/>
    <w:rsid w:val="00982A7E"/>
    <w:rsid w:val="009C3FBD"/>
    <w:rsid w:val="00A42445"/>
    <w:rsid w:val="00A629D3"/>
    <w:rsid w:val="00AA70EC"/>
    <w:rsid w:val="00AD697D"/>
    <w:rsid w:val="00B42F79"/>
    <w:rsid w:val="00B43C59"/>
    <w:rsid w:val="00CD5143"/>
    <w:rsid w:val="00D82DEB"/>
    <w:rsid w:val="00DB1399"/>
    <w:rsid w:val="00DF471B"/>
    <w:rsid w:val="00E5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25C5"/>
  <w15:chartTrackingRefBased/>
  <w15:docId w15:val="{73CD1C79-8603-4249-AB0E-0669C65D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E67"/>
    <w:rPr>
      <w:rFonts w:eastAsiaTheme="majorEastAsia" w:cstheme="majorBidi"/>
      <w:color w:val="272727" w:themeColor="text1" w:themeTint="D8"/>
    </w:rPr>
  </w:style>
  <w:style w:type="paragraph" w:styleId="Title">
    <w:name w:val="Title"/>
    <w:basedOn w:val="Normal"/>
    <w:next w:val="Normal"/>
    <w:link w:val="TitleChar"/>
    <w:uiPriority w:val="10"/>
    <w:qFormat/>
    <w:rsid w:val="002A0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E67"/>
    <w:pPr>
      <w:spacing w:before="160"/>
      <w:jc w:val="center"/>
    </w:pPr>
    <w:rPr>
      <w:i/>
      <w:iCs/>
      <w:color w:val="404040" w:themeColor="text1" w:themeTint="BF"/>
    </w:rPr>
  </w:style>
  <w:style w:type="character" w:customStyle="1" w:styleId="QuoteChar">
    <w:name w:val="Quote Char"/>
    <w:basedOn w:val="DefaultParagraphFont"/>
    <w:link w:val="Quote"/>
    <w:uiPriority w:val="29"/>
    <w:rsid w:val="002A0E67"/>
    <w:rPr>
      <w:i/>
      <w:iCs/>
      <w:color w:val="404040" w:themeColor="text1" w:themeTint="BF"/>
    </w:rPr>
  </w:style>
  <w:style w:type="paragraph" w:styleId="ListParagraph">
    <w:name w:val="List Paragraph"/>
    <w:basedOn w:val="Normal"/>
    <w:uiPriority w:val="34"/>
    <w:qFormat/>
    <w:rsid w:val="002A0E67"/>
    <w:pPr>
      <w:ind w:left="720"/>
      <w:contextualSpacing/>
    </w:pPr>
  </w:style>
  <w:style w:type="character" w:styleId="IntenseEmphasis">
    <w:name w:val="Intense Emphasis"/>
    <w:basedOn w:val="DefaultParagraphFont"/>
    <w:uiPriority w:val="21"/>
    <w:qFormat/>
    <w:rsid w:val="002A0E67"/>
    <w:rPr>
      <w:i/>
      <w:iCs/>
      <w:color w:val="0F4761" w:themeColor="accent1" w:themeShade="BF"/>
    </w:rPr>
  </w:style>
  <w:style w:type="paragraph" w:styleId="IntenseQuote">
    <w:name w:val="Intense Quote"/>
    <w:basedOn w:val="Normal"/>
    <w:next w:val="Normal"/>
    <w:link w:val="IntenseQuoteChar"/>
    <w:uiPriority w:val="30"/>
    <w:qFormat/>
    <w:rsid w:val="002A0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E67"/>
    <w:rPr>
      <w:i/>
      <w:iCs/>
      <w:color w:val="0F4761" w:themeColor="accent1" w:themeShade="BF"/>
    </w:rPr>
  </w:style>
  <w:style w:type="character" w:styleId="IntenseReference">
    <w:name w:val="Intense Reference"/>
    <w:basedOn w:val="DefaultParagraphFont"/>
    <w:uiPriority w:val="32"/>
    <w:qFormat/>
    <w:rsid w:val="002A0E67"/>
    <w:rPr>
      <w:b/>
      <w:bCs/>
      <w:smallCaps/>
      <w:color w:val="0F4761" w:themeColor="accent1" w:themeShade="BF"/>
      <w:spacing w:val="5"/>
    </w:rPr>
  </w:style>
  <w:style w:type="paragraph" w:styleId="Header">
    <w:name w:val="header"/>
    <w:basedOn w:val="Normal"/>
    <w:link w:val="HeaderChar"/>
    <w:uiPriority w:val="99"/>
    <w:unhideWhenUsed/>
    <w:rsid w:val="002A0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E67"/>
  </w:style>
  <w:style w:type="paragraph" w:styleId="Footer">
    <w:name w:val="footer"/>
    <w:basedOn w:val="Normal"/>
    <w:link w:val="FooterChar"/>
    <w:uiPriority w:val="99"/>
    <w:unhideWhenUsed/>
    <w:rsid w:val="002A0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E67"/>
  </w:style>
  <w:style w:type="character" w:styleId="Hyperlink">
    <w:name w:val="Hyperlink"/>
    <w:basedOn w:val="DefaultParagraphFont"/>
    <w:uiPriority w:val="99"/>
    <w:unhideWhenUsed/>
    <w:rsid w:val="009C3FBD"/>
    <w:rPr>
      <w:color w:val="467886" w:themeColor="hyperlink"/>
      <w:u w:val="single"/>
    </w:rPr>
  </w:style>
  <w:style w:type="character" w:styleId="UnresolvedMention">
    <w:name w:val="Unresolved Mention"/>
    <w:basedOn w:val="DefaultParagraphFont"/>
    <w:uiPriority w:val="99"/>
    <w:semiHidden/>
    <w:unhideWhenUsed/>
    <w:rsid w:val="009C3FBD"/>
    <w:rPr>
      <w:color w:val="605E5C"/>
      <w:shd w:val="clear" w:color="auto" w:fill="E1DFDD"/>
    </w:rPr>
  </w:style>
  <w:style w:type="character" w:styleId="PlaceholderText">
    <w:name w:val="Placeholder Text"/>
    <w:basedOn w:val="DefaultParagraphFont"/>
    <w:uiPriority w:val="99"/>
    <w:semiHidden/>
    <w:rsid w:val="00494AC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8463">
      <w:bodyDiv w:val="1"/>
      <w:marLeft w:val="0"/>
      <w:marRight w:val="0"/>
      <w:marTop w:val="0"/>
      <w:marBottom w:val="0"/>
      <w:divBdr>
        <w:top w:val="none" w:sz="0" w:space="0" w:color="auto"/>
        <w:left w:val="none" w:sz="0" w:space="0" w:color="auto"/>
        <w:bottom w:val="none" w:sz="0" w:space="0" w:color="auto"/>
        <w:right w:val="none" w:sz="0" w:space="0" w:color="auto"/>
      </w:divBdr>
      <w:divsChild>
        <w:div w:id="931864475">
          <w:marLeft w:val="0"/>
          <w:marRight w:val="0"/>
          <w:marTop w:val="0"/>
          <w:marBottom w:val="0"/>
          <w:divBdr>
            <w:top w:val="none" w:sz="0" w:space="0" w:color="auto"/>
            <w:left w:val="none" w:sz="0" w:space="0" w:color="auto"/>
            <w:bottom w:val="none" w:sz="0" w:space="0" w:color="auto"/>
            <w:right w:val="none" w:sz="0" w:space="0" w:color="auto"/>
          </w:divBdr>
          <w:divsChild>
            <w:div w:id="613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1300">
      <w:bodyDiv w:val="1"/>
      <w:marLeft w:val="0"/>
      <w:marRight w:val="0"/>
      <w:marTop w:val="0"/>
      <w:marBottom w:val="0"/>
      <w:divBdr>
        <w:top w:val="none" w:sz="0" w:space="0" w:color="auto"/>
        <w:left w:val="none" w:sz="0" w:space="0" w:color="auto"/>
        <w:bottom w:val="none" w:sz="0" w:space="0" w:color="auto"/>
        <w:right w:val="none" w:sz="0" w:space="0" w:color="auto"/>
      </w:divBdr>
    </w:div>
    <w:div w:id="159462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inbase.com/advanced-fe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2758</TotalTime>
  <Pages>4</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Holt</dc:creator>
  <cp:keywords/>
  <dc:description/>
  <cp:lastModifiedBy>Harrison Holt</cp:lastModifiedBy>
  <cp:revision>10</cp:revision>
  <dcterms:created xsi:type="dcterms:W3CDTF">2024-11-14T02:40:00Z</dcterms:created>
  <dcterms:modified xsi:type="dcterms:W3CDTF">2024-11-16T00:38:00Z</dcterms:modified>
</cp:coreProperties>
</file>