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0E7490"/>
        </w:rPr>
        <w:t>SciGraph AI — Mathematical Formulas, Features &amp; Architecture Guide</w:t>
      </w:r>
    </w:p>
    <w:p>
      <w:pPr>
        <w:jc w:val="center"/>
      </w:pPr>
      <w:r>
        <w:rPr>
          <w:i/>
          <w:color w:val="64748B"/>
        </w:rPr>
        <w:t>Official Academic &amp; Mathematical Reference Guide for Seminar Presentation</w:t>
      </w:r>
    </w:p>
    <w:p/>
    <w:p>
      <w:pPr>
        <w:pStyle w:val="Heading1"/>
      </w:pPr>
      <w:r>
        <w:rPr>
          <w:color w:val="0F172A"/>
        </w:rPr>
        <w:t>1. End-to-End System Architecture Flow</w:t>
      </w:r>
    </w:p>
    <w:p>
      <w:r>
        <w:rPr>
          <w:sz w:val="21"/>
        </w:rPr>
        <w:t>The SciGraph AI pipeline executes in 5 sequential stages:</w:t>
        <w:br/>
        <w:t>1. OpenAlex Ingestion: Retrieves genuine paper metadata (Publication Year, Authors, Citations, Institutions).</w:t>
        <w:br/>
        <w:t>2. Temporal Snapshot (T_cutoff = Y_pub): Strictly masks all future citations post-publication to prevent leakage.</w:t>
        <w:br/>
        <w:t>3. Feature Vector Extraction (x): Constructs a 5-dimensional normalized vector.</w:t>
        <w:br/>
        <w:t>4. PyTorch HeteroGraphSAGE Forward Pass: Computes 64-dim hidden representations and 3-class Softmax probabilities.</w:t>
        <w:br/>
        <w:t>5. Dynamic Cohort Classification: Maps output to Low (&lt;50%), Medium (50-90%), or High (&gt;=90%) percentile tiers.</w:t>
      </w:r>
    </w:p>
    <w:p/>
    <w:p>
      <w:pPr>
        <w:pStyle w:val="Heading1"/>
      </w:pPr>
      <w:r>
        <w:rPr>
          <w:color w:val="0F172A"/>
        </w:rPr>
        <w:t>2. Deep Dive: The 5 Extracted Features (Formulas &amp; Rationale)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E7490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484"/>
            <w:shd w:fill="0E7490"/>
          </w:tcPr>
          <w:p>
            <w:r>
              <w:rPr>
                <w:b/>
                <w:color w:val="FFFFFF"/>
                <w:sz w:val="20"/>
              </w:rPr>
              <w:t>Mathematical Formula</w:t>
            </w:r>
          </w:p>
        </w:tc>
        <w:tc>
          <w:tcPr>
            <w:tcW w:type="dxa" w:w="2484"/>
            <w:shd w:fill="0E7490"/>
          </w:tcPr>
          <w:p>
            <w:r>
              <w:rPr>
                <w:b/>
                <w:color w:val="FFFFFF"/>
                <w:sz w:val="20"/>
              </w:rPr>
              <w:t>Why We Extracted This?</w:t>
            </w:r>
          </w:p>
        </w:tc>
        <w:tc>
          <w:tcPr>
            <w:tcW w:type="dxa" w:w="2484"/>
            <w:shd w:fill="0E7490"/>
          </w:tcPr>
          <w:p>
            <w:r>
              <w:rPr>
                <w:b/>
                <w:color w:val="FFFFFF"/>
                <w:sz w:val="20"/>
              </w:rPr>
              <w:t>What It Tells the Model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x0: Normalized Year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x0 = (PubYear - 2012) / 10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Publishing velocity and citation patterns change over decades.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Anchors the paper in its temporal era, scaling years [2012, 2022] into [0.0, 1.0].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sz w:val="19"/>
              </w:rPr>
              <w:t>x1: Scaled Early Citations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x1 = Citations_at_cutoff / 100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Early citation rate in the release year indicates immediate community interest.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Measures early adoption speed. Dividing by 100 normalizes values for neural gradients.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x2: Title Complexity Ratio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x2 = Title_Word_Count / 20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Scientometric studies show concise titles correlate with broad fundamental breakthroughs.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Measures the lexical granularity and scope of the research contribution.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sz w:val="19"/>
              </w:rPr>
              <w:t>x3: Co-Author Team Ratio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x3 = CoAuthor_Count / 10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Modern scientific breakthroughs rely on multi-lab collaboration networks.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Indicates the collaborative breadth and institutional reach behind the paper.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x4: Log-Scaled Citation Velocity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x4 = ln(1 + Citations_at_cutoff)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Citations follow a power-law distribution (0.1% receive thousands of citations).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Compresses extreme citation outliers so viral papers do not explode model weights.</w:t>
            </w:r>
          </w:p>
        </w:tc>
      </w:tr>
    </w:tbl>
    <w:p/>
    <w:p>
      <w:pPr>
        <w:pStyle w:val="Heading1"/>
      </w:pPr>
      <w:r>
        <w:rPr>
          <w:color w:val="0F172A"/>
        </w:rPr>
        <w:t>3. PyTorch Neural Network Feed-Forward Equations</w:t>
      </w:r>
    </w:p>
    <w:p>
      <w:r>
        <w:t>Our PyTorch GraphSAGE neural network (ml/gnn/models/graphsage.py) converts the 5-dimensional feature vector into a 3-class probability distribution across 4 exact mathematical steps:</w:t>
      </w:r>
    </w:p>
    <w:p>
      <w:r>
        <w:rPr>
          <w:b/>
          <w:color w:val="0E7490"/>
        </w:rPr>
        <w:t>• Step 1: Input Feature Vector:</w:t>
        <w:br/>
      </w:r>
      <w:r>
        <w:rPr>
          <w:sz w:val="20"/>
        </w:rPr>
        <w:t xml:space="preserve">   x = [x0, x1, x2, x3, x4]^T  (Dimension: 5 x 1)</w:t>
      </w:r>
    </w:p>
    <w:p>
      <w:r>
        <w:rPr>
          <w:b/>
          <w:color w:val="0E7490"/>
        </w:rPr>
        <w:t>• Step 2: Hidden Layer Linear Transformation:</w:t>
        <w:br/>
      </w:r>
      <w:r>
        <w:rPr>
          <w:sz w:val="20"/>
        </w:rPr>
        <w:t xml:space="preserve">   h1 = W1 * x + b1</w:t>
        <w:br/>
        <w:t>Where W1 is a (64 x 5) trained weight matrix and b1 is a (64 x 1) bias vector.</w:t>
      </w:r>
    </w:p>
    <w:p>
      <w:r>
        <w:rPr>
          <w:b/>
          <w:color w:val="0E7490"/>
        </w:rPr>
        <w:t>• Step 3: Non-Linear Activation Function (ReLU):</w:t>
        <w:br/>
      </w:r>
      <w:r>
        <w:rPr>
          <w:sz w:val="20"/>
        </w:rPr>
        <w:t xml:space="preserve">   a1 = ReLU(h1) = max(0, h1)</w:t>
        <w:br/>
        <w:t>Allows the neural network to learn non-linear patterns in citation dynamics.</w:t>
      </w:r>
    </w:p>
    <w:p>
      <w:r>
        <w:rPr>
          <w:b/>
          <w:color w:val="0E7490"/>
        </w:rPr>
        <w:t>• Step 4: Output Classifier Layer (Logits):</w:t>
        <w:br/>
      </w:r>
      <w:r>
        <w:rPr>
          <w:sz w:val="20"/>
        </w:rPr>
        <w:t xml:space="preserve">   z = W2 * a1 + b2 = [z0, z1, z2]^T</w:t>
        <w:br/>
        <w:t>Where W2 is a (3 x 64) trained weight matrix and b2 is a (3 x 1) bias vector. z represents the raw unnormalized scores.</w:t>
      </w:r>
    </w:p>
    <w:p>
      <w:r>
        <w:rPr>
          <w:b/>
          <w:color w:val="0E7490"/>
        </w:rPr>
        <w:t>• Step 5: Softmax Probability Distribution:</w:t>
        <w:br/>
      </w:r>
      <w:r>
        <w:rPr>
          <w:sz w:val="20"/>
        </w:rPr>
        <w:t xml:space="preserve">   P(Low)    = exp(z0) / (exp(z0) + exp(z1) + exp(z2))</w:t>
        <w:br/>
        <w:t>P(Medium) = exp(z1) / (exp(z0) + exp(z1) + exp(z2))</w:t>
        <w:br/>
        <w:t>P(High)   = exp(z2) / (exp(z0) + exp(z1) + exp(z2))</w:t>
        <w:br/>
        <w:t>Total Probability Sum = P(Low) + P(Medium) + P(High) = 1.0 (100%)</w:t>
      </w:r>
    </w:p>
    <w:p>
      <w:r>
        <w:rPr>
          <w:b/>
          <w:color w:val="0E7490"/>
        </w:rPr>
        <w:t>• Step 6: Final Decision Rule (Argmax):</w:t>
        <w:br/>
      </w:r>
      <w:r>
        <w:rPr>
          <w:sz w:val="20"/>
        </w:rPr>
        <w:t xml:space="preserve">   Predicted Class = argmax { P(Low), P(Medium), P(High) }</w:t>
        <w:br/>
        <w:t>The model chooses the single class with the highest probability score.</w:t>
      </w:r>
    </w:p>
    <w:p/>
    <w:p>
      <w:pPr>
        <w:pStyle w:val="Heading1"/>
      </w:pPr>
      <w:r>
        <w:rPr>
          <w:color w:val="0F172A"/>
        </w:rPr>
        <w:t>4. Dynamic Cohort-Normalized Impact Classes</w:t>
      </w:r>
    </w:p>
    <w:p>
      <w:r>
        <w:rPr>
          <w:sz w:val="21"/>
        </w:rPr>
        <w:t>Instead of unfair hardcoded citation counts, we dynamically calculate the 5-year citation gain (Delta Citations_5 = Citations(Y+5) - Citations(Y)) and find the percentile thresholds within that specific year's cohort:</w:t>
        <w:br/>
        <w:br/>
        <w:t>• Class 0 (Low Impact): Delta Citations_5 &lt; 50th Percentile (Bottom 50% of papers in that year)</w:t>
        <w:br/>
        <w:t>• Class 1 (Medium Impact): 50th Percentile &lt;= Delta Citations_5 &lt; 90th Percentile (Mainstream solid contribution)</w:t>
        <w:br/>
        <w:t>• Class 2 (High Impact): Delta Citations_5 &gt;= 90th Percentile (Top 10% Landmark Breakthrough Papers)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