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5D19" w14:textId="3E8B11EA" w:rsidR="0063028C" w:rsidRDefault="0063028C" w:rsidP="0063028C">
      <w:pPr>
        <w:jc w:val="center"/>
        <w:rPr>
          <w:b/>
          <w:sz w:val="36"/>
          <w:szCs w:val="36"/>
        </w:rPr>
      </w:pPr>
      <w:r w:rsidRPr="0063028C">
        <w:rPr>
          <w:b/>
          <w:sz w:val="36"/>
          <w:szCs w:val="36"/>
        </w:rPr>
        <w:t>HSC EOA Documentation</w:t>
      </w:r>
    </w:p>
    <w:sdt>
      <w:sdtPr>
        <w:rPr>
          <w:rFonts w:asciiTheme="minorHAnsi" w:eastAsiaTheme="minorEastAsia" w:hAnsiTheme="minorHAnsi" w:cstheme="minorBidi"/>
          <w:color w:val="auto"/>
          <w:sz w:val="22"/>
          <w:szCs w:val="22"/>
          <w:lang w:val="en-CA" w:eastAsia="zh-CN"/>
        </w:rPr>
        <w:id w:val="-1802141140"/>
        <w:docPartObj>
          <w:docPartGallery w:val="Table of Contents"/>
          <w:docPartUnique/>
        </w:docPartObj>
      </w:sdtPr>
      <w:sdtEndPr>
        <w:rPr>
          <w:b/>
          <w:bCs/>
          <w:noProof/>
        </w:rPr>
      </w:sdtEndPr>
      <w:sdtContent>
        <w:p w14:paraId="23C599FA" w14:textId="0909BEA8" w:rsidR="008A69D8" w:rsidRDefault="008A69D8">
          <w:pPr>
            <w:pStyle w:val="TOCHeading"/>
          </w:pPr>
          <w:r>
            <w:t>Contents</w:t>
          </w:r>
        </w:p>
        <w:p w14:paraId="36F505FE" w14:textId="3EB6F8FC" w:rsidR="0044593F" w:rsidRDefault="008A69D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8632097" w:history="1">
            <w:r w:rsidR="0044593F" w:rsidRPr="00AA40D3">
              <w:rPr>
                <w:rStyle w:val="Hyperlink"/>
                <w:noProof/>
              </w:rPr>
              <w:t>Data Source</w:t>
            </w:r>
            <w:r w:rsidR="0044593F">
              <w:rPr>
                <w:noProof/>
                <w:webHidden/>
              </w:rPr>
              <w:tab/>
            </w:r>
            <w:r w:rsidR="0044593F">
              <w:rPr>
                <w:noProof/>
                <w:webHidden/>
              </w:rPr>
              <w:fldChar w:fldCharType="begin"/>
            </w:r>
            <w:r w:rsidR="0044593F">
              <w:rPr>
                <w:noProof/>
                <w:webHidden/>
              </w:rPr>
              <w:instrText xml:space="preserve"> PAGEREF _Toc518632097 \h </w:instrText>
            </w:r>
            <w:r w:rsidR="0044593F">
              <w:rPr>
                <w:noProof/>
                <w:webHidden/>
              </w:rPr>
            </w:r>
            <w:r w:rsidR="0044593F">
              <w:rPr>
                <w:noProof/>
                <w:webHidden/>
              </w:rPr>
              <w:fldChar w:fldCharType="separate"/>
            </w:r>
            <w:r w:rsidR="0044593F">
              <w:rPr>
                <w:noProof/>
                <w:webHidden/>
              </w:rPr>
              <w:t>2</w:t>
            </w:r>
            <w:r w:rsidR="0044593F">
              <w:rPr>
                <w:noProof/>
                <w:webHidden/>
              </w:rPr>
              <w:fldChar w:fldCharType="end"/>
            </w:r>
          </w:hyperlink>
        </w:p>
        <w:p w14:paraId="70F3A861" w14:textId="2C45CB1B" w:rsidR="0044593F" w:rsidRDefault="002A3EEC">
          <w:pPr>
            <w:pStyle w:val="TOC1"/>
            <w:tabs>
              <w:tab w:val="right" w:leader="dot" w:pos="9350"/>
            </w:tabs>
            <w:rPr>
              <w:noProof/>
            </w:rPr>
          </w:pPr>
          <w:hyperlink w:anchor="_Toc518632098" w:history="1">
            <w:r w:rsidR="0044593F" w:rsidRPr="00AA40D3">
              <w:rPr>
                <w:rStyle w:val="Hyperlink"/>
                <w:noProof/>
              </w:rPr>
              <w:t>Main Components of the “Schedule” tab</w:t>
            </w:r>
            <w:r w:rsidR="0044593F">
              <w:rPr>
                <w:noProof/>
                <w:webHidden/>
              </w:rPr>
              <w:tab/>
            </w:r>
            <w:r w:rsidR="0044593F">
              <w:rPr>
                <w:noProof/>
                <w:webHidden/>
              </w:rPr>
              <w:fldChar w:fldCharType="begin"/>
            </w:r>
            <w:r w:rsidR="0044593F">
              <w:rPr>
                <w:noProof/>
                <w:webHidden/>
              </w:rPr>
              <w:instrText xml:space="preserve"> PAGEREF _Toc518632098 \h </w:instrText>
            </w:r>
            <w:r w:rsidR="0044593F">
              <w:rPr>
                <w:noProof/>
                <w:webHidden/>
              </w:rPr>
            </w:r>
            <w:r w:rsidR="0044593F">
              <w:rPr>
                <w:noProof/>
                <w:webHidden/>
              </w:rPr>
              <w:fldChar w:fldCharType="separate"/>
            </w:r>
            <w:r w:rsidR="0044593F">
              <w:rPr>
                <w:noProof/>
                <w:webHidden/>
              </w:rPr>
              <w:t>2</w:t>
            </w:r>
            <w:r w:rsidR="0044593F">
              <w:rPr>
                <w:noProof/>
                <w:webHidden/>
              </w:rPr>
              <w:fldChar w:fldCharType="end"/>
            </w:r>
          </w:hyperlink>
        </w:p>
        <w:p w14:paraId="4E8F798A" w14:textId="4BB0E871" w:rsidR="0044593F" w:rsidRDefault="002A3EEC">
          <w:pPr>
            <w:pStyle w:val="TOC1"/>
            <w:tabs>
              <w:tab w:val="right" w:leader="dot" w:pos="9350"/>
            </w:tabs>
            <w:rPr>
              <w:noProof/>
            </w:rPr>
          </w:pPr>
          <w:hyperlink w:anchor="_Toc518632099" w:history="1">
            <w:r w:rsidR="0044593F" w:rsidRPr="00AA40D3">
              <w:rPr>
                <w:rStyle w:val="Hyperlink"/>
                <w:noProof/>
              </w:rPr>
              <w:t>Logic of Main Table</w:t>
            </w:r>
            <w:r w:rsidR="0044593F">
              <w:rPr>
                <w:noProof/>
                <w:webHidden/>
              </w:rPr>
              <w:tab/>
            </w:r>
            <w:r w:rsidR="0044593F">
              <w:rPr>
                <w:noProof/>
                <w:webHidden/>
              </w:rPr>
              <w:fldChar w:fldCharType="begin"/>
            </w:r>
            <w:r w:rsidR="0044593F">
              <w:rPr>
                <w:noProof/>
                <w:webHidden/>
              </w:rPr>
              <w:instrText xml:space="preserve"> PAGEREF _Toc518632099 \h </w:instrText>
            </w:r>
            <w:r w:rsidR="0044593F">
              <w:rPr>
                <w:noProof/>
                <w:webHidden/>
              </w:rPr>
            </w:r>
            <w:r w:rsidR="0044593F">
              <w:rPr>
                <w:noProof/>
                <w:webHidden/>
              </w:rPr>
              <w:fldChar w:fldCharType="separate"/>
            </w:r>
            <w:r w:rsidR="0044593F">
              <w:rPr>
                <w:noProof/>
                <w:webHidden/>
              </w:rPr>
              <w:t>3</w:t>
            </w:r>
            <w:r w:rsidR="0044593F">
              <w:rPr>
                <w:noProof/>
                <w:webHidden/>
              </w:rPr>
              <w:fldChar w:fldCharType="end"/>
            </w:r>
          </w:hyperlink>
        </w:p>
        <w:p w14:paraId="713676FA" w14:textId="0C069ED2" w:rsidR="0044593F" w:rsidRDefault="002A3EEC">
          <w:pPr>
            <w:pStyle w:val="TOC2"/>
            <w:tabs>
              <w:tab w:val="right" w:leader="dot" w:pos="9350"/>
            </w:tabs>
            <w:rPr>
              <w:noProof/>
            </w:rPr>
          </w:pPr>
          <w:hyperlink w:anchor="_Toc518632100" w:history="1">
            <w:r w:rsidR="0044593F" w:rsidRPr="00AA40D3">
              <w:rPr>
                <w:rStyle w:val="Hyperlink"/>
                <w:noProof/>
              </w:rPr>
              <w:t>Slicer</w:t>
            </w:r>
            <w:r w:rsidR="0044593F">
              <w:rPr>
                <w:noProof/>
                <w:webHidden/>
              </w:rPr>
              <w:tab/>
            </w:r>
            <w:r w:rsidR="0044593F">
              <w:rPr>
                <w:noProof/>
                <w:webHidden/>
              </w:rPr>
              <w:fldChar w:fldCharType="begin"/>
            </w:r>
            <w:r w:rsidR="0044593F">
              <w:rPr>
                <w:noProof/>
                <w:webHidden/>
              </w:rPr>
              <w:instrText xml:space="preserve"> PAGEREF _Toc518632100 \h </w:instrText>
            </w:r>
            <w:r w:rsidR="0044593F">
              <w:rPr>
                <w:noProof/>
                <w:webHidden/>
              </w:rPr>
            </w:r>
            <w:r w:rsidR="0044593F">
              <w:rPr>
                <w:noProof/>
                <w:webHidden/>
              </w:rPr>
              <w:fldChar w:fldCharType="separate"/>
            </w:r>
            <w:r w:rsidR="0044593F">
              <w:rPr>
                <w:noProof/>
                <w:webHidden/>
              </w:rPr>
              <w:t>3</w:t>
            </w:r>
            <w:r w:rsidR="0044593F">
              <w:rPr>
                <w:noProof/>
                <w:webHidden/>
              </w:rPr>
              <w:fldChar w:fldCharType="end"/>
            </w:r>
          </w:hyperlink>
        </w:p>
        <w:p w14:paraId="517F3879" w14:textId="0431C1EF" w:rsidR="0044593F" w:rsidRDefault="002A3EEC">
          <w:pPr>
            <w:pStyle w:val="TOC2"/>
            <w:tabs>
              <w:tab w:val="right" w:leader="dot" w:pos="9350"/>
            </w:tabs>
            <w:rPr>
              <w:noProof/>
            </w:rPr>
          </w:pPr>
          <w:hyperlink w:anchor="_Toc518632101" w:history="1">
            <w:r w:rsidR="0044593F" w:rsidRPr="00AA40D3">
              <w:rPr>
                <w:rStyle w:val="Hyperlink"/>
                <w:noProof/>
              </w:rPr>
              <w:t>EOA Year Color</w:t>
            </w:r>
            <w:r w:rsidR="0044593F">
              <w:rPr>
                <w:noProof/>
                <w:webHidden/>
              </w:rPr>
              <w:tab/>
            </w:r>
            <w:r w:rsidR="0044593F">
              <w:rPr>
                <w:noProof/>
                <w:webHidden/>
              </w:rPr>
              <w:fldChar w:fldCharType="begin"/>
            </w:r>
            <w:r w:rsidR="0044593F">
              <w:rPr>
                <w:noProof/>
                <w:webHidden/>
              </w:rPr>
              <w:instrText xml:space="preserve"> PAGEREF _Toc518632101 \h </w:instrText>
            </w:r>
            <w:r w:rsidR="0044593F">
              <w:rPr>
                <w:noProof/>
                <w:webHidden/>
              </w:rPr>
            </w:r>
            <w:r w:rsidR="0044593F">
              <w:rPr>
                <w:noProof/>
                <w:webHidden/>
              </w:rPr>
              <w:fldChar w:fldCharType="separate"/>
            </w:r>
            <w:r w:rsidR="0044593F">
              <w:rPr>
                <w:noProof/>
                <w:webHidden/>
              </w:rPr>
              <w:t>4</w:t>
            </w:r>
            <w:r w:rsidR="0044593F">
              <w:rPr>
                <w:noProof/>
                <w:webHidden/>
              </w:rPr>
              <w:fldChar w:fldCharType="end"/>
            </w:r>
          </w:hyperlink>
        </w:p>
        <w:p w14:paraId="18A66A47" w14:textId="47F7A110" w:rsidR="0044593F" w:rsidRDefault="002A3EEC">
          <w:pPr>
            <w:pStyle w:val="TOC2"/>
            <w:tabs>
              <w:tab w:val="right" w:leader="dot" w:pos="9350"/>
            </w:tabs>
            <w:rPr>
              <w:noProof/>
            </w:rPr>
          </w:pPr>
          <w:hyperlink w:anchor="_Toc518632102" w:history="1">
            <w:r w:rsidR="0044593F" w:rsidRPr="00AA40D3">
              <w:rPr>
                <w:rStyle w:val="Hyperlink"/>
                <w:noProof/>
              </w:rPr>
              <w:t>Shelter Occupancy Revenue</w:t>
            </w:r>
            <w:r w:rsidR="0044593F">
              <w:rPr>
                <w:noProof/>
                <w:webHidden/>
              </w:rPr>
              <w:tab/>
            </w:r>
            <w:r w:rsidR="0044593F">
              <w:rPr>
                <w:noProof/>
                <w:webHidden/>
              </w:rPr>
              <w:fldChar w:fldCharType="begin"/>
            </w:r>
            <w:r w:rsidR="0044593F">
              <w:rPr>
                <w:noProof/>
                <w:webHidden/>
              </w:rPr>
              <w:instrText xml:space="preserve"> PAGEREF _Toc518632102 \h </w:instrText>
            </w:r>
            <w:r w:rsidR="0044593F">
              <w:rPr>
                <w:noProof/>
                <w:webHidden/>
              </w:rPr>
            </w:r>
            <w:r w:rsidR="0044593F">
              <w:rPr>
                <w:noProof/>
                <w:webHidden/>
              </w:rPr>
              <w:fldChar w:fldCharType="separate"/>
            </w:r>
            <w:r w:rsidR="0044593F">
              <w:rPr>
                <w:noProof/>
                <w:webHidden/>
              </w:rPr>
              <w:t>4</w:t>
            </w:r>
            <w:r w:rsidR="0044593F">
              <w:rPr>
                <w:noProof/>
                <w:webHidden/>
              </w:rPr>
              <w:fldChar w:fldCharType="end"/>
            </w:r>
          </w:hyperlink>
        </w:p>
        <w:p w14:paraId="4347E3FC" w14:textId="73173070" w:rsidR="0044593F" w:rsidRDefault="002A3EEC">
          <w:pPr>
            <w:pStyle w:val="TOC2"/>
            <w:tabs>
              <w:tab w:val="right" w:leader="dot" w:pos="9350"/>
            </w:tabs>
            <w:rPr>
              <w:noProof/>
            </w:rPr>
          </w:pPr>
          <w:hyperlink w:anchor="_Toc518632103" w:history="1">
            <w:r w:rsidR="0044593F" w:rsidRPr="00AA40D3">
              <w:rPr>
                <w:rStyle w:val="Hyperlink"/>
                <w:noProof/>
              </w:rPr>
              <w:t>Shelter Expenses</w:t>
            </w:r>
            <w:r w:rsidR="0044593F">
              <w:rPr>
                <w:noProof/>
                <w:webHidden/>
              </w:rPr>
              <w:tab/>
            </w:r>
            <w:r w:rsidR="0044593F">
              <w:rPr>
                <w:noProof/>
                <w:webHidden/>
              </w:rPr>
              <w:fldChar w:fldCharType="begin"/>
            </w:r>
            <w:r w:rsidR="0044593F">
              <w:rPr>
                <w:noProof/>
                <w:webHidden/>
              </w:rPr>
              <w:instrText xml:space="preserve"> PAGEREF _Toc518632103 \h </w:instrText>
            </w:r>
            <w:r w:rsidR="0044593F">
              <w:rPr>
                <w:noProof/>
                <w:webHidden/>
              </w:rPr>
            </w:r>
            <w:r w:rsidR="0044593F">
              <w:rPr>
                <w:noProof/>
                <w:webHidden/>
              </w:rPr>
              <w:fldChar w:fldCharType="separate"/>
            </w:r>
            <w:r w:rsidR="0044593F">
              <w:rPr>
                <w:noProof/>
                <w:webHidden/>
              </w:rPr>
              <w:t>5</w:t>
            </w:r>
            <w:r w:rsidR="0044593F">
              <w:rPr>
                <w:noProof/>
                <w:webHidden/>
              </w:rPr>
              <w:fldChar w:fldCharType="end"/>
            </w:r>
          </w:hyperlink>
        </w:p>
        <w:p w14:paraId="38020B3F" w14:textId="1C60625E" w:rsidR="0044593F" w:rsidRDefault="002A3EEC">
          <w:pPr>
            <w:pStyle w:val="TOC2"/>
            <w:tabs>
              <w:tab w:val="right" w:leader="dot" w:pos="9350"/>
            </w:tabs>
            <w:rPr>
              <w:noProof/>
            </w:rPr>
          </w:pPr>
          <w:hyperlink w:anchor="_Toc518632104" w:history="1">
            <w:r w:rsidR="0044593F" w:rsidRPr="00AA40D3">
              <w:rPr>
                <w:rStyle w:val="Hyperlink"/>
                <w:noProof/>
              </w:rPr>
              <w:t>Capital Reserve Fund (CRF)</w:t>
            </w:r>
            <w:r w:rsidR="0044593F">
              <w:rPr>
                <w:noProof/>
                <w:webHidden/>
              </w:rPr>
              <w:tab/>
            </w:r>
            <w:r w:rsidR="0044593F">
              <w:rPr>
                <w:noProof/>
                <w:webHidden/>
              </w:rPr>
              <w:fldChar w:fldCharType="begin"/>
            </w:r>
            <w:r w:rsidR="0044593F">
              <w:rPr>
                <w:noProof/>
                <w:webHidden/>
              </w:rPr>
              <w:instrText xml:space="preserve"> PAGEREF _Toc518632104 \h </w:instrText>
            </w:r>
            <w:r w:rsidR="0044593F">
              <w:rPr>
                <w:noProof/>
                <w:webHidden/>
              </w:rPr>
            </w:r>
            <w:r w:rsidR="0044593F">
              <w:rPr>
                <w:noProof/>
                <w:webHidden/>
              </w:rPr>
              <w:fldChar w:fldCharType="separate"/>
            </w:r>
            <w:r w:rsidR="0044593F">
              <w:rPr>
                <w:noProof/>
                <w:webHidden/>
              </w:rPr>
              <w:t>9</w:t>
            </w:r>
            <w:r w:rsidR="0044593F">
              <w:rPr>
                <w:noProof/>
                <w:webHidden/>
              </w:rPr>
              <w:fldChar w:fldCharType="end"/>
            </w:r>
          </w:hyperlink>
        </w:p>
        <w:p w14:paraId="41763B6A" w14:textId="483BFD1D" w:rsidR="0044593F" w:rsidRDefault="002A3EEC">
          <w:pPr>
            <w:pStyle w:val="TOC2"/>
            <w:tabs>
              <w:tab w:val="right" w:leader="dot" w:pos="9350"/>
            </w:tabs>
            <w:rPr>
              <w:noProof/>
            </w:rPr>
          </w:pPr>
          <w:hyperlink w:anchor="_Toc518632105" w:history="1">
            <w:r w:rsidR="0044593F" w:rsidRPr="00AA40D3">
              <w:rPr>
                <w:rStyle w:val="Hyperlink"/>
                <w:noProof/>
              </w:rPr>
              <w:t>SUBSIDY REVENUE</w:t>
            </w:r>
            <w:r w:rsidR="0044593F">
              <w:rPr>
                <w:noProof/>
                <w:webHidden/>
              </w:rPr>
              <w:tab/>
            </w:r>
            <w:r w:rsidR="0044593F">
              <w:rPr>
                <w:noProof/>
                <w:webHidden/>
              </w:rPr>
              <w:fldChar w:fldCharType="begin"/>
            </w:r>
            <w:r w:rsidR="0044593F">
              <w:rPr>
                <w:noProof/>
                <w:webHidden/>
              </w:rPr>
              <w:instrText xml:space="preserve"> PAGEREF _Toc518632105 \h </w:instrText>
            </w:r>
            <w:r w:rsidR="0044593F">
              <w:rPr>
                <w:noProof/>
                <w:webHidden/>
              </w:rPr>
            </w:r>
            <w:r w:rsidR="0044593F">
              <w:rPr>
                <w:noProof/>
                <w:webHidden/>
              </w:rPr>
              <w:fldChar w:fldCharType="separate"/>
            </w:r>
            <w:r w:rsidR="0044593F">
              <w:rPr>
                <w:noProof/>
                <w:webHidden/>
              </w:rPr>
              <w:t>11</w:t>
            </w:r>
            <w:r w:rsidR="0044593F">
              <w:rPr>
                <w:noProof/>
                <w:webHidden/>
              </w:rPr>
              <w:fldChar w:fldCharType="end"/>
            </w:r>
          </w:hyperlink>
        </w:p>
        <w:p w14:paraId="6FD22EF1" w14:textId="012AA24E" w:rsidR="0044593F" w:rsidRDefault="002A3EEC">
          <w:pPr>
            <w:pStyle w:val="TOC2"/>
            <w:tabs>
              <w:tab w:val="right" w:leader="dot" w:pos="9350"/>
            </w:tabs>
            <w:rPr>
              <w:noProof/>
            </w:rPr>
          </w:pPr>
          <w:hyperlink w:anchor="_Toc518632106" w:history="1">
            <w:r w:rsidR="0044593F" w:rsidRPr="00AA40D3">
              <w:rPr>
                <w:rStyle w:val="Hyperlink"/>
                <w:noProof/>
              </w:rPr>
              <w:t>Accumulated Surplus (Deficit)</w:t>
            </w:r>
            <w:r w:rsidR="0044593F">
              <w:rPr>
                <w:noProof/>
                <w:webHidden/>
              </w:rPr>
              <w:tab/>
            </w:r>
            <w:r w:rsidR="0044593F">
              <w:rPr>
                <w:noProof/>
                <w:webHidden/>
              </w:rPr>
              <w:fldChar w:fldCharType="begin"/>
            </w:r>
            <w:r w:rsidR="0044593F">
              <w:rPr>
                <w:noProof/>
                <w:webHidden/>
              </w:rPr>
              <w:instrText xml:space="preserve"> PAGEREF _Toc518632106 \h </w:instrText>
            </w:r>
            <w:r w:rsidR="0044593F">
              <w:rPr>
                <w:noProof/>
                <w:webHidden/>
              </w:rPr>
            </w:r>
            <w:r w:rsidR="0044593F">
              <w:rPr>
                <w:noProof/>
                <w:webHidden/>
              </w:rPr>
              <w:fldChar w:fldCharType="separate"/>
            </w:r>
            <w:r w:rsidR="0044593F">
              <w:rPr>
                <w:noProof/>
                <w:webHidden/>
              </w:rPr>
              <w:t>12</w:t>
            </w:r>
            <w:r w:rsidR="0044593F">
              <w:rPr>
                <w:noProof/>
                <w:webHidden/>
              </w:rPr>
              <w:fldChar w:fldCharType="end"/>
            </w:r>
          </w:hyperlink>
        </w:p>
        <w:p w14:paraId="6D5FC0CB" w14:textId="5169509C" w:rsidR="0044593F" w:rsidRDefault="002A3EEC">
          <w:pPr>
            <w:pStyle w:val="TOC1"/>
            <w:tabs>
              <w:tab w:val="right" w:leader="dot" w:pos="9350"/>
            </w:tabs>
            <w:rPr>
              <w:noProof/>
            </w:rPr>
          </w:pPr>
          <w:hyperlink w:anchor="_Toc518632107" w:history="1">
            <w:r w:rsidR="0044593F" w:rsidRPr="00AA40D3">
              <w:rPr>
                <w:rStyle w:val="Hyperlink"/>
                <w:noProof/>
              </w:rPr>
              <w:t>Existing control panel options</w:t>
            </w:r>
            <w:r w:rsidR="0044593F">
              <w:rPr>
                <w:noProof/>
                <w:webHidden/>
              </w:rPr>
              <w:tab/>
            </w:r>
            <w:r w:rsidR="0044593F">
              <w:rPr>
                <w:noProof/>
                <w:webHidden/>
              </w:rPr>
              <w:fldChar w:fldCharType="begin"/>
            </w:r>
            <w:r w:rsidR="0044593F">
              <w:rPr>
                <w:noProof/>
                <w:webHidden/>
              </w:rPr>
              <w:instrText xml:space="preserve"> PAGEREF _Toc518632107 \h </w:instrText>
            </w:r>
            <w:r w:rsidR="0044593F">
              <w:rPr>
                <w:noProof/>
                <w:webHidden/>
              </w:rPr>
            </w:r>
            <w:r w:rsidR="0044593F">
              <w:rPr>
                <w:noProof/>
                <w:webHidden/>
              </w:rPr>
              <w:fldChar w:fldCharType="separate"/>
            </w:r>
            <w:r w:rsidR="0044593F">
              <w:rPr>
                <w:noProof/>
                <w:webHidden/>
              </w:rPr>
              <w:t>12</w:t>
            </w:r>
            <w:r w:rsidR="0044593F">
              <w:rPr>
                <w:noProof/>
                <w:webHidden/>
              </w:rPr>
              <w:fldChar w:fldCharType="end"/>
            </w:r>
          </w:hyperlink>
        </w:p>
        <w:p w14:paraId="0D7425A8" w14:textId="7566E8D9" w:rsidR="0044593F" w:rsidRDefault="002A3EEC">
          <w:pPr>
            <w:pStyle w:val="TOC1"/>
            <w:tabs>
              <w:tab w:val="right" w:leader="dot" w:pos="9350"/>
            </w:tabs>
            <w:rPr>
              <w:noProof/>
            </w:rPr>
          </w:pPr>
          <w:hyperlink w:anchor="_Toc518632108" w:history="1">
            <w:r w:rsidR="0044593F" w:rsidRPr="00AA40D3">
              <w:rPr>
                <w:rStyle w:val="Hyperlink"/>
                <w:noProof/>
              </w:rPr>
              <w:t>Logic for variability rating</w:t>
            </w:r>
            <w:r w:rsidR="0044593F">
              <w:rPr>
                <w:noProof/>
                <w:webHidden/>
              </w:rPr>
              <w:tab/>
            </w:r>
            <w:r w:rsidR="0044593F">
              <w:rPr>
                <w:noProof/>
                <w:webHidden/>
              </w:rPr>
              <w:fldChar w:fldCharType="begin"/>
            </w:r>
            <w:r w:rsidR="0044593F">
              <w:rPr>
                <w:noProof/>
                <w:webHidden/>
              </w:rPr>
              <w:instrText xml:space="preserve"> PAGEREF _Toc518632108 \h </w:instrText>
            </w:r>
            <w:r w:rsidR="0044593F">
              <w:rPr>
                <w:noProof/>
                <w:webHidden/>
              </w:rPr>
            </w:r>
            <w:r w:rsidR="0044593F">
              <w:rPr>
                <w:noProof/>
                <w:webHidden/>
              </w:rPr>
              <w:fldChar w:fldCharType="separate"/>
            </w:r>
            <w:r w:rsidR="0044593F">
              <w:rPr>
                <w:noProof/>
                <w:webHidden/>
              </w:rPr>
              <w:t>13</w:t>
            </w:r>
            <w:r w:rsidR="0044593F">
              <w:rPr>
                <w:noProof/>
                <w:webHidden/>
              </w:rPr>
              <w:fldChar w:fldCharType="end"/>
            </w:r>
          </w:hyperlink>
        </w:p>
        <w:p w14:paraId="3BD565E3" w14:textId="0EB26CAB" w:rsidR="0044593F" w:rsidRDefault="002A3EEC">
          <w:pPr>
            <w:pStyle w:val="TOC1"/>
            <w:tabs>
              <w:tab w:val="right" w:leader="dot" w:pos="9350"/>
            </w:tabs>
            <w:rPr>
              <w:noProof/>
            </w:rPr>
          </w:pPr>
          <w:hyperlink w:anchor="_Toc518632109" w:history="1">
            <w:r w:rsidR="0044593F" w:rsidRPr="00AA40D3">
              <w:rPr>
                <w:rStyle w:val="Hyperlink"/>
                <w:noProof/>
              </w:rPr>
              <w:t>Question from us</w:t>
            </w:r>
            <w:r w:rsidR="0044593F">
              <w:rPr>
                <w:noProof/>
                <w:webHidden/>
              </w:rPr>
              <w:tab/>
            </w:r>
            <w:r w:rsidR="0044593F">
              <w:rPr>
                <w:noProof/>
                <w:webHidden/>
              </w:rPr>
              <w:fldChar w:fldCharType="begin"/>
            </w:r>
            <w:r w:rsidR="0044593F">
              <w:rPr>
                <w:noProof/>
                <w:webHidden/>
              </w:rPr>
              <w:instrText xml:space="preserve"> PAGEREF _Toc518632109 \h </w:instrText>
            </w:r>
            <w:r w:rsidR="0044593F">
              <w:rPr>
                <w:noProof/>
                <w:webHidden/>
              </w:rPr>
            </w:r>
            <w:r w:rsidR="0044593F">
              <w:rPr>
                <w:noProof/>
                <w:webHidden/>
              </w:rPr>
              <w:fldChar w:fldCharType="separate"/>
            </w:r>
            <w:r w:rsidR="0044593F">
              <w:rPr>
                <w:noProof/>
                <w:webHidden/>
              </w:rPr>
              <w:t>14</w:t>
            </w:r>
            <w:r w:rsidR="0044593F">
              <w:rPr>
                <w:noProof/>
                <w:webHidden/>
              </w:rPr>
              <w:fldChar w:fldCharType="end"/>
            </w:r>
          </w:hyperlink>
        </w:p>
        <w:p w14:paraId="6EB0D074" w14:textId="387D38B3" w:rsidR="008A69D8" w:rsidRDefault="008A69D8">
          <w:r>
            <w:rPr>
              <w:b/>
              <w:bCs/>
              <w:noProof/>
            </w:rPr>
            <w:fldChar w:fldCharType="end"/>
          </w:r>
        </w:p>
      </w:sdtContent>
    </w:sdt>
    <w:p w14:paraId="783B0855" w14:textId="4B11598C" w:rsidR="008A69D8" w:rsidRDefault="008A69D8" w:rsidP="0063028C">
      <w:pPr>
        <w:jc w:val="center"/>
        <w:rPr>
          <w:b/>
          <w:sz w:val="36"/>
          <w:szCs w:val="36"/>
        </w:rPr>
      </w:pPr>
    </w:p>
    <w:p w14:paraId="73A520EE" w14:textId="20ED38D5" w:rsidR="008A69D8" w:rsidRDefault="008A69D8" w:rsidP="0063028C">
      <w:pPr>
        <w:jc w:val="center"/>
        <w:rPr>
          <w:b/>
          <w:sz w:val="36"/>
          <w:szCs w:val="36"/>
        </w:rPr>
      </w:pPr>
    </w:p>
    <w:p w14:paraId="47AA0C49" w14:textId="6F1CBFDE" w:rsidR="008A69D8" w:rsidRDefault="008A69D8" w:rsidP="0063028C">
      <w:pPr>
        <w:jc w:val="center"/>
        <w:rPr>
          <w:b/>
          <w:sz w:val="36"/>
          <w:szCs w:val="36"/>
        </w:rPr>
      </w:pPr>
    </w:p>
    <w:p w14:paraId="3CF99006" w14:textId="78589C44" w:rsidR="008A69D8" w:rsidRDefault="008A69D8" w:rsidP="0063028C">
      <w:pPr>
        <w:jc w:val="center"/>
        <w:rPr>
          <w:b/>
          <w:sz w:val="36"/>
          <w:szCs w:val="36"/>
        </w:rPr>
      </w:pPr>
    </w:p>
    <w:p w14:paraId="7A6FD689" w14:textId="5662DE8C" w:rsidR="008A69D8" w:rsidRDefault="008A69D8" w:rsidP="0063028C">
      <w:pPr>
        <w:jc w:val="center"/>
        <w:rPr>
          <w:b/>
          <w:sz w:val="36"/>
          <w:szCs w:val="36"/>
        </w:rPr>
      </w:pPr>
    </w:p>
    <w:p w14:paraId="2A00880A" w14:textId="58A43D43" w:rsidR="008A69D8" w:rsidRDefault="008A69D8" w:rsidP="0063028C">
      <w:pPr>
        <w:jc w:val="center"/>
        <w:rPr>
          <w:b/>
          <w:sz w:val="36"/>
          <w:szCs w:val="36"/>
        </w:rPr>
      </w:pPr>
    </w:p>
    <w:p w14:paraId="2FCF1F63" w14:textId="2DDE8EC6" w:rsidR="008A69D8" w:rsidRDefault="008A69D8" w:rsidP="0063028C">
      <w:pPr>
        <w:jc w:val="center"/>
        <w:rPr>
          <w:b/>
          <w:sz w:val="36"/>
          <w:szCs w:val="36"/>
        </w:rPr>
      </w:pPr>
    </w:p>
    <w:p w14:paraId="4E1801EB" w14:textId="5FDE987E" w:rsidR="008A69D8" w:rsidRDefault="008A69D8" w:rsidP="0063028C">
      <w:pPr>
        <w:jc w:val="center"/>
        <w:rPr>
          <w:b/>
          <w:sz w:val="36"/>
          <w:szCs w:val="36"/>
        </w:rPr>
      </w:pPr>
    </w:p>
    <w:p w14:paraId="798CFF39" w14:textId="77777777" w:rsidR="008A69D8" w:rsidRPr="0063028C" w:rsidRDefault="008A69D8" w:rsidP="0063028C">
      <w:pPr>
        <w:jc w:val="center"/>
        <w:rPr>
          <w:b/>
          <w:sz w:val="36"/>
          <w:szCs w:val="36"/>
        </w:rPr>
      </w:pPr>
    </w:p>
    <w:p w14:paraId="656BCCA1" w14:textId="66AD6032" w:rsidR="000515CB" w:rsidRDefault="000515CB" w:rsidP="00AE5355">
      <w:pPr>
        <w:pStyle w:val="Heading1"/>
      </w:pPr>
      <w:bookmarkStart w:id="0" w:name="_Toc518632097"/>
      <w:r>
        <w:lastRenderedPageBreak/>
        <w:t>Data Source</w:t>
      </w:r>
      <w:bookmarkEnd w:id="0"/>
    </w:p>
    <w:p w14:paraId="73963C8A" w14:textId="250D9E2D" w:rsidR="000515CB" w:rsidRDefault="000515CB" w:rsidP="000515CB">
      <w:pPr>
        <w:pStyle w:val="ListParagraph"/>
        <w:numPr>
          <w:ilvl w:val="0"/>
          <w:numId w:val="6"/>
        </w:numPr>
      </w:pPr>
      <w:r>
        <w:t>“</w:t>
      </w:r>
      <w:proofErr w:type="spellStart"/>
      <w:r>
        <w:t>IPT_DataX</w:t>
      </w:r>
      <w:proofErr w:type="spellEnd"/>
      <w:r>
        <w:t>” tab</w:t>
      </w:r>
      <w:r w:rsidR="009A02B7">
        <w:t>: Main data source for EOA</w:t>
      </w:r>
    </w:p>
    <w:p w14:paraId="659D643B" w14:textId="712DAF35" w:rsidR="000515CB" w:rsidRPr="000515CB" w:rsidRDefault="004B1E02" w:rsidP="000515CB">
      <w:pPr>
        <w:pStyle w:val="ListParagraph"/>
        <w:numPr>
          <w:ilvl w:val="0"/>
          <w:numId w:val="6"/>
        </w:numPr>
      </w:pPr>
      <w:r>
        <w:t xml:space="preserve"> </w:t>
      </w:r>
      <w:r w:rsidR="000515CB">
        <w:t>“CRT_DX_OTT” tab</w:t>
      </w:r>
      <w:r w:rsidR="009A02B7">
        <w:t xml:space="preserve">: Data source for Asset Planner calculation </w:t>
      </w:r>
    </w:p>
    <w:p w14:paraId="621B0D10" w14:textId="48EDDD5F" w:rsidR="00AE5355" w:rsidRDefault="005924F9" w:rsidP="00AE5355">
      <w:pPr>
        <w:pStyle w:val="Heading1"/>
      </w:pPr>
      <w:bookmarkStart w:id="1" w:name="_Toc518632098"/>
      <w:r>
        <w:t xml:space="preserve">Main </w:t>
      </w:r>
      <w:r w:rsidR="00AE5355">
        <w:t>Components of the “Schedule” tab</w:t>
      </w:r>
      <w:bookmarkEnd w:id="1"/>
    </w:p>
    <w:p w14:paraId="42D112A7" w14:textId="77777777" w:rsidR="00AE5355" w:rsidRDefault="00AE5355" w:rsidP="00AE5355">
      <w:r>
        <w:t>We can divide the schedule tab into following components:</w:t>
      </w:r>
    </w:p>
    <w:p w14:paraId="39367864" w14:textId="18D18FE3" w:rsidR="00B31686" w:rsidRDefault="00AE5355" w:rsidP="00C66565">
      <w:pPr>
        <w:pStyle w:val="ListParagraph"/>
        <w:numPr>
          <w:ilvl w:val="0"/>
          <w:numId w:val="3"/>
        </w:numPr>
      </w:pPr>
      <w:r w:rsidRPr="00472F64">
        <w:rPr>
          <w:b/>
        </w:rPr>
        <w:t>Advanced setting control</w:t>
      </w:r>
      <w:r>
        <w:t xml:space="preserve">: User can change the setting here which can link to the calculation of the line items in the main table. </w:t>
      </w:r>
      <w:r w:rsidR="00AA0B42">
        <w:t xml:space="preserve"> </w:t>
      </w:r>
    </w:p>
    <w:p w14:paraId="3A89BF19" w14:textId="77777777" w:rsidR="0044593F" w:rsidRPr="00684160" w:rsidRDefault="0044593F" w:rsidP="0044593F">
      <w:pPr>
        <w:pStyle w:val="ListParagraph"/>
      </w:pPr>
    </w:p>
    <w:p w14:paraId="1DBEAA53" w14:textId="5174EE6F" w:rsidR="00684160" w:rsidRDefault="00684160" w:rsidP="00684160">
      <w:pPr>
        <w:pStyle w:val="ListParagraph"/>
      </w:pPr>
      <w:r>
        <w:rPr>
          <w:noProof/>
          <w:lang w:val="en-US"/>
        </w:rPr>
        <w:drawing>
          <wp:inline distT="0" distB="0" distL="0" distR="0" wp14:anchorId="28330F89" wp14:editId="233ABDC8">
            <wp:extent cx="594360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7360"/>
                    </a:xfrm>
                    <a:prstGeom prst="rect">
                      <a:avLst/>
                    </a:prstGeom>
                  </pic:spPr>
                </pic:pic>
              </a:graphicData>
            </a:graphic>
          </wp:inline>
        </w:drawing>
      </w:r>
    </w:p>
    <w:p w14:paraId="0DEBF5B0" w14:textId="77777777" w:rsidR="0044593F" w:rsidRDefault="0044593F" w:rsidP="00684160">
      <w:pPr>
        <w:pStyle w:val="ListParagraph"/>
      </w:pPr>
    </w:p>
    <w:p w14:paraId="54859B0E" w14:textId="7F84D076" w:rsidR="00AE5355" w:rsidRPr="00684160" w:rsidRDefault="00AE5355" w:rsidP="00AE5355">
      <w:pPr>
        <w:pStyle w:val="ListParagraph"/>
        <w:numPr>
          <w:ilvl w:val="0"/>
          <w:numId w:val="3"/>
        </w:numPr>
      </w:pPr>
      <w:r w:rsidRPr="00472F64">
        <w:rPr>
          <w:b/>
        </w:rPr>
        <w:t>Variability Assessment</w:t>
      </w:r>
      <w:r>
        <w:t xml:space="preserve">: This </w:t>
      </w:r>
      <w:r w:rsidR="00FB24EC">
        <w:t>area is to assess the project variability on different year (project started year, current year and EOA range), rating will be assigned after evaluating the net income(loss) and end balance for capital reserves</w:t>
      </w:r>
      <w:r w:rsidR="00AA0B42">
        <w:t xml:space="preserve"> </w:t>
      </w:r>
    </w:p>
    <w:p w14:paraId="5D9013AC" w14:textId="303D20DA" w:rsidR="00684160" w:rsidRDefault="00684160" w:rsidP="00684160">
      <w:pPr>
        <w:pStyle w:val="ListParagraph"/>
      </w:pPr>
      <w:r>
        <w:rPr>
          <w:noProof/>
          <w:lang w:val="en-US"/>
        </w:rPr>
        <w:drawing>
          <wp:inline distT="0" distB="0" distL="0" distR="0" wp14:anchorId="3D447B0E" wp14:editId="5EC3258F">
            <wp:extent cx="5943600" cy="832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2485"/>
                    </a:xfrm>
                    <a:prstGeom prst="rect">
                      <a:avLst/>
                    </a:prstGeom>
                  </pic:spPr>
                </pic:pic>
              </a:graphicData>
            </a:graphic>
          </wp:inline>
        </w:drawing>
      </w:r>
    </w:p>
    <w:p w14:paraId="342222B6" w14:textId="77777777" w:rsidR="0044593F" w:rsidRDefault="0044593F" w:rsidP="00684160">
      <w:pPr>
        <w:pStyle w:val="ListParagraph"/>
      </w:pPr>
    </w:p>
    <w:p w14:paraId="249A4539" w14:textId="553DE4A5" w:rsidR="00FB24EC" w:rsidRPr="005E2B0E" w:rsidRDefault="00FB24EC" w:rsidP="00AE5355">
      <w:pPr>
        <w:pStyle w:val="ListParagraph"/>
        <w:numPr>
          <w:ilvl w:val="0"/>
          <w:numId w:val="3"/>
        </w:numPr>
      </w:pPr>
      <w:r w:rsidRPr="00472F64">
        <w:rPr>
          <w:b/>
        </w:rPr>
        <w:t>Adjusted input</w:t>
      </w:r>
      <w:r>
        <w:t xml:space="preserve"> if applicable: This area is for users to override the current data/index if necessary. In all the formulas of the main table, the value of the line item</w:t>
      </w:r>
      <w:r w:rsidR="005924F9">
        <w:rPr>
          <w:rFonts w:hint="eastAsia"/>
        </w:rPr>
        <w:t>s</w:t>
      </w:r>
      <w:r>
        <w:t xml:space="preserve"> for the base year can be modified here. </w:t>
      </w:r>
      <w:r w:rsidR="00AA0B42">
        <w:t xml:space="preserve"> </w:t>
      </w:r>
    </w:p>
    <w:p w14:paraId="42798082" w14:textId="37CA2373" w:rsidR="005E2B0E" w:rsidRDefault="005E2B0E" w:rsidP="005E2B0E">
      <w:pPr>
        <w:pStyle w:val="ListParagraph"/>
      </w:pPr>
      <w:r>
        <w:rPr>
          <w:noProof/>
          <w:lang w:val="en-US"/>
        </w:rPr>
        <w:drawing>
          <wp:inline distT="0" distB="0" distL="0" distR="0" wp14:anchorId="7CE54FC3" wp14:editId="3F443C4D">
            <wp:extent cx="59436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60BEC592" w14:textId="77777777" w:rsidR="0044593F" w:rsidRDefault="0044593F" w:rsidP="005E2B0E">
      <w:pPr>
        <w:pStyle w:val="ListParagraph"/>
      </w:pPr>
    </w:p>
    <w:p w14:paraId="4D5E6D14" w14:textId="11AE673B" w:rsidR="00FB24EC" w:rsidRDefault="00FB24EC" w:rsidP="00AE5355">
      <w:pPr>
        <w:pStyle w:val="ListParagraph"/>
        <w:numPr>
          <w:ilvl w:val="0"/>
          <w:numId w:val="3"/>
        </w:numPr>
      </w:pPr>
      <w:r w:rsidRPr="00472F64">
        <w:rPr>
          <w:b/>
        </w:rPr>
        <w:lastRenderedPageBreak/>
        <w:t>Operating Reserve Calculations (AIR Method)/Surplus Repayment/General Subsidy</w:t>
      </w:r>
      <w:r>
        <w:t>: This table is hidden in the schedule tab</w:t>
      </w:r>
      <w:r w:rsidR="005924F9">
        <w:t xml:space="preserve"> (row 119 to row 275)</w:t>
      </w:r>
      <w:r>
        <w:t xml:space="preserve">. The main purpose is </w:t>
      </w:r>
      <w:r w:rsidR="00DE399C">
        <w:t>to calculate the “contribution from 50% surplus”</w:t>
      </w:r>
      <w:r w:rsidR="005924F9">
        <w:t xml:space="preserve"> for the capital reserve fund through all the relationship and logics within this section</w:t>
      </w:r>
      <w:r w:rsidR="00DE399C">
        <w:t>.</w:t>
      </w:r>
      <w:r w:rsidR="00AA0B42">
        <w:t xml:space="preserve"> </w:t>
      </w:r>
    </w:p>
    <w:p w14:paraId="6ABAF934" w14:textId="77777777" w:rsidR="0044593F" w:rsidRPr="005E2B0E" w:rsidRDefault="0044593F" w:rsidP="0044593F">
      <w:pPr>
        <w:pStyle w:val="ListParagraph"/>
      </w:pPr>
    </w:p>
    <w:p w14:paraId="7B115516" w14:textId="21F737A1" w:rsidR="005E2B0E" w:rsidRDefault="005E2B0E" w:rsidP="005E2B0E">
      <w:pPr>
        <w:pStyle w:val="ListParagraph"/>
      </w:pPr>
      <w:r>
        <w:rPr>
          <w:noProof/>
          <w:lang w:val="en-US"/>
        </w:rPr>
        <w:drawing>
          <wp:inline distT="0" distB="0" distL="0" distR="0" wp14:anchorId="3945A09C" wp14:editId="7868FAFA">
            <wp:extent cx="5943600" cy="1823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3720"/>
                    </a:xfrm>
                    <a:prstGeom prst="rect">
                      <a:avLst/>
                    </a:prstGeom>
                  </pic:spPr>
                </pic:pic>
              </a:graphicData>
            </a:graphic>
          </wp:inline>
        </w:drawing>
      </w:r>
    </w:p>
    <w:p w14:paraId="241DD902" w14:textId="77777777" w:rsidR="0044593F" w:rsidRDefault="0044593F" w:rsidP="005E2B0E">
      <w:pPr>
        <w:pStyle w:val="ListParagraph"/>
      </w:pPr>
    </w:p>
    <w:p w14:paraId="27E1376A" w14:textId="281ADA13" w:rsidR="00433761" w:rsidRDefault="00DE399C" w:rsidP="00433761">
      <w:pPr>
        <w:pStyle w:val="ListParagraph"/>
        <w:numPr>
          <w:ilvl w:val="0"/>
          <w:numId w:val="3"/>
        </w:numPr>
      </w:pPr>
      <w:r w:rsidRPr="00472F64">
        <w:rPr>
          <w:b/>
        </w:rPr>
        <w:t>Main table</w:t>
      </w:r>
      <w:r>
        <w:t xml:space="preserve">: This table includes Shelter Revenue, Shelter Expense, Capital Reserve Fund, Subsidy Revenue, Accumulated </w:t>
      </w:r>
      <w:proofErr w:type="gramStart"/>
      <w:r>
        <w:t>Surplus</w:t>
      </w:r>
      <w:proofErr w:type="gramEnd"/>
      <w:r>
        <w:t xml:space="preserve"> and end balance of each year. </w:t>
      </w:r>
      <w:r w:rsidR="00AA0B42">
        <w:t xml:space="preserve"> </w:t>
      </w:r>
    </w:p>
    <w:p w14:paraId="292CD528" w14:textId="77777777" w:rsidR="0044593F" w:rsidRPr="005E2B0E" w:rsidRDefault="0044593F" w:rsidP="0044593F">
      <w:pPr>
        <w:pStyle w:val="ListParagraph"/>
      </w:pPr>
    </w:p>
    <w:p w14:paraId="6910CED5" w14:textId="32D58940" w:rsidR="005E2B0E" w:rsidRDefault="005E2B0E" w:rsidP="005E2B0E">
      <w:pPr>
        <w:pStyle w:val="ListParagraph"/>
      </w:pPr>
      <w:r>
        <w:rPr>
          <w:noProof/>
          <w:lang w:val="en-US"/>
        </w:rPr>
        <w:drawing>
          <wp:inline distT="0" distB="0" distL="0" distR="0" wp14:anchorId="44FF2C33" wp14:editId="2EE3ABC5">
            <wp:extent cx="5943600" cy="172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2120"/>
                    </a:xfrm>
                    <a:prstGeom prst="rect">
                      <a:avLst/>
                    </a:prstGeom>
                  </pic:spPr>
                </pic:pic>
              </a:graphicData>
            </a:graphic>
          </wp:inline>
        </w:drawing>
      </w:r>
    </w:p>
    <w:p w14:paraId="14267627" w14:textId="158062CC" w:rsidR="00DE399C" w:rsidRDefault="006B2F19" w:rsidP="00D34291">
      <w:pPr>
        <w:pStyle w:val="Heading1"/>
      </w:pPr>
      <w:bookmarkStart w:id="2" w:name="_Toc518632099"/>
      <w:r>
        <w:t>Logic of Main Table</w:t>
      </w:r>
      <w:bookmarkEnd w:id="2"/>
    </w:p>
    <w:p w14:paraId="795AF922" w14:textId="77777777" w:rsidR="0044593F" w:rsidRPr="0044593F" w:rsidRDefault="0044593F" w:rsidP="0044593F"/>
    <w:p w14:paraId="2E2CED94" w14:textId="32148311" w:rsidR="00433761" w:rsidRDefault="00433761" w:rsidP="00433761">
      <w:pPr>
        <w:pStyle w:val="Heading2"/>
      </w:pPr>
      <w:bookmarkStart w:id="3" w:name="_Toc518632100"/>
      <w:r>
        <w:t>Slicer</w:t>
      </w:r>
      <w:bookmarkEnd w:id="3"/>
      <w:r>
        <w:t xml:space="preserve"> </w:t>
      </w:r>
    </w:p>
    <w:p w14:paraId="57F4E470" w14:textId="77777777" w:rsidR="0044593F" w:rsidRPr="0044593F" w:rsidRDefault="0044593F" w:rsidP="0044593F"/>
    <w:p w14:paraId="34FFEDD0" w14:textId="645E6DB4" w:rsidR="00AA0B42" w:rsidRPr="00AA0B42" w:rsidRDefault="00433761" w:rsidP="00433761">
      <w:pPr>
        <w:pStyle w:val="ListParagraph"/>
        <w:numPr>
          <w:ilvl w:val="0"/>
          <w:numId w:val="24"/>
        </w:numPr>
        <w:rPr>
          <w:color w:val="00B0F0"/>
        </w:rPr>
      </w:pPr>
      <w:r>
        <w:t xml:space="preserve">Project Sponsor/Project name/Project address/Program Type/Debt retire date (EOA)/Client type: These slicers will link to the filters of the pivot tables </w:t>
      </w:r>
      <w:r w:rsidR="005924F9">
        <w:t>with</w:t>
      </w:r>
      <w:r>
        <w:t xml:space="preserve"> data source “</w:t>
      </w:r>
      <w:proofErr w:type="spellStart"/>
      <w:r>
        <w:t>IPT_DataX</w:t>
      </w:r>
      <w:proofErr w:type="spellEnd"/>
      <w:r>
        <w:t>”</w:t>
      </w:r>
      <w:r w:rsidR="00AA0B42">
        <w:t xml:space="preserve">. </w:t>
      </w:r>
    </w:p>
    <w:p w14:paraId="2D17EC3C" w14:textId="64366BB4" w:rsidR="00433761" w:rsidRDefault="00AA0B42" w:rsidP="00AA0B42">
      <w:pPr>
        <w:pStyle w:val="ListParagraph"/>
        <w:rPr>
          <w:color w:val="00B0F0"/>
        </w:rPr>
      </w:pPr>
      <w:r>
        <w:rPr>
          <w:color w:val="00B0F0"/>
        </w:rPr>
        <w:t>W</w:t>
      </w:r>
      <w:r w:rsidRPr="00AA0B42">
        <w:rPr>
          <w:color w:val="00B0F0"/>
        </w:rPr>
        <w:t xml:space="preserve">e </w:t>
      </w:r>
      <w:proofErr w:type="gramStart"/>
      <w:r w:rsidRPr="00AA0B42">
        <w:rPr>
          <w:color w:val="00B0F0"/>
        </w:rPr>
        <w:t>have to</w:t>
      </w:r>
      <w:proofErr w:type="gramEnd"/>
      <w:r w:rsidRPr="00AA0B42">
        <w:rPr>
          <w:color w:val="00B0F0"/>
        </w:rPr>
        <w:t xml:space="preserve"> determine what are the slicers need to be included in the new version.</w:t>
      </w:r>
    </w:p>
    <w:p w14:paraId="16CEB4DB" w14:textId="68EC7E8B" w:rsidR="00FA2F4A" w:rsidRDefault="00FA2F4A" w:rsidP="00AA0B42">
      <w:pPr>
        <w:pStyle w:val="ListParagraph"/>
        <w:rPr>
          <w:color w:val="00B0F0"/>
        </w:rPr>
      </w:pPr>
      <w:r>
        <w:rPr>
          <w:noProof/>
          <w:lang w:val="en-US"/>
        </w:rPr>
        <w:drawing>
          <wp:inline distT="0" distB="0" distL="0" distR="0" wp14:anchorId="46A59140" wp14:editId="31F31672">
            <wp:extent cx="59436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250"/>
                    </a:xfrm>
                    <a:prstGeom prst="rect">
                      <a:avLst/>
                    </a:prstGeom>
                  </pic:spPr>
                </pic:pic>
              </a:graphicData>
            </a:graphic>
          </wp:inline>
        </w:drawing>
      </w:r>
    </w:p>
    <w:p w14:paraId="53BF7CE0" w14:textId="77777777" w:rsidR="0044593F" w:rsidRPr="00AA0B42" w:rsidRDefault="0044593F" w:rsidP="00AA0B42">
      <w:pPr>
        <w:pStyle w:val="ListParagraph"/>
        <w:rPr>
          <w:color w:val="00B0F0"/>
        </w:rPr>
      </w:pPr>
    </w:p>
    <w:p w14:paraId="1A5511F2" w14:textId="55B0DDF7" w:rsidR="00433761" w:rsidRDefault="00433761" w:rsidP="00433761">
      <w:pPr>
        <w:pStyle w:val="ListParagraph"/>
        <w:numPr>
          <w:ilvl w:val="0"/>
          <w:numId w:val="24"/>
        </w:numPr>
      </w:pPr>
      <w:r>
        <w:t>Asset Priority/Priority Score: These two slicers are only available when clients purchase the service of “Asset Planner”. They will link to pivot table</w:t>
      </w:r>
      <w:r w:rsidR="005924F9">
        <w:t>s</w:t>
      </w:r>
      <w:r>
        <w:t xml:space="preserve"> </w:t>
      </w:r>
      <w:r w:rsidR="005924F9">
        <w:t>with</w:t>
      </w:r>
      <w:r>
        <w:t xml:space="preserve"> data </w:t>
      </w:r>
      <w:proofErr w:type="gramStart"/>
      <w:r>
        <w:t>source  CRP</w:t>
      </w:r>
      <w:proofErr w:type="gramEnd"/>
      <w:r>
        <w:t xml:space="preserve">_DX_OTT”. </w:t>
      </w:r>
    </w:p>
    <w:p w14:paraId="7D4042AA" w14:textId="57260D2A" w:rsidR="00FA2F4A" w:rsidRPr="00433761" w:rsidRDefault="00FA2F4A" w:rsidP="00FA2F4A">
      <w:pPr>
        <w:pStyle w:val="ListParagraph"/>
      </w:pPr>
      <w:r>
        <w:rPr>
          <w:noProof/>
          <w:lang w:val="en-US"/>
        </w:rPr>
        <w:lastRenderedPageBreak/>
        <w:drawing>
          <wp:inline distT="0" distB="0" distL="0" distR="0" wp14:anchorId="69D3F9D1" wp14:editId="03106162">
            <wp:extent cx="3021330" cy="1101063"/>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5039" cy="1116992"/>
                    </a:xfrm>
                    <a:prstGeom prst="rect">
                      <a:avLst/>
                    </a:prstGeom>
                  </pic:spPr>
                </pic:pic>
              </a:graphicData>
            </a:graphic>
          </wp:inline>
        </w:drawing>
      </w:r>
    </w:p>
    <w:p w14:paraId="228F806D" w14:textId="77777777" w:rsidR="00C51AE4" w:rsidRDefault="00C51AE4" w:rsidP="00C51AE4">
      <w:pPr>
        <w:pStyle w:val="Heading2"/>
      </w:pPr>
      <w:bookmarkStart w:id="4" w:name="_Toc518632101"/>
      <w:r>
        <w:t>EOA Year Color</w:t>
      </w:r>
      <w:bookmarkEnd w:id="4"/>
    </w:p>
    <w:p w14:paraId="763E894C" w14:textId="66DAFC23" w:rsidR="00C51AE4" w:rsidRDefault="00C51AE4" w:rsidP="00AA0B42">
      <w:r>
        <w:t xml:space="preserve">In the table, the color will be assigned to the year column based on the following </w:t>
      </w:r>
      <w:r w:rsidR="004A35BD">
        <w:t>order</w:t>
      </w:r>
      <w:r>
        <w:t>:</w:t>
      </w:r>
      <w:r w:rsidR="00AA0B42">
        <w:t xml:space="preserve"> </w:t>
      </w:r>
    </w:p>
    <w:p w14:paraId="5CEF90B6" w14:textId="4782165A" w:rsidR="00160EA5" w:rsidRDefault="004A35BD" w:rsidP="000431C2">
      <w:pPr>
        <w:pStyle w:val="ListParagraph"/>
        <w:numPr>
          <w:ilvl w:val="0"/>
          <w:numId w:val="5"/>
        </w:numPr>
      </w:pPr>
      <w:r>
        <w:t xml:space="preserve">If the year is falling </w:t>
      </w:r>
      <w:r w:rsidR="00AA0B42">
        <w:t>within</w:t>
      </w:r>
      <w:r>
        <w:t xml:space="preserve"> the EOA range</w:t>
      </w:r>
      <w:r w:rsidR="00D53BC1">
        <w:t xml:space="preserve"> (Red)</w:t>
      </w:r>
    </w:p>
    <w:p w14:paraId="4721718A" w14:textId="435E358C" w:rsidR="004A35BD" w:rsidRDefault="004A35BD" w:rsidP="00C51AE4">
      <w:pPr>
        <w:pStyle w:val="ListParagraph"/>
        <w:numPr>
          <w:ilvl w:val="0"/>
          <w:numId w:val="5"/>
        </w:numPr>
      </w:pPr>
      <w:r>
        <w:t>If the year is current year</w:t>
      </w:r>
      <w:r w:rsidR="00D53BC1">
        <w:t xml:space="preserve"> (Yellow)</w:t>
      </w:r>
    </w:p>
    <w:p w14:paraId="690D9173" w14:textId="64A0688A" w:rsidR="004A35BD" w:rsidRDefault="004A35BD" w:rsidP="00C51AE4">
      <w:pPr>
        <w:pStyle w:val="ListParagraph"/>
        <w:numPr>
          <w:ilvl w:val="0"/>
          <w:numId w:val="5"/>
        </w:numPr>
      </w:pPr>
      <w:r>
        <w:t>If the year is when project started</w:t>
      </w:r>
      <w:r w:rsidR="00D53BC1">
        <w:t xml:space="preserve"> (Green)</w:t>
      </w:r>
    </w:p>
    <w:p w14:paraId="78D75AE9" w14:textId="509E96D2" w:rsidR="000431C2" w:rsidRDefault="000431C2" w:rsidP="000431C2">
      <w:pPr>
        <w:pStyle w:val="ListParagraph"/>
      </w:pPr>
      <w:r>
        <w:rPr>
          <w:noProof/>
          <w:lang w:val="en-US"/>
        </w:rPr>
        <w:drawing>
          <wp:inline distT="0" distB="0" distL="0" distR="0" wp14:anchorId="6F0CE2C8" wp14:editId="5C8D78B1">
            <wp:extent cx="4343400" cy="2282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282190"/>
                    </a:xfrm>
                    <a:prstGeom prst="rect">
                      <a:avLst/>
                    </a:prstGeom>
                  </pic:spPr>
                </pic:pic>
              </a:graphicData>
            </a:graphic>
          </wp:inline>
        </w:drawing>
      </w:r>
    </w:p>
    <w:p w14:paraId="1C53E885" w14:textId="77777777" w:rsidR="00D34291" w:rsidRDefault="00D34291" w:rsidP="00D34291">
      <w:pPr>
        <w:pStyle w:val="Heading2"/>
      </w:pPr>
      <w:bookmarkStart w:id="5" w:name="_Toc518632102"/>
      <w:r>
        <w:t>Shelter Occupancy Revenue</w:t>
      </w:r>
      <w:bookmarkEnd w:id="5"/>
    </w:p>
    <w:p w14:paraId="5A0BF2EF" w14:textId="77777777" w:rsidR="00D34291" w:rsidRDefault="00D34291" w:rsidP="00D34291">
      <w:pPr>
        <w:pStyle w:val="ListParagraph"/>
        <w:numPr>
          <w:ilvl w:val="0"/>
          <w:numId w:val="4"/>
        </w:numPr>
      </w:pPr>
      <w:r>
        <w:t xml:space="preserve">Rent-Geared-to-Income (RGI) Rent: the amount for base year is the sum of the column “Current RGI </w:t>
      </w:r>
      <w:r w:rsidR="00C51AE4">
        <w:t>rent revenue”. For the rest of year</w:t>
      </w:r>
      <w:r w:rsidR="00CD39FC">
        <w:t>, it is calculated based on the following formula:</w:t>
      </w:r>
    </w:p>
    <w:p w14:paraId="177392A5" w14:textId="77777777" w:rsidR="00CD39FC" w:rsidRDefault="00CD39FC" w:rsidP="00CD39FC">
      <w:pPr>
        <w:pStyle w:val="ListParagraph"/>
      </w:pPr>
    </w:p>
    <w:p w14:paraId="47CD72EC" w14:textId="77777777" w:rsidR="00CD39FC" w:rsidRPr="00AA0B42" w:rsidRDefault="00CD39FC" w:rsidP="00CD39FC">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2FBE9D4E" w14:textId="77777777" w:rsidR="00CD39FC" w:rsidRDefault="00CD39FC" w:rsidP="00CD39FC">
      <w:pPr>
        <w:pStyle w:val="ListParagraph"/>
      </w:pPr>
    </w:p>
    <w:p w14:paraId="3EA57D72" w14:textId="77777777" w:rsidR="00CD39FC" w:rsidRDefault="00CD39FC" w:rsidP="00D34291">
      <w:pPr>
        <w:pStyle w:val="ListParagraph"/>
        <w:numPr>
          <w:ilvl w:val="0"/>
          <w:numId w:val="4"/>
        </w:numPr>
      </w:pPr>
      <w:r>
        <w:t>Market Rent: the amount for base year is the sum of the column “market rent revenue”. For the rest of year, it is calculated based on the following formula:</w:t>
      </w:r>
    </w:p>
    <w:p w14:paraId="6DCA5C86" w14:textId="77777777" w:rsidR="00CD39FC" w:rsidRDefault="00CD39FC" w:rsidP="00CD39FC">
      <w:pPr>
        <w:pStyle w:val="ListParagraph"/>
      </w:pPr>
    </w:p>
    <w:p w14:paraId="074C5FEB" w14:textId="77777777" w:rsidR="00CD39FC" w:rsidRPr="00AA0B42" w:rsidRDefault="00CD39FC" w:rsidP="00CD39FC">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180868C1" w14:textId="77777777" w:rsidR="00186092" w:rsidRPr="00AA0B42" w:rsidRDefault="00186092" w:rsidP="00186092">
      <w:pPr>
        <w:pStyle w:val="ListParagraph"/>
        <w:numPr>
          <w:ilvl w:val="0"/>
          <w:numId w:val="4"/>
        </w:numPr>
        <w:rPr>
          <w:b/>
          <w:i/>
        </w:rPr>
      </w:pPr>
      <w:r w:rsidRPr="00AA0B42">
        <w:rPr>
          <w:b/>
          <w:i/>
        </w:rPr>
        <w:t>Gross occupancy r</w:t>
      </w:r>
      <w:r w:rsidR="000E2670" w:rsidRPr="00AA0B42">
        <w:rPr>
          <w:b/>
          <w:i/>
        </w:rPr>
        <w:t>evenue</w:t>
      </w:r>
      <w:r w:rsidRPr="00AA0B42">
        <w:rPr>
          <w:b/>
          <w:i/>
        </w:rPr>
        <w:t xml:space="preserve"> = RGI Rent + Market Rent</w:t>
      </w:r>
    </w:p>
    <w:p w14:paraId="15A7784D" w14:textId="77777777" w:rsidR="00E208E9" w:rsidRDefault="00E208E9" w:rsidP="00186092">
      <w:pPr>
        <w:pStyle w:val="ListParagraph"/>
        <w:numPr>
          <w:ilvl w:val="0"/>
          <w:numId w:val="4"/>
        </w:numPr>
      </w:pPr>
      <w:r>
        <w:t xml:space="preserve">Less Vacancy loss on market units: The amount for base year is the sum of the column “Vacancy loss on market </w:t>
      </w:r>
      <w:proofErr w:type="gramStart"/>
      <w:r>
        <w:t>units(</w:t>
      </w:r>
      <w:proofErr w:type="gramEnd"/>
      <w:r>
        <w:t>if applicable) ”</w:t>
      </w:r>
      <w:r w:rsidR="006A02E7">
        <w:t>. For the rest of year, it is calculated based on the following formula:</w:t>
      </w:r>
    </w:p>
    <w:p w14:paraId="54BEE0B0" w14:textId="77777777" w:rsidR="006A02E7" w:rsidRDefault="006A02E7" w:rsidP="006A02E7">
      <w:pPr>
        <w:pStyle w:val="ListParagraph"/>
      </w:pPr>
    </w:p>
    <w:p w14:paraId="39BE9B0D" w14:textId="77777777" w:rsidR="006A02E7" w:rsidRPr="00AA0B42" w:rsidRDefault="006A02E7" w:rsidP="006A02E7">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604F16C4" w14:textId="77777777" w:rsidR="006A02E7" w:rsidRDefault="006A02E7" w:rsidP="006A02E7">
      <w:pPr>
        <w:pStyle w:val="ListParagraph"/>
      </w:pPr>
    </w:p>
    <w:p w14:paraId="55293D43" w14:textId="77777777" w:rsidR="006A02E7" w:rsidRPr="00AA0B42" w:rsidRDefault="000E2670" w:rsidP="006A02E7">
      <w:pPr>
        <w:pStyle w:val="ListParagraph"/>
        <w:numPr>
          <w:ilvl w:val="0"/>
          <w:numId w:val="4"/>
        </w:numPr>
        <w:rPr>
          <w:b/>
          <w:i/>
        </w:rPr>
      </w:pPr>
      <w:r w:rsidRPr="00AA0B42">
        <w:rPr>
          <w:b/>
          <w:i/>
        </w:rPr>
        <w:t>Subtotal=Gross occupancy revenue – vacancy loss on market units</w:t>
      </w:r>
    </w:p>
    <w:p w14:paraId="2A2007EF" w14:textId="5691198E" w:rsidR="00F73EA1" w:rsidRDefault="00BF6C02" w:rsidP="00F73EA1">
      <w:pPr>
        <w:pStyle w:val="ListParagraph"/>
        <w:numPr>
          <w:ilvl w:val="0"/>
          <w:numId w:val="4"/>
        </w:numPr>
      </w:pPr>
      <w:r>
        <w:t>Investment income (includes interest)</w:t>
      </w:r>
      <w:r w:rsidR="00F73EA1">
        <w:t>/Non-Rental Revenue</w:t>
      </w:r>
      <w:r>
        <w:t xml:space="preserve">: The amount of base year is the sum of the column </w:t>
      </w:r>
      <w:r w:rsidR="00AA0B42">
        <w:t>*</w:t>
      </w:r>
      <w:r>
        <w:t>“Investment interest income”.</w:t>
      </w:r>
      <w:r w:rsidR="00F73EA1" w:rsidRPr="00F73EA1">
        <w:t xml:space="preserve"> </w:t>
      </w:r>
      <w:r w:rsidR="00F73EA1">
        <w:t>For the rest of year, it is calculated based on the following formula:</w:t>
      </w:r>
    </w:p>
    <w:p w14:paraId="29DD3870" w14:textId="77777777" w:rsidR="00F73EA1" w:rsidRDefault="00F73EA1" w:rsidP="00F73EA1">
      <w:pPr>
        <w:pStyle w:val="ListParagraph"/>
      </w:pPr>
    </w:p>
    <w:p w14:paraId="26CAE7A5" w14:textId="77777777" w:rsidR="00F73EA1" w:rsidRPr="00AA0B42" w:rsidRDefault="00F73EA1" w:rsidP="0030234E">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51257F4E" w14:textId="77777777" w:rsidR="0030234E" w:rsidRDefault="0030234E" w:rsidP="0030234E">
      <w:pPr>
        <w:pStyle w:val="ListParagraph"/>
      </w:pPr>
    </w:p>
    <w:p w14:paraId="2691AF6D" w14:textId="77777777" w:rsidR="004179C6" w:rsidRDefault="002B0DA6" w:rsidP="004179C6">
      <w:pPr>
        <w:pStyle w:val="ListParagraph"/>
        <w:numPr>
          <w:ilvl w:val="0"/>
          <w:numId w:val="4"/>
        </w:numPr>
      </w:pPr>
      <w:r>
        <w:t xml:space="preserve">Subsidy Revenue (less mortgage at EOA): </w:t>
      </w:r>
      <w:r w:rsidR="00BD1F13">
        <w:t xml:space="preserve">If </w:t>
      </w:r>
      <w:r w:rsidR="00451584">
        <w:t xml:space="preserve">user select “yes” for “Use Subsidy breakdown” in control panel, then subsidy revenue equals to sum of federal subsidy and municipal subsidy. Else, if user select “yes” for “Subsidy less mortgage at EOA”, </w:t>
      </w:r>
      <w:r w:rsidR="004179C6">
        <w:t>then we will take the sum of the column “Current Subsidy Revenue” from raw data source tab “</w:t>
      </w:r>
      <w:proofErr w:type="spellStart"/>
      <w:r w:rsidR="004179C6">
        <w:t>IPT_DataX</w:t>
      </w:r>
      <w:proofErr w:type="spellEnd"/>
      <w:r w:rsidR="004179C6">
        <w:t>”.</w:t>
      </w:r>
      <w:r w:rsidR="004179C6" w:rsidRPr="004179C6">
        <w:t xml:space="preserve"> </w:t>
      </w:r>
      <w:r w:rsidR="004179C6">
        <w:t>For the rest of year, it is calculated based on the following formula:</w:t>
      </w:r>
    </w:p>
    <w:p w14:paraId="3E03A524" w14:textId="77777777" w:rsidR="004179C6" w:rsidRDefault="004179C6" w:rsidP="004179C6">
      <w:pPr>
        <w:pStyle w:val="ListParagraph"/>
      </w:pPr>
    </w:p>
    <w:p w14:paraId="2CE326ED" w14:textId="77777777" w:rsidR="004179C6" w:rsidRPr="00AA0B42" w:rsidRDefault="004179C6" w:rsidP="004179C6">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21592B90" w14:textId="77777777" w:rsidR="004179C6" w:rsidRDefault="004179C6" w:rsidP="004179C6">
      <w:pPr>
        <w:pStyle w:val="ListParagraph"/>
      </w:pPr>
    </w:p>
    <w:p w14:paraId="74E90881" w14:textId="77777777" w:rsidR="00BF6C02" w:rsidRDefault="00C25205" w:rsidP="006A02E7">
      <w:pPr>
        <w:pStyle w:val="ListParagraph"/>
        <w:numPr>
          <w:ilvl w:val="0"/>
          <w:numId w:val="4"/>
        </w:numPr>
      </w:pPr>
      <w:r>
        <w:t xml:space="preserve">Other (indexed 1): The amount of base year is the sum of the column “Current other revenue”. </w:t>
      </w:r>
    </w:p>
    <w:p w14:paraId="2AF82ADC" w14:textId="77777777" w:rsidR="00C25205" w:rsidRDefault="00C25205" w:rsidP="00C25205">
      <w:pPr>
        <w:pStyle w:val="ListParagraph"/>
      </w:pPr>
      <w:r>
        <w:t>For the rest of year, it is calculated based on the following formula:</w:t>
      </w:r>
    </w:p>
    <w:p w14:paraId="0D910647" w14:textId="77777777" w:rsidR="00C25205" w:rsidRDefault="00C25205" w:rsidP="00C25205">
      <w:pPr>
        <w:pStyle w:val="ListParagraph"/>
      </w:pPr>
    </w:p>
    <w:p w14:paraId="0FAA88CB" w14:textId="77777777" w:rsidR="00C25205" w:rsidRPr="00AA0B42" w:rsidRDefault="00C25205" w:rsidP="00C25205">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1C4E93AA" w14:textId="77777777" w:rsidR="00C25205" w:rsidRDefault="00C25205" w:rsidP="00C25205">
      <w:pPr>
        <w:pStyle w:val="ListParagraph"/>
      </w:pPr>
    </w:p>
    <w:p w14:paraId="0D8391EA" w14:textId="77777777" w:rsidR="00C25205" w:rsidRDefault="00C25205" w:rsidP="006A02E7">
      <w:pPr>
        <w:pStyle w:val="ListParagraph"/>
        <w:numPr>
          <w:ilvl w:val="0"/>
          <w:numId w:val="4"/>
        </w:numPr>
      </w:pPr>
      <w:r>
        <w:t>Other (indexed 2)/Other (variables per year): These two are not used.</w:t>
      </w:r>
    </w:p>
    <w:p w14:paraId="44EF0695" w14:textId="29839934" w:rsidR="00014E2F" w:rsidRPr="00AA0B42" w:rsidRDefault="007022AE" w:rsidP="00014E2F">
      <w:pPr>
        <w:pStyle w:val="ListParagraph"/>
        <w:numPr>
          <w:ilvl w:val="0"/>
          <w:numId w:val="4"/>
        </w:numPr>
        <w:rPr>
          <w:b/>
          <w:i/>
        </w:rPr>
      </w:pPr>
      <w:r w:rsidRPr="00AA0B42">
        <w:rPr>
          <w:b/>
          <w:i/>
        </w:rPr>
        <w:t>Total Revenue = Subtotal + Investment income (includes interest) + Non-Rental Revenue + Subsidy Revenue (less mortgage at EOA) + Other (indexed 1) + Other (indexed 2) + Other (variables per year)</w:t>
      </w:r>
    </w:p>
    <w:p w14:paraId="00D16960" w14:textId="77777777" w:rsidR="00CE1439" w:rsidRDefault="00CE1439" w:rsidP="00CE1439">
      <w:pPr>
        <w:pStyle w:val="Heading2"/>
      </w:pPr>
      <w:bookmarkStart w:id="6" w:name="_Toc518632103"/>
      <w:r>
        <w:t>Shelter Expenses</w:t>
      </w:r>
      <w:bookmarkEnd w:id="6"/>
    </w:p>
    <w:p w14:paraId="7CC44A7C" w14:textId="77777777" w:rsidR="00B70E13" w:rsidRDefault="00CE1439" w:rsidP="00B70E13">
      <w:pPr>
        <w:pStyle w:val="ListParagraph"/>
        <w:numPr>
          <w:ilvl w:val="0"/>
          <w:numId w:val="12"/>
        </w:numPr>
      </w:pPr>
      <w:r>
        <w:t xml:space="preserve">Subtotal Maintenance: </w:t>
      </w:r>
      <w:r w:rsidR="00B70E13">
        <w:t>The amount of base year is the sum of the column “</w:t>
      </w:r>
      <w:r w:rsidR="000F5EC7">
        <w:t>Subtotal Maintenance</w:t>
      </w:r>
      <w:r w:rsidR="00B70E13">
        <w:t xml:space="preserve">”. </w:t>
      </w:r>
    </w:p>
    <w:p w14:paraId="116A633F" w14:textId="77777777" w:rsidR="00B70E13" w:rsidRDefault="00B70E13" w:rsidP="00B70E13">
      <w:pPr>
        <w:pStyle w:val="ListParagraph"/>
      </w:pPr>
      <w:r>
        <w:t>For the rest of year, it is calculated based on the following formula:</w:t>
      </w:r>
    </w:p>
    <w:p w14:paraId="396E31FE" w14:textId="77777777" w:rsidR="00B70E13" w:rsidRDefault="00B70E13" w:rsidP="00B70E13">
      <w:pPr>
        <w:pStyle w:val="ListParagraph"/>
      </w:pPr>
    </w:p>
    <w:p w14:paraId="5380A966" w14:textId="77777777" w:rsidR="00B70E13" w:rsidRPr="00AA0B42" w:rsidRDefault="00B70E13" w:rsidP="00B70E13">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09EF9CE1" w14:textId="77777777" w:rsidR="00B70E13" w:rsidRDefault="00B70E13" w:rsidP="00B70E13">
      <w:pPr>
        <w:pStyle w:val="ListParagraph"/>
      </w:pPr>
    </w:p>
    <w:p w14:paraId="33767F29" w14:textId="5741F28F" w:rsidR="00014E2F" w:rsidRDefault="00014E2F" w:rsidP="00014E2F">
      <w:pPr>
        <w:pStyle w:val="ListParagraph"/>
        <w:numPr>
          <w:ilvl w:val="0"/>
          <w:numId w:val="12"/>
        </w:numPr>
      </w:pPr>
      <w:r>
        <w:t xml:space="preserve">Subtotal Administration: The amount of base year is the sum of the column “Subtotal Administration”. </w:t>
      </w:r>
    </w:p>
    <w:p w14:paraId="63F92388" w14:textId="77777777" w:rsidR="00014E2F" w:rsidRDefault="00014E2F" w:rsidP="00014E2F">
      <w:pPr>
        <w:pStyle w:val="ListParagraph"/>
      </w:pPr>
      <w:r>
        <w:t>For the rest of year, it is calculated based on the following formula:</w:t>
      </w:r>
    </w:p>
    <w:p w14:paraId="67D4F7DD" w14:textId="77777777" w:rsidR="00014E2F" w:rsidRDefault="00014E2F" w:rsidP="00014E2F">
      <w:pPr>
        <w:pStyle w:val="ListParagraph"/>
      </w:pPr>
    </w:p>
    <w:p w14:paraId="7035C2DB" w14:textId="42515030" w:rsidR="00014E2F" w:rsidRPr="00AA0B42" w:rsidRDefault="00014E2F" w:rsidP="00014E2F">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447E17C1" w14:textId="77777777" w:rsidR="007C48A8" w:rsidRDefault="007C48A8" w:rsidP="00014E2F">
      <w:pPr>
        <w:pStyle w:val="ListParagraph"/>
      </w:pPr>
    </w:p>
    <w:p w14:paraId="0FB499ED" w14:textId="1F617756" w:rsidR="007C48A8" w:rsidRDefault="007C48A8" w:rsidP="007C48A8">
      <w:pPr>
        <w:pStyle w:val="ListParagraph"/>
        <w:numPr>
          <w:ilvl w:val="0"/>
          <w:numId w:val="12"/>
        </w:numPr>
      </w:pPr>
      <w:r>
        <w:lastRenderedPageBreak/>
        <w:t>Total Maintenance and Administration: The amount of base year is the sum of the column “</w:t>
      </w:r>
      <w:r w:rsidRPr="007C48A8">
        <w:t xml:space="preserve">Current </w:t>
      </w:r>
      <w:proofErr w:type="gramStart"/>
      <w:r w:rsidRPr="007C48A8">
        <w:t>maintenance  &amp;</w:t>
      </w:r>
      <w:proofErr w:type="gramEnd"/>
      <w:r w:rsidRPr="007C48A8">
        <w:t xml:space="preserve"> admin. Costs</w:t>
      </w:r>
      <w:r>
        <w:t xml:space="preserve">”. </w:t>
      </w:r>
    </w:p>
    <w:p w14:paraId="1E81E35B" w14:textId="77777777" w:rsidR="007C48A8" w:rsidRDefault="007C48A8" w:rsidP="007C48A8">
      <w:pPr>
        <w:pStyle w:val="ListParagraph"/>
      </w:pPr>
      <w:r>
        <w:t>For the rest of year, it is calculated based on the following formula:</w:t>
      </w:r>
    </w:p>
    <w:p w14:paraId="77FBCDC2" w14:textId="77777777" w:rsidR="007C48A8" w:rsidRDefault="007C48A8" w:rsidP="007C48A8">
      <w:pPr>
        <w:pStyle w:val="ListParagraph"/>
      </w:pPr>
    </w:p>
    <w:p w14:paraId="1211720E" w14:textId="43C43E4C" w:rsidR="007C48A8" w:rsidRPr="00AA0B42" w:rsidRDefault="007C48A8" w:rsidP="007C48A8">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5A96C1F3" w14:textId="77777777" w:rsidR="00FE7FEB" w:rsidRDefault="00FE7FEB" w:rsidP="007C48A8">
      <w:pPr>
        <w:pStyle w:val="ListParagraph"/>
      </w:pPr>
    </w:p>
    <w:p w14:paraId="09DAD6F4" w14:textId="3BBF192D" w:rsidR="00FE7FEB" w:rsidRDefault="0000530F" w:rsidP="00FE7FEB">
      <w:pPr>
        <w:pStyle w:val="ListParagraph"/>
        <w:numPr>
          <w:ilvl w:val="0"/>
          <w:numId w:val="12"/>
        </w:numPr>
      </w:pPr>
      <w:r>
        <w:t xml:space="preserve">Electricity: </w:t>
      </w:r>
      <w:r w:rsidR="00FE7FEB">
        <w:t xml:space="preserve">The amount of base year is the sum of the column “Electricity”. </w:t>
      </w:r>
    </w:p>
    <w:p w14:paraId="2B75051D" w14:textId="77777777" w:rsidR="00FE7FEB" w:rsidRDefault="00FE7FEB" w:rsidP="00FE7FEB">
      <w:pPr>
        <w:pStyle w:val="ListParagraph"/>
      </w:pPr>
      <w:r>
        <w:t>For the rest of year, it is calculated based on the following formula:</w:t>
      </w:r>
    </w:p>
    <w:p w14:paraId="43520566" w14:textId="77777777" w:rsidR="00FE7FEB" w:rsidRDefault="00FE7FEB" w:rsidP="00FE7FEB">
      <w:pPr>
        <w:pStyle w:val="ListParagraph"/>
      </w:pPr>
    </w:p>
    <w:p w14:paraId="3CA5E80E" w14:textId="649B6709" w:rsidR="00FE7FEB" w:rsidRPr="00AA0B42" w:rsidRDefault="00FE7FEB" w:rsidP="00FE7FEB">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38CCA35B" w14:textId="77777777" w:rsidR="00FE7FEB" w:rsidRDefault="00FE7FEB" w:rsidP="00FE7FEB">
      <w:pPr>
        <w:pStyle w:val="ListParagraph"/>
      </w:pPr>
    </w:p>
    <w:p w14:paraId="76566A95" w14:textId="72EB683F" w:rsidR="00FE7FEB" w:rsidRDefault="00FE7FEB" w:rsidP="00FE7FEB">
      <w:pPr>
        <w:pStyle w:val="ListParagraph"/>
        <w:numPr>
          <w:ilvl w:val="0"/>
          <w:numId w:val="12"/>
        </w:numPr>
      </w:pPr>
      <w:r>
        <w:t xml:space="preserve">Natural Gas: The amount of base year is the sum of the column “Natural Gas”. </w:t>
      </w:r>
    </w:p>
    <w:p w14:paraId="6C43BF8D" w14:textId="77777777" w:rsidR="00FE7FEB" w:rsidRDefault="00FE7FEB" w:rsidP="00FE7FEB">
      <w:pPr>
        <w:pStyle w:val="ListParagraph"/>
      </w:pPr>
      <w:r>
        <w:t>For the rest of year, it is calculated based on the following formula:</w:t>
      </w:r>
    </w:p>
    <w:p w14:paraId="7E1873F0" w14:textId="77777777" w:rsidR="00FE7FEB" w:rsidRDefault="00FE7FEB" w:rsidP="00FE7FEB">
      <w:pPr>
        <w:pStyle w:val="ListParagraph"/>
      </w:pPr>
    </w:p>
    <w:p w14:paraId="0B24B7CD" w14:textId="4C0B38CA" w:rsidR="00FE7FEB" w:rsidRPr="00AA0B42" w:rsidRDefault="00FE7FEB" w:rsidP="00FE7FEB">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658E799E" w14:textId="77777777" w:rsidR="00FE7FEB" w:rsidRDefault="00FE7FEB" w:rsidP="00FE7FEB">
      <w:pPr>
        <w:pStyle w:val="ListParagraph"/>
      </w:pPr>
    </w:p>
    <w:p w14:paraId="66FC7091" w14:textId="4DF92906" w:rsidR="00FE7FEB" w:rsidRDefault="00FE7FEB" w:rsidP="00FE7FEB">
      <w:pPr>
        <w:pStyle w:val="ListParagraph"/>
        <w:numPr>
          <w:ilvl w:val="0"/>
          <w:numId w:val="12"/>
        </w:numPr>
      </w:pPr>
      <w:r>
        <w:t xml:space="preserve">Oil: The amount of base year is the sum of the column “Oil”. </w:t>
      </w:r>
    </w:p>
    <w:p w14:paraId="7D77457C" w14:textId="77777777" w:rsidR="00FE7FEB" w:rsidRDefault="00FE7FEB" w:rsidP="00FE7FEB">
      <w:pPr>
        <w:pStyle w:val="ListParagraph"/>
      </w:pPr>
      <w:r>
        <w:t>For the rest of year, it is calculated based on the following formula:</w:t>
      </w:r>
    </w:p>
    <w:p w14:paraId="63B1ABF1" w14:textId="77777777" w:rsidR="00FE7FEB" w:rsidRDefault="00FE7FEB" w:rsidP="00FE7FEB">
      <w:pPr>
        <w:pStyle w:val="ListParagraph"/>
      </w:pPr>
    </w:p>
    <w:p w14:paraId="321E2D2B" w14:textId="6AA7A3AB" w:rsidR="00FE7FEB" w:rsidRPr="00AA0B42" w:rsidRDefault="00FE7FEB" w:rsidP="00FE7FEB">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3C3EC4D1" w14:textId="77777777" w:rsidR="00FE7FEB" w:rsidRDefault="00FE7FEB" w:rsidP="00FE7FEB">
      <w:pPr>
        <w:pStyle w:val="ListParagraph"/>
      </w:pPr>
    </w:p>
    <w:p w14:paraId="3647FB25" w14:textId="25559616" w:rsidR="00FE7FEB" w:rsidRDefault="00FE7FEB" w:rsidP="00FE7FEB">
      <w:pPr>
        <w:pStyle w:val="ListParagraph"/>
        <w:numPr>
          <w:ilvl w:val="0"/>
          <w:numId w:val="12"/>
        </w:numPr>
      </w:pPr>
      <w:r>
        <w:t xml:space="preserve">Water and Sewage: The amount of base year is the sum of the column “Water and Sewage”. </w:t>
      </w:r>
    </w:p>
    <w:p w14:paraId="027A8EF7" w14:textId="77777777" w:rsidR="00FE7FEB" w:rsidRDefault="00FE7FEB" w:rsidP="00FE7FEB">
      <w:pPr>
        <w:pStyle w:val="ListParagraph"/>
      </w:pPr>
      <w:r>
        <w:t>For the rest of year, it is calculated based on the following formula:</w:t>
      </w:r>
    </w:p>
    <w:p w14:paraId="32CB4903" w14:textId="77777777" w:rsidR="00FE7FEB" w:rsidRDefault="00FE7FEB" w:rsidP="00FE7FEB">
      <w:pPr>
        <w:pStyle w:val="ListParagraph"/>
      </w:pPr>
    </w:p>
    <w:p w14:paraId="3BBCC32C" w14:textId="365A3EC0" w:rsidR="00FE7FEB" w:rsidRPr="00AA0B42" w:rsidRDefault="00FE7FEB" w:rsidP="00FE7FEB">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3F260B84" w14:textId="77777777" w:rsidR="00DD58CF" w:rsidRDefault="00DD58CF" w:rsidP="00FE7FEB">
      <w:pPr>
        <w:pStyle w:val="ListParagraph"/>
      </w:pPr>
    </w:p>
    <w:p w14:paraId="20C6FF34" w14:textId="651866B6" w:rsidR="00211442" w:rsidRDefault="00211442" w:rsidP="00960B67">
      <w:pPr>
        <w:pStyle w:val="ListParagraph"/>
        <w:numPr>
          <w:ilvl w:val="0"/>
          <w:numId w:val="12"/>
        </w:numPr>
      </w:pPr>
      <w:r>
        <w:t>Total Utilities: When the sum of Electricity, Natural Gas, Oil and Water and Sewage is 0 from previous line items, Total Utilities will take the sum of column “Current utilities”. For the rest of year, it is calculated based on the following formula:</w:t>
      </w:r>
    </w:p>
    <w:p w14:paraId="0D394257" w14:textId="77777777" w:rsidR="00211442" w:rsidRDefault="00211442" w:rsidP="00211442">
      <w:pPr>
        <w:pStyle w:val="ListParagraph"/>
      </w:pPr>
    </w:p>
    <w:p w14:paraId="68B2ABEA" w14:textId="178E3CF2" w:rsidR="00211442" w:rsidRDefault="00211442" w:rsidP="00211442">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46C4DA05" w14:textId="77777777" w:rsidR="00AA0B42" w:rsidRPr="00AA0B42" w:rsidRDefault="00AA0B42" w:rsidP="00211442">
      <w:pPr>
        <w:pStyle w:val="ListParagraph"/>
        <w:rPr>
          <w:b/>
          <w:i/>
        </w:rPr>
      </w:pPr>
    </w:p>
    <w:p w14:paraId="3374332E" w14:textId="2CD595D5" w:rsidR="00960B67" w:rsidRDefault="00960B67" w:rsidP="00D8267C">
      <w:pPr>
        <w:pStyle w:val="ListParagraph"/>
        <w:numPr>
          <w:ilvl w:val="0"/>
          <w:numId w:val="12"/>
        </w:numPr>
      </w:pPr>
      <w:r>
        <w:t>Insurance: The amount of base year is the sum of the column “**Insurance”. For the rest of year, it is calculated based on the following formula:</w:t>
      </w:r>
    </w:p>
    <w:p w14:paraId="0BDC3286" w14:textId="77777777" w:rsidR="00960B67" w:rsidRDefault="00960B67" w:rsidP="00960B67">
      <w:pPr>
        <w:pStyle w:val="ListParagraph"/>
      </w:pPr>
    </w:p>
    <w:p w14:paraId="198AE4BF" w14:textId="0076315B" w:rsidR="00960B67" w:rsidRPr="00AA0B42" w:rsidRDefault="00960B67" w:rsidP="00960B67">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51502BDA" w14:textId="7CFBB6EB" w:rsidR="00960B67" w:rsidRDefault="00BC4B56" w:rsidP="00960B67">
      <w:pPr>
        <w:pStyle w:val="ListParagraph"/>
      </w:pPr>
      <w:r>
        <w:t>N</w:t>
      </w:r>
      <w:r>
        <w:rPr>
          <w:rFonts w:hint="eastAsia"/>
        </w:rPr>
        <w:t>on</w:t>
      </w:r>
    </w:p>
    <w:p w14:paraId="1C8D8334" w14:textId="49A5458C" w:rsidR="00D8267C" w:rsidRDefault="009A6A6C" w:rsidP="00D8267C">
      <w:pPr>
        <w:pStyle w:val="ListParagraph"/>
        <w:numPr>
          <w:ilvl w:val="0"/>
          <w:numId w:val="12"/>
        </w:numPr>
      </w:pPr>
      <w:r>
        <w:lastRenderedPageBreak/>
        <w:t xml:space="preserve">Bad debts: </w:t>
      </w:r>
      <w:r w:rsidR="00D8267C">
        <w:t>The amount of base year is the sum of the column “</w:t>
      </w:r>
      <w:r w:rsidR="00D8267C" w:rsidRPr="00D8267C">
        <w:t>Bad debts (current reporting year or past 3-yr. avg.)</w:t>
      </w:r>
      <w:r w:rsidR="00D8267C">
        <w:t>”. For the rest of year, it is calculated based on the following formula:</w:t>
      </w:r>
    </w:p>
    <w:p w14:paraId="7BEF1B95" w14:textId="77777777" w:rsidR="00D8267C" w:rsidRDefault="00D8267C" w:rsidP="00D8267C">
      <w:pPr>
        <w:pStyle w:val="ListParagraph"/>
      </w:pPr>
    </w:p>
    <w:p w14:paraId="1F021E17" w14:textId="4CF078A5" w:rsidR="00D8267C" w:rsidRPr="00AA0B42" w:rsidRDefault="00D8267C" w:rsidP="00D8267C">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40512DA7" w14:textId="77777777" w:rsidR="008C03F0" w:rsidRDefault="008C03F0" w:rsidP="00D8267C">
      <w:pPr>
        <w:pStyle w:val="ListParagraph"/>
      </w:pPr>
    </w:p>
    <w:p w14:paraId="3B4AFE43" w14:textId="35F984B2" w:rsidR="00295E58" w:rsidRDefault="008C03F0" w:rsidP="00295E58">
      <w:pPr>
        <w:pStyle w:val="ListParagraph"/>
        <w:numPr>
          <w:ilvl w:val="0"/>
          <w:numId w:val="12"/>
        </w:numPr>
      </w:pPr>
      <w:r>
        <w:t xml:space="preserve">Other (as reported): </w:t>
      </w:r>
      <w:r w:rsidR="00295E58">
        <w:t>The amount of base year is the sum of the column “</w:t>
      </w:r>
      <w:r w:rsidR="00295E58" w:rsidRPr="00295E58">
        <w:t>Current other operating costs</w:t>
      </w:r>
      <w:r w:rsidR="00295E58">
        <w:t>”.  For the rest of year, it is calculated based on the following formula:</w:t>
      </w:r>
    </w:p>
    <w:p w14:paraId="470913ED" w14:textId="77777777" w:rsidR="00295E58" w:rsidRDefault="00295E58" w:rsidP="00295E58">
      <w:pPr>
        <w:pStyle w:val="ListParagraph"/>
      </w:pPr>
    </w:p>
    <w:p w14:paraId="424E3ECB" w14:textId="5B93FEB3" w:rsidR="00295E58" w:rsidRPr="00AA0B42" w:rsidRDefault="00295E58" w:rsidP="00295E58">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579EF88F" w14:textId="77777777" w:rsidR="004A6BA8" w:rsidRDefault="004A6BA8" w:rsidP="00295E58">
      <w:pPr>
        <w:pStyle w:val="ListParagraph"/>
      </w:pPr>
    </w:p>
    <w:p w14:paraId="19875C58" w14:textId="59B926F8" w:rsidR="004A6BA8" w:rsidRDefault="004A6BA8" w:rsidP="0074501E">
      <w:pPr>
        <w:pStyle w:val="ListParagraph"/>
        <w:numPr>
          <w:ilvl w:val="0"/>
          <w:numId w:val="12"/>
        </w:numPr>
      </w:pPr>
      <w:r>
        <w:t>Mandatory transfer from operations: The amount of base year is the sum of the column “</w:t>
      </w:r>
      <w:r w:rsidRPr="004A6BA8">
        <w:t>Annual capital reserve deposit</w:t>
      </w:r>
      <w:r>
        <w:t>”.  For the rest of year, it is calculated based on the following formula:</w:t>
      </w:r>
    </w:p>
    <w:p w14:paraId="78EE5955" w14:textId="77777777" w:rsidR="004A6BA8" w:rsidRDefault="004A6BA8" w:rsidP="004A6BA8">
      <w:pPr>
        <w:pStyle w:val="ListParagraph"/>
      </w:pPr>
    </w:p>
    <w:p w14:paraId="6AE60903" w14:textId="0D6C7385" w:rsidR="004A6BA8" w:rsidRPr="00AA0B42" w:rsidRDefault="004A6BA8" w:rsidP="004A6BA8">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14987BAD" w14:textId="77777777" w:rsidR="004A6BA8" w:rsidRDefault="004A6BA8" w:rsidP="004A6BA8">
      <w:pPr>
        <w:pStyle w:val="ListParagraph"/>
      </w:pPr>
    </w:p>
    <w:p w14:paraId="486209A7" w14:textId="333794B3" w:rsidR="000F5EC7" w:rsidRPr="00AA0B42" w:rsidRDefault="0074501E" w:rsidP="004A6BA8">
      <w:pPr>
        <w:pStyle w:val="ListParagraph"/>
        <w:numPr>
          <w:ilvl w:val="0"/>
          <w:numId w:val="12"/>
        </w:numPr>
        <w:rPr>
          <w:b/>
          <w:i/>
        </w:rPr>
      </w:pPr>
      <w:r w:rsidRPr="00AA0B42">
        <w:rPr>
          <w:b/>
          <w:i/>
        </w:rPr>
        <w:t>Subtotal Operating expenses = Total Maintenance and Administration + Total Utilities + Insurance + Bad debts + Other (as reported) + Mandatory transfer from operations</w:t>
      </w:r>
    </w:p>
    <w:p w14:paraId="765077FB" w14:textId="77777777" w:rsidR="0074501E" w:rsidRDefault="0074501E" w:rsidP="0074501E">
      <w:pPr>
        <w:pStyle w:val="ListParagraph"/>
      </w:pPr>
    </w:p>
    <w:p w14:paraId="54AD8B79" w14:textId="34FE9C58" w:rsidR="003B541F" w:rsidRDefault="003B541F" w:rsidP="003B541F">
      <w:pPr>
        <w:pStyle w:val="ListParagraph"/>
        <w:numPr>
          <w:ilvl w:val="0"/>
          <w:numId w:val="12"/>
        </w:numPr>
      </w:pPr>
      <w:r>
        <w:t>Property taxes: The amount of base year is the sum of the column “Current property Taxes”.  For the rest of year, it is calculated based on the following formula:</w:t>
      </w:r>
    </w:p>
    <w:p w14:paraId="20CC9087" w14:textId="77777777" w:rsidR="003B541F" w:rsidRDefault="003B541F" w:rsidP="003B541F">
      <w:pPr>
        <w:pStyle w:val="ListParagraph"/>
      </w:pPr>
    </w:p>
    <w:p w14:paraId="62D15046" w14:textId="13018757" w:rsidR="003B541F" w:rsidRPr="00AA0B42" w:rsidRDefault="003B541F" w:rsidP="003B541F">
      <w:pPr>
        <w:pStyle w:val="ListParagraph"/>
        <w:rPr>
          <w:b/>
          <w:i/>
        </w:rPr>
      </w:pPr>
      <w:r w:rsidRPr="00AA0B42">
        <w:rPr>
          <w:b/>
          <w:i/>
        </w:rPr>
        <w:t xml:space="preserve">Amount at base year *(1+default </w:t>
      </w:r>
      <w:proofErr w:type="gramStart"/>
      <w:r w:rsidRPr="00AA0B42">
        <w:rPr>
          <w:b/>
          <w:i/>
        </w:rPr>
        <w:t>index)^</w:t>
      </w:r>
      <w:proofErr w:type="gramEnd"/>
      <w:r w:rsidRPr="00AA0B42">
        <w:rPr>
          <w:b/>
          <w:i/>
        </w:rPr>
        <w:t>(difference between the current calculated year and base year)</w:t>
      </w:r>
    </w:p>
    <w:p w14:paraId="3CB1DC63" w14:textId="77777777" w:rsidR="003B541F" w:rsidRDefault="003B541F" w:rsidP="003B541F">
      <w:pPr>
        <w:pStyle w:val="ListParagraph"/>
      </w:pPr>
    </w:p>
    <w:p w14:paraId="27F9850E" w14:textId="5A4A541F" w:rsidR="00F57484" w:rsidRDefault="00A13A86" w:rsidP="00703799">
      <w:pPr>
        <w:pStyle w:val="ListParagraph"/>
        <w:numPr>
          <w:ilvl w:val="0"/>
          <w:numId w:val="12"/>
        </w:numPr>
      </w:pPr>
      <w:r>
        <w:t xml:space="preserve">Mortgage principal and interest: </w:t>
      </w:r>
      <w:r w:rsidR="000F2C61">
        <w:t>The amount for this line item will take into consideration of columns “Debt retire date (EOA)” and “Current annual payments of primary” from data source “</w:t>
      </w:r>
      <w:proofErr w:type="spellStart"/>
      <w:r w:rsidR="000F2C61">
        <w:t>IPT_DataX</w:t>
      </w:r>
      <w:proofErr w:type="spellEnd"/>
      <w:r w:rsidR="000F2C61">
        <w:t>”. The total of “Current annual payments of primary” will depreciate based on the payment amount of Debt retire year. For example, if the total of all annual payments of primary is 6,241,962</w:t>
      </w:r>
      <w:r w:rsidR="00536EF6">
        <w:t>, project started from 2012, but EOA range started from 2014. The mortgage principal and interest amount in 2014 will be 6,200,493 (6,241,962-41,469=6,200,493) as there was a payment of 41,469 happened in 2014. In 2015, there was a payment of 12,586, so the mortgage principal and interest in 2016 will be 6,187,907(6,200,493-12,586=6,187,907), subtracting the mortgage principal and interest from previous year by the current calculated year’s annual payment.</w:t>
      </w:r>
      <w:r w:rsidR="00703799">
        <w:t xml:space="preserve"> </w:t>
      </w:r>
    </w:p>
    <w:p w14:paraId="2342F1FE" w14:textId="77777777" w:rsidR="003066D4" w:rsidRDefault="003066D4" w:rsidP="003066D4"/>
    <w:p w14:paraId="225D76B0" w14:textId="7432E320" w:rsidR="00AE63C2" w:rsidRDefault="003066D4" w:rsidP="00AC4028">
      <w:pPr>
        <w:pStyle w:val="ListParagraph"/>
        <w:numPr>
          <w:ilvl w:val="0"/>
          <w:numId w:val="12"/>
        </w:numPr>
      </w:pPr>
      <w:r>
        <w:t xml:space="preserve">Secondary </w:t>
      </w:r>
      <w:r w:rsidR="00AE63C2">
        <w:t xml:space="preserve">debt: The calculation of this line item is the same as “Mortgage principal and interest” and only applicable when we have second debt and users select “Yes” for “Expires @ EOA” under the </w:t>
      </w:r>
      <w:r w:rsidR="001D3EBE">
        <w:t>Adjusted Input area</w:t>
      </w:r>
      <w:r w:rsidR="00AE63C2">
        <w:t>. If sum of column “</w:t>
      </w:r>
      <w:r w:rsidR="00AE63C2" w:rsidRPr="00AE63C2">
        <w:t>Current annual payments (of secondary)</w:t>
      </w:r>
      <w:r w:rsidR="00AE63C2">
        <w:t xml:space="preserve">” is 0, this line item will 0 for all years. </w:t>
      </w:r>
    </w:p>
    <w:p w14:paraId="2088276E" w14:textId="77777777" w:rsidR="00AE63C2" w:rsidRDefault="00AE63C2" w:rsidP="00AE63C2">
      <w:pPr>
        <w:pStyle w:val="ListParagraph"/>
      </w:pPr>
    </w:p>
    <w:p w14:paraId="18FCBEFC" w14:textId="00802186" w:rsidR="0074501E" w:rsidRDefault="00AC4028" w:rsidP="00F57484">
      <w:pPr>
        <w:pStyle w:val="ListParagraph"/>
        <w:numPr>
          <w:ilvl w:val="0"/>
          <w:numId w:val="12"/>
        </w:numPr>
      </w:pPr>
      <w:r>
        <w:lastRenderedPageBreak/>
        <w:t>Other (variable per year): Not used</w:t>
      </w:r>
    </w:p>
    <w:p w14:paraId="71518DCD" w14:textId="77777777" w:rsidR="007E1991" w:rsidRDefault="007E1991" w:rsidP="007E1991">
      <w:pPr>
        <w:pStyle w:val="ListParagraph"/>
      </w:pPr>
    </w:p>
    <w:p w14:paraId="4E92D065" w14:textId="388A93AC" w:rsidR="007E1991" w:rsidRPr="001D61D2" w:rsidRDefault="007E1991" w:rsidP="00F57484">
      <w:pPr>
        <w:pStyle w:val="ListParagraph"/>
        <w:numPr>
          <w:ilvl w:val="0"/>
          <w:numId w:val="12"/>
        </w:numPr>
        <w:rPr>
          <w:b/>
          <w:i/>
        </w:rPr>
      </w:pPr>
      <w:r w:rsidRPr="001D61D2">
        <w:rPr>
          <w:b/>
          <w:i/>
        </w:rPr>
        <w:t xml:space="preserve">Total Shelter Expenses = Subtotal Operating expenses + Property taxes + Mortgage principal and interest + Secondary debt + Other (variable per year) </w:t>
      </w:r>
    </w:p>
    <w:p w14:paraId="15805DF4" w14:textId="77777777" w:rsidR="00036AA6" w:rsidRDefault="00036AA6" w:rsidP="00036AA6">
      <w:pPr>
        <w:pStyle w:val="ListParagraph"/>
      </w:pPr>
    </w:p>
    <w:p w14:paraId="37500FF1" w14:textId="30304778" w:rsidR="00036AA6" w:rsidRPr="001D61D2" w:rsidRDefault="00036AA6" w:rsidP="00F57484">
      <w:pPr>
        <w:pStyle w:val="ListParagraph"/>
        <w:numPr>
          <w:ilvl w:val="0"/>
          <w:numId w:val="12"/>
        </w:numPr>
        <w:rPr>
          <w:b/>
          <w:i/>
        </w:rPr>
      </w:pPr>
      <w:r w:rsidRPr="001D61D2">
        <w:rPr>
          <w:b/>
          <w:i/>
        </w:rPr>
        <w:t>NET INCOME (LOSS) – Shelter = Total Revenue – Total Shelter Expenses</w:t>
      </w:r>
    </w:p>
    <w:p w14:paraId="794D9601" w14:textId="77777777" w:rsidR="00CF36D1" w:rsidRDefault="00CF36D1" w:rsidP="00CF36D1">
      <w:pPr>
        <w:pStyle w:val="ListParagraph"/>
      </w:pPr>
    </w:p>
    <w:p w14:paraId="47328CBA" w14:textId="4F7343F3" w:rsidR="00CF36D1" w:rsidRPr="001D61D2" w:rsidRDefault="00CF36D1" w:rsidP="007F2453">
      <w:pPr>
        <w:pStyle w:val="ListParagraph"/>
        <w:numPr>
          <w:ilvl w:val="0"/>
          <w:numId w:val="12"/>
        </w:numPr>
        <w:rPr>
          <w:b/>
          <w:i/>
        </w:rPr>
      </w:pPr>
      <w:r w:rsidRPr="001D61D2">
        <w:rPr>
          <w:b/>
          <w:i/>
        </w:rPr>
        <w:t xml:space="preserve">Consolidated Net Income (3 </w:t>
      </w:r>
      <w:proofErr w:type="spellStart"/>
      <w:r w:rsidRPr="001D61D2">
        <w:rPr>
          <w:b/>
          <w:i/>
        </w:rPr>
        <w:t>yr</w:t>
      </w:r>
      <w:proofErr w:type="spellEnd"/>
      <w:r w:rsidRPr="001D61D2">
        <w:rPr>
          <w:b/>
          <w:i/>
        </w:rPr>
        <w:t xml:space="preserve"> avg compare)</w:t>
      </w:r>
      <w:r w:rsidR="004B0BCA" w:rsidRPr="001D61D2">
        <w:rPr>
          <w:b/>
          <w:i/>
        </w:rPr>
        <w:t xml:space="preserve"> = </w:t>
      </w:r>
      <w:r w:rsidR="007F2453" w:rsidRPr="001D61D2">
        <w:rPr>
          <w:b/>
          <w:i/>
        </w:rPr>
        <w:t>(“NET INCOME(LOSS)-Shelter”- “Sum of Consolidated Net Income (Loss) from audited statements (past 3-year average)”) /Absolute value of “Sum of Consolidated Net Income (Loss) from audited statements (past 3-year average)”</w:t>
      </w:r>
    </w:p>
    <w:p w14:paraId="41F1ABFC" w14:textId="77777777" w:rsidR="007F2453" w:rsidRDefault="007F2453" w:rsidP="007F2453">
      <w:pPr>
        <w:pStyle w:val="ListParagraph"/>
      </w:pPr>
    </w:p>
    <w:p w14:paraId="50CDED64" w14:textId="1DC5CE28" w:rsidR="00DA6380" w:rsidRDefault="00DA6380" w:rsidP="00DA6380">
      <w:pPr>
        <w:pStyle w:val="ListParagraph"/>
        <w:numPr>
          <w:ilvl w:val="0"/>
          <w:numId w:val="12"/>
        </w:numPr>
      </w:pPr>
      <w:r>
        <w:t>Gifts and donations: The amount of base year is the sum of the column “</w:t>
      </w:r>
      <w:r w:rsidRPr="00DA6380">
        <w:t>**Gifts and Donations</w:t>
      </w:r>
      <w:r>
        <w:t>”.  For the rest of year, it is calculated based on the following formula:</w:t>
      </w:r>
    </w:p>
    <w:p w14:paraId="071908DF" w14:textId="77777777" w:rsidR="00DA6380" w:rsidRDefault="00DA6380" w:rsidP="00DA6380">
      <w:pPr>
        <w:pStyle w:val="ListParagraph"/>
      </w:pPr>
    </w:p>
    <w:p w14:paraId="667609EF" w14:textId="5967F522" w:rsidR="00DA6380" w:rsidRPr="001D61D2" w:rsidRDefault="00DA6380" w:rsidP="00DA6380">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0433F4FE" w14:textId="77777777" w:rsidR="00DA6380" w:rsidRDefault="00DA6380" w:rsidP="00DA6380">
      <w:pPr>
        <w:pStyle w:val="ListParagraph"/>
      </w:pPr>
    </w:p>
    <w:p w14:paraId="49D6F5FA" w14:textId="4F3E724D" w:rsidR="004E6205" w:rsidRDefault="00065E03" w:rsidP="00EC435B">
      <w:pPr>
        <w:pStyle w:val="ListParagraph"/>
        <w:numPr>
          <w:ilvl w:val="0"/>
          <w:numId w:val="12"/>
        </w:numPr>
      </w:pPr>
      <w:r>
        <w:t xml:space="preserve">Non shelter revenue (net): </w:t>
      </w:r>
      <w:r w:rsidR="004E6205">
        <w:t>The amount of base year is the sum of the column “*</w:t>
      </w:r>
      <w:proofErr w:type="gramStart"/>
      <w:r w:rsidR="004E6205">
        <w:t>Non-shelter</w:t>
      </w:r>
      <w:proofErr w:type="gramEnd"/>
      <w:r w:rsidR="004E6205">
        <w:t xml:space="preserve"> revenue (i.e. grants)”.  For the rest of year, it is calculated based on the following formula:</w:t>
      </w:r>
    </w:p>
    <w:p w14:paraId="56A76118" w14:textId="77777777" w:rsidR="004E6205" w:rsidRDefault="004E6205" w:rsidP="004E6205">
      <w:pPr>
        <w:pStyle w:val="ListParagraph"/>
      </w:pPr>
    </w:p>
    <w:p w14:paraId="6E44B76C" w14:textId="5D3DA50A" w:rsidR="004E6205" w:rsidRPr="001D61D2" w:rsidRDefault="004E6205" w:rsidP="004E6205">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20F165BF" w14:textId="77777777" w:rsidR="004E6205" w:rsidRDefault="004E6205" w:rsidP="004E6205">
      <w:pPr>
        <w:pStyle w:val="ListParagraph"/>
      </w:pPr>
    </w:p>
    <w:p w14:paraId="2FB2A2E7" w14:textId="5528BAF2" w:rsidR="006B5E76" w:rsidRDefault="009C0BD9" w:rsidP="00DB3120">
      <w:pPr>
        <w:pStyle w:val="ListParagraph"/>
        <w:numPr>
          <w:ilvl w:val="0"/>
          <w:numId w:val="12"/>
        </w:numPr>
      </w:pPr>
      <w:r>
        <w:t xml:space="preserve">Sector support(net) (co-ops only): </w:t>
      </w:r>
      <w:r w:rsidR="006B5E76">
        <w:t>The amount of base year is the sum of the column “</w:t>
      </w:r>
      <w:r w:rsidR="006B5E76" w:rsidRPr="006B5E76">
        <w:t>**Sector support (if applicable)</w:t>
      </w:r>
      <w:r w:rsidR="006B5E76">
        <w:t>”.  For the rest of year, it is calculated based on the following formula:</w:t>
      </w:r>
    </w:p>
    <w:p w14:paraId="7320319C" w14:textId="77777777" w:rsidR="006B5E76" w:rsidRDefault="006B5E76" w:rsidP="006B5E76">
      <w:pPr>
        <w:pStyle w:val="ListParagraph"/>
      </w:pPr>
    </w:p>
    <w:p w14:paraId="351C28A1" w14:textId="144F852D" w:rsidR="006B5E76" w:rsidRPr="001D61D2" w:rsidRDefault="006B5E76" w:rsidP="006B5E76">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49B4DD46" w14:textId="77777777" w:rsidR="006B5E76" w:rsidRDefault="006B5E76" w:rsidP="006B5E76">
      <w:pPr>
        <w:pStyle w:val="ListParagraph"/>
      </w:pPr>
    </w:p>
    <w:p w14:paraId="140293ED" w14:textId="014A9F44" w:rsidR="007F2453" w:rsidRPr="001D61D2" w:rsidRDefault="00B03347" w:rsidP="007F2453">
      <w:pPr>
        <w:pStyle w:val="ListParagraph"/>
        <w:numPr>
          <w:ilvl w:val="0"/>
          <w:numId w:val="12"/>
        </w:numPr>
        <w:rPr>
          <w:b/>
          <w:i/>
        </w:rPr>
      </w:pPr>
      <w:r w:rsidRPr="001D61D2">
        <w:rPr>
          <w:b/>
          <w:i/>
        </w:rPr>
        <w:t>Non-Shelter Net Income (Loss) = Gifts and donations + Non shelter revenue (</w:t>
      </w:r>
      <w:proofErr w:type="gramStart"/>
      <w:r w:rsidRPr="001D61D2">
        <w:rPr>
          <w:b/>
          <w:i/>
        </w:rPr>
        <w:t>net)  +</w:t>
      </w:r>
      <w:proofErr w:type="gramEnd"/>
      <w:r w:rsidRPr="001D61D2">
        <w:rPr>
          <w:b/>
          <w:i/>
        </w:rPr>
        <w:t xml:space="preserve"> Sector support (net) (co-ops only)</w:t>
      </w:r>
    </w:p>
    <w:p w14:paraId="26CCABC0" w14:textId="77777777" w:rsidR="006D1AC4" w:rsidRDefault="006D1AC4" w:rsidP="006D1AC4">
      <w:pPr>
        <w:pStyle w:val="ListParagraph"/>
      </w:pPr>
    </w:p>
    <w:p w14:paraId="2EDD77D3" w14:textId="6AEBFE7A" w:rsidR="006D1AC4" w:rsidRPr="001D61D2" w:rsidRDefault="006D1AC4" w:rsidP="007F2453">
      <w:pPr>
        <w:pStyle w:val="ListParagraph"/>
        <w:numPr>
          <w:ilvl w:val="0"/>
          <w:numId w:val="12"/>
        </w:numPr>
        <w:rPr>
          <w:b/>
          <w:i/>
        </w:rPr>
      </w:pPr>
      <w:r w:rsidRPr="001D61D2">
        <w:rPr>
          <w:b/>
          <w:i/>
        </w:rPr>
        <w:t>NET INCOME (LOSS) – TOTAL = NET INCOME(LOSS) – Shelter + Non-Shelter Net Income (Loss)</w:t>
      </w:r>
    </w:p>
    <w:p w14:paraId="46556696" w14:textId="77777777" w:rsidR="000D24C6" w:rsidRDefault="000D24C6" w:rsidP="000D24C6">
      <w:pPr>
        <w:pStyle w:val="ListParagraph"/>
      </w:pPr>
    </w:p>
    <w:p w14:paraId="7A8E7618" w14:textId="652034AB" w:rsidR="000D24C6" w:rsidRPr="001D61D2" w:rsidRDefault="000D24C6" w:rsidP="007F2453">
      <w:pPr>
        <w:pStyle w:val="ListParagraph"/>
        <w:numPr>
          <w:ilvl w:val="0"/>
          <w:numId w:val="12"/>
        </w:numPr>
        <w:rPr>
          <w:b/>
          <w:i/>
        </w:rPr>
      </w:pPr>
      <w:r w:rsidRPr="001D61D2">
        <w:rPr>
          <w:b/>
          <w:i/>
        </w:rPr>
        <w:t>DSCR =</w:t>
      </w:r>
      <w:r w:rsidR="00741602" w:rsidRPr="001D61D2">
        <w:rPr>
          <w:b/>
          <w:i/>
        </w:rPr>
        <w:t xml:space="preserve"> (</w:t>
      </w:r>
      <w:r w:rsidRPr="001D61D2">
        <w:rPr>
          <w:b/>
          <w:i/>
        </w:rPr>
        <w:t>Total Revenue – (Subtotal Operating expenses + Property taxes)</w:t>
      </w:r>
      <w:r w:rsidR="00741602" w:rsidRPr="001D61D2">
        <w:rPr>
          <w:b/>
          <w:i/>
        </w:rPr>
        <w:t>)/Mortgage principal and interest</w:t>
      </w:r>
    </w:p>
    <w:p w14:paraId="46B53E6A" w14:textId="1B802BDD" w:rsidR="00741602" w:rsidRDefault="00741602" w:rsidP="00741602">
      <w:pPr>
        <w:pStyle w:val="ListParagraph"/>
      </w:pPr>
    </w:p>
    <w:p w14:paraId="1F1F740F" w14:textId="75C04576" w:rsidR="00741602" w:rsidRDefault="00741602" w:rsidP="00741602">
      <w:pPr>
        <w:pStyle w:val="ListParagraph"/>
      </w:pPr>
      <w:r>
        <w:t>DSCR refers to the amount of cash flow available to meet annual interest and principal payments on debt.</w:t>
      </w:r>
    </w:p>
    <w:p w14:paraId="6C35AD7C" w14:textId="77777777" w:rsidR="00741602" w:rsidRDefault="00741602" w:rsidP="00741602">
      <w:pPr>
        <w:pStyle w:val="ListParagraph"/>
      </w:pPr>
    </w:p>
    <w:p w14:paraId="5573634C" w14:textId="0237BB87" w:rsidR="00741602" w:rsidRPr="001D61D2" w:rsidRDefault="0078597E" w:rsidP="007F2453">
      <w:pPr>
        <w:pStyle w:val="ListParagraph"/>
        <w:numPr>
          <w:ilvl w:val="0"/>
          <w:numId w:val="12"/>
        </w:numPr>
        <w:rPr>
          <w:b/>
          <w:i/>
        </w:rPr>
      </w:pPr>
      <w:r w:rsidRPr="001D61D2">
        <w:rPr>
          <w:b/>
          <w:i/>
        </w:rPr>
        <w:t>DSCR w/o Cap = (Total Revenue – ((Subtotal Operating expenses – Mandatory transfer from operations) + Property taxes)))/Mortgage principal and interest</w:t>
      </w:r>
    </w:p>
    <w:p w14:paraId="2F21CDEF" w14:textId="5CF6C551" w:rsidR="0078597E" w:rsidRDefault="0078597E" w:rsidP="0078597E">
      <w:pPr>
        <w:pStyle w:val="ListParagraph"/>
      </w:pPr>
    </w:p>
    <w:p w14:paraId="01FCAAF7" w14:textId="2976AFDE" w:rsidR="0078597E" w:rsidRDefault="0078597E" w:rsidP="0078597E">
      <w:pPr>
        <w:pStyle w:val="ListParagraph"/>
      </w:pPr>
      <w:r>
        <w:lastRenderedPageBreak/>
        <w:t>This one remove “mandatory transfer from operations</w:t>
      </w:r>
      <w:r w:rsidR="001D61D2">
        <w:t>”</w:t>
      </w:r>
      <w:r>
        <w:t xml:space="preserve"> from consideration.</w:t>
      </w:r>
    </w:p>
    <w:p w14:paraId="1DFBB90C" w14:textId="6BE1F9C4" w:rsidR="0078597E" w:rsidRDefault="0078597E" w:rsidP="0078597E">
      <w:pPr>
        <w:pStyle w:val="ListParagraph"/>
      </w:pPr>
    </w:p>
    <w:p w14:paraId="5737D1B5" w14:textId="3AF76806" w:rsidR="00B57680" w:rsidRDefault="00B57680" w:rsidP="0078597E">
      <w:pPr>
        <w:pStyle w:val="ListParagraph"/>
      </w:pPr>
    </w:p>
    <w:p w14:paraId="405E83C0" w14:textId="04F120DD" w:rsidR="0078610B" w:rsidRDefault="0078610B" w:rsidP="0078597E">
      <w:pPr>
        <w:pStyle w:val="ListParagraph"/>
      </w:pPr>
    </w:p>
    <w:p w14:paraId="31867608" w14:textId="77777777" w:rsidR="0078610B" w:rsidRDefault="0078610B" w:rsidP="0078597E">
      <w:pPr>
        <w:pStyle w:val="ListParagraph"/>
      </w:pPr>
    </w:p>
    <w:p w14:paraId="36704263" w14:textId="697A75C8" w:rsidR="00E73BAD" w:rsidRDefault="000F6170" w:rsidP="003A2CD9">
      <w:pPr>
        <w:pStyle w:val="Heading2"/>
      </w:pPr>
      <w:bookmarkStart w:id="7" w:name="_Toc518632104"/>
      <w:r>
        <w:t>Capital Reserve Fund (CRF)</w:t>
      </w:r>
      <w:bookmarkEnd w:id="7"/>
    </w:p>
    <w:p w14:paraId="1A05687A" w14:textId="77777777" w:rsidR="003A2CD9" w:rsidRPr="003A2CD9" w:rsidRDefault="003A2CD9" w:rsidP="003A2CD9"/>
    <w:p w14:paraId="42BF3C1F" w14:textId="3D72427C" w:rsidR="00533087" w:rsidRPr="00E73BAD" w:rsidRDefault="00E73BAD" w:rsidP="00E73BAD">
      <w:r>
        <w:t>There are six CRF sources:</w:t>
      </w:r>
      <w:r w:rsidR="0014714C">
        <w:t xml:space="preserve"> AP- NRD Sched, AP- NRS Sched, Base projected, </w:t>
      </w:r>
      <w:proofErr w:type="gramStart"/>
      <w:r w:rsidR="0014714C">
        <w:t>No</w:t>
      </w:r>
      <w:proofErr w:type="gramEnd"/>
      <w:r w:rsidR="0014714C">
        <w:t xml:space="preserve"> expenses, No CRF, Unit projected. Based on different CRF source selected in the control panel, it will impact the calculation of the CRF line items.</w:t>
      </w:r>
    </w:p>
    <w:p w14:paraId="7386C868" w14:textId="382B92AE" w:rsidR="003B7B97" w:rsidRDefault="003B7B97" w:rsidP="003B7B97">
      <w:pPr>
        <w:pStyle w:val="ListParagraph"/>
        <w:numPr>
          <w:ilvl w:val="0"/>
          <w:numId w:val="13"/>
        </w:numPr>
      </w:pPr>
      <w:r>
        <w:t xml:space="preserve">CRF BALANCE, BEGINNING OF YEAR: </w:t>
      </w:r>
      <w:r w:rsidR="00FE3440">
        <w:t>For the base year, it is the sum of column “Current capital reserve balance” from data source. From the rest of years, it is the “CRF BALANCE, END OF YEAR” of their previous year.</w:t>
      </w:r>
    </w:p>
    <w:p w14:paraId="7AA6E237" w14:textId="77777777" w:rsidR="0030735E" w:rsidRDefault="0030735E" w:rsidP="0030735E">
      <w:pPr>
        <w:pStyle w:val="ListParagraph"/>
      </w:pPr>
    </w:p>
    <w:p w14:paraId="573F72FF" w14:textId="6E8E1DD8" w:rsidR="0030735E" w:rsidRDefault="00495D82" w:rsidP="003B7B97">
      <w:pPr>
        <w:pStyle w:val="ListParagraph"/>
        <w:numPr>
          <w:ilvl w:val="0"/>
          <w:numId w:val="13"/>
        </w:numPr>
      </w:pPr>
      <w:r>
        <w:t xml:space="preserve">Mandatory transfer from operations: </w:t>
      </w:r>
      <w:r w:rsidR="00DB2398">
        <w:t>This is transferred from Shelter Expense to here for capital reserve. Therefore, the amount will be the same as what we have under the “Shelter Expenses” part.</w:t>
      </w:r>
    </w:p>
    <w:p w14:paraId="106E7BDC" w14:textId="77777777" w:rsidR="007A2ABE" w:rsidRDefault="007A2ABE" w:rsidP="007A2ABE">
      <w:pPr>
        <w:pStyle w:val="ListParagraph"/>
      </w:pPr>
    </w:p>
    <w:p w14:paraId="5D1BD95C" w14:textId="1424F5A1" w:rsidR="007A2ABE" w:rsidRDefault="007A2ABE" w:rsidP="003B7B97">
      <w:pPr>
        <w:pStyle w:val="ListParagraph"/>
        <w:numPr>
          <w:ilvl w:val="0"/>
          <w:numId w:val="13"/>
        </w:numPr>
      </w:pPr>
      <w:r>
        <w:t xml:space="preserve">Investment income: </w:t>
      </w:r>
      <w:r w:rsidR="0035433B">
        <w:t xml:space="preserve">If use select “yes” for “Use Custom Inflation Factors” in control panel, then we will </w:t>
      </w:r>
      <w:r w:rsidR="00074717">
        <w:t>use the “CRF BALANCE, END OF YEAR” from previous year times the customized index for that year. Otherwise, we always use the default index for calculation.</w:t>
      </w:r>
    </w:p>
    <w:p w14:paraId="56EBD552" w14:textId="77777777" w:rsidR="00074717" w:rsidRDefault="00074717" w:rsidP="00074717">
      <w:pPr>
        <w:pStyle w:val="ListParagraph"/>
      </w:pPr>
    </w:p>
    <w:p w14:paraId="68EFE9DE" w14:textId="2674F114" w:rsidR="00074717" w:rsidRDefault="00C81A03" w:rsidP="003B7B97">
      <w:pPr>
        <w:pStyle w:val="ListParagraph"/>
        <w:numPr>
          <w:ilvl w:val="0"/>
          <w:numId w:val="13"/>
        </w:numPr>
      </w:pPr>
      <w:r>
        <w:t>Contribution from 50% surplus:</w:t>
      </w:r>
    </w:p>
    <w:p w14:paraId="1F28FE1B" w14:textId="77777777" w:rsidR="00BE2B8E" w:rsidRDefault="00BE2B8E" w:rsidP="00BE2B8E">
      <w:pPr>
        <w:pStyle w:val="ListParagraph"/>
      </w:pPr>
    </w:p>
    <w:p w14:paraId="6F515B50" w14:textId="1FAC7A5A" w:rsidR="00BE2B8E" w:rsidRDefault="00442C73" w:rsidP="00442C73">
      <w:pPr>
        <w:pStyle w:val="ListParagraph"/>
        <w:numPr>
          <w:ilvl w:val="0"/>
          <w:numId w:val="14"/>
        </w:numPr>
      </w:pPr>
      <w:proofErr w:type="gramStart"/>
      <w:r>
        <w:t>First of all</w:t>
      </w:r>
      <w:proofErr w:type="gramEnd"/>
      <w:r>
        <w:t xml:space="preserve">, we need to consider “Total allowable operating expense” in row </w:t>
      </w:r>
      <w:r w:rsidR="006C14C0">
        <w:t>210</w:t>
      </w:r>
      <w:r>
        <w:t xml:space="preserve">. The calculation of this is to use number of units for each program type * the </w:t>
      </w:r>
      <w:r w:rsidR="005A2C9A">
        <w:t>operating reserve needed for</w:t>
      </w:r>
      <w:r>
        <w:t xml:space="preserve"> each program type. For example, if I have 46 Public Housing units, based on the</w:t>
      </w:r>
      <w:r w:rsidR="00CD179E">
        <w:t xml:space="preserve"> table for</w:t>
      </w:r>
      <w:r>
        <w:t xml:space="preserve"> </w:t>
      </w:r>
      <w:r w:rsidR="00CD179E">
        <w:t>“Allowable Operating Reserve per unit” in “CIF” tab</w:t>
      </w:r>
      <w:r>
        <w:t xml:space="preserve"> below, my total allowable operating expense is 46*300=</w:t>
      </w:r>
      <w:r w:rsidR="007223B9">
        <w:t xml:space="preserve"> $13,800.</w:t>
      </w:r>
    </w:p>
    <w:tbl>
      <w:tblPr>
        <w:tblStyle w:val="TableGrid"/>
        <w:tblW w:w="0" w:type="auto"/>
        <w:tblInd w:w="1080" w:type="dxa"/>
        <w:tblLook w:val="04A0" w:firstRow="1" w:lastRow="0" w:firstColumn="1" w:lastColumn="0" w:noHBand="0" w:noVBand="1"/>
      </w:tblPr>
      <w:tblGrid>
        <w:gridCol w:w="4174"/>
        <w:gridCol w:w="4096"/>
      </w:tblGrid>
      <w:tr w:rsidR="007223B9" w14:paraId="647E0D7B" w14:textId="77777777" w:rsidTr="007223B9">
        <w:tc>
          <w:tcPr>
            <w:tcW w:w="4675" w:type="dxa"/>
          </w:tcPr>
          <w:p w14:paraId="01DBEE8D" w14:textId="75D4AA92" w:rsidR="007223B9" w:rsidRDefault="007223B9" w:rsidP="007223B9">
            <w:pPr>
              <w:pStyle w:val="ListParagraph"/>
              <w:ind w:left="0"/>
            </w:pPr>
            <w:r>
              <w:t>Municipal NP (s.95)</w:t>
            </w:r>
          </w:p>
        </w:tc>
        <w:tc>
          <w:tcPr>
            <w:tcW w:w="4675" w:type="dxa"/>
          </w:tcPr>
          <w:p w14:paraId="6D5B594F" w14:textId="328626BC" w:rsidR="007223B9" w:rsidRDefault="007223B9" w:rsidP="007223B9">
            <w:pPr>
              <w:pStyle w:val="ListParagraph"/>
              <w:ind w:left="0"/>
            </w:pPr>
            <w:r>
              <w:t>300</w:t>
            </w:r>
          </w:p>
        </w:tc>
      </w:tr>
      <w:tr w:rsidR="007223B9" w14:paraId="65BF5938" w14:textId="77777777" w:rsidTr="007223B9">
        <w:tc>
          <w:tcPr>
            <w:tcW w:w="4675" w:type="dxa"/>
          </w:tcPr>
          <w:p w14:paraId="52D81A19" w14:textId="60A8B6A3" w:rsidR="007223B9" w:rsidRDefault="007223B9" w:rsidP="007223B9">
            <w:pPr>
              <w:pStyle w:val="ListParagraph"/>
              <w:ind w:left="0"/>
            </w:pPr>
            <w:r>
              <w:t>NP-LEM (s.26/27)</w:t>
            </w:r>
          </w:p>
        </w:tc>
        <w:tc>
          <w:tcPr>
            <w:tcW w:w="4675" w:type="dxa"/>
          </w:tcPr>
          <w:p w14:paraId="476E18EF" w14:textId="35EB946C" w:rsidR="007223B9" w:rsidRDefault="007223B9" w:rsidP="007223B9">
            <w:pPr>
              <w:pStyle w:val="ListParagraph"/>
              <w:ind w:left="0"/>
            </w:pPr>
            <w:r>
              <w:t>300</w:t>
            </w:r>
          </w:p>
        </w:tc>
      </w:tr>
      <w:tr w:rsidR="007223B9" w14:paraId="028D7F73" w14:textId="77777777" w:rsidTr="007223B9">
        <w:tc>
          <w:tcPr>
            <w:tcW w:w="4675" w:type="dxa"/>
          </w:tcPr>
          <w:p w14:paraId="78CEB5B9" w14:textId="57051A8A" w:rsidR="007223B9" w:rsidRDefault="009D14A1" w:rsidP="007223B9">
            <w:pPr>
              <w:pStyle w:val="ListParagraph"/>
              <w:ind w:left="0"/>
            </w:pPr>
            <w:r>
              <w:t>Private NP (s.95)</w:t>
            </w:r>
          </w:p>
        </w:tc>
        <w:tc>
          <w:tcPr>
            <w:tcW w:w="4675" w:type="dxa"/>
          </w:tcPr>
          <w:p w14:paraId="2D1E6821" w14:textId="45F4F6C0" w:rsidR="007223B9" w:rsidRDefault="009D14A1" w:rsidP="007223B9">
            <w:pPr>
              <w:pStyle w:val="ListParagraph"/>
              <w:ind w:left="0"/>
            </w:pPr>
            <w:r>
              <w:t>500</w:t>
            </w:r>
          </w:p>
        </w:tc>
      </w:tr>
      <w:tr w:rsidR="007223B9" w14:paraId="45159E95" w14:textId="77777777" w:rsidTr="007223B9">
        <w:tc>
          <w:tcPr>
            <w:tcW w:w="4675" w:type="dxa"/>
          </w:tcPr>
          <w:p w14:paraId="095F20DE" w14:textId="04BD4635" w:rsidR="007223B9" w:rsidRDefault="009D14A1" w:rsidP="007223B9">
            <w:pPr>
              <w:pStyle w:val="ListParagraph"/>
              <w:ind w:left="0"/>
            </w:pPr>
            <w:r>
              <w:t>Provincial Reform</w:t>
            </w:r>
          </w:p>
        </w:tc>
        <w:tc>
          <w:tcPr>
            <w:tcW w:w="4675" w:type="dxa"/>
          </w:tcPr>
          <w:p w14:paraId="217CA012" w14:textId="3678EF0C" w:rsidR="007223B9" w:rsidRDefault="009D14A1" w:rsidP="007223B9">
            <w:pPr>
              <w:pStyle w:val="ListParagraph"/>
              <w:ind w:left="0"/>
            </w:pPr>
            <w:r>
              <w:t>300</w:t>
            </w:r>
          </w:p>
        </w:tc>
      </w:tr>
      <w:tr w:rsidR="007223B9" w14:paraId="1CBF6F56" w14:textId="77777777" w:rsidTr="007223B9">
        <w:tc>
          <w:tcPr>
            <w:tcW w:w="4675" w:type="dxa"/>
          </w:tcPr>
          <w:p w14:paraId="697192BB" w14:textId="697D17F0" w:rsidR="007223B9" w:rsidRDefault="009D14A1" w:rsidP="007223B9">
            <w:pPr>
              <w:pStyle w:val="ListParagraph"/>
              <w:ind w:left="0"/>
            </w:pPr>
            <w:r>
              <w:t xml:space="preserve">Public Housing </w:t>
            </w:r>
          </w:p>
        </w:tc>
        <w:tc>
          <w:tcPr>
            <w:tcW w:w="4675" w:type="dxa"/>
          </w:tcPr>
          <w:p w14:paraId="4516F4F0" w14:textId="6F77E547" w:rsidR="007223B9" w:rsidRDefault="009D14A1" w:rsidP="007223B9">
            <w:pPr>
              <w:pStyle w:val="ListParagraph"/>
              <w:ind w:left="0"/>
            </w:pPr>
            <w:r>
              <w:t>300</w:t>
            </w:r>
          </w:p>
        </w:tc>
      </w:tr>
      <w:tr w:rsidR="007223B9" w14:paraId="47752D67" w14:textId="77777777" w:rsidTr="007223B9">
        <w:tc>
          <w:tcPr>
            <w:tcW w:w="4675" w:type="dxa"/>
          </w:tcPr>
          <w:p w14:paraId="771EE90A" w14:textId="604EB3FD" w:rsidR="007223B9" w:rsidRDefault="009D14A1" w:rsidP="007223B9">
            <w:pPr>
              <w:pStyle w:val="ListParagraph"/>
              <w:ind w:left="0"/>
            </w:pPr>
            <w:r>
              <w:t>Urban Native</w:t>
            </w:r>
          </w:p>
        </w:tc>
        <w:tc>
          <w:tcPr>
            <w:tcW w:w="4675" w:type="dxa"/>
          </w:tcPr>
          <w:p w14:paraId="77DF2AAD" w14:textId="47D2AAF6" w:rsidR="007223B9" w:rsidRDefault="009D14A1" w:rsidP="007223B9">
            <w:pPr>
              <w:pStyle w:val="ListParagraph"/>
              <w:ind w:left="0"/>
            </w:pPr>
            <w:r>
              <w:t>300</w:t>
            </w:r>
          </w:p>
        </w:tc>
      </w:tr>
    </w:tbl>
    <w:p w14:paraId="2B84733D" w14:textId="7D9BB9C5" w:rsidR="007223B9" w:rsidRDefault="007223B9" w:rsidP="007223B9">
      <w:pPr>
        <w:pStyle w:val="ListParagraph"/>
        <w:ind w:left="1080"/>
      </w:pPr>
    </w:p>
    <w:p w14:paraId="65540D68" w14:textId="1AFD4822" w:rsidR="001B493C" w:rsidRDefault="006C14C0" w:rsidP="006C14C0">
      <w:pPr>
        <w:pStyle w:val="ListParagraph"/>
        <w:numPr>
          <w:ilvl w:val="0"/>
          <w:numId w:val="14"/>
        </w:numPr>
      </w:pPr>
      <w:r>
        <w:t>Operating Reserve Allowance = Total Allowable Operating Reserve – Accumulated Surplus, beginning of year</w:t>
      </w:r>
      <w:r w:rsidR="00AE26FF">
        <w:t xml:space="preserve">. </w:t>
      </w:r>
      <w:r w:rsidR="00804F49">
        <w:t xml:space="preserve"> When this value is negative, it means the surplus from previous year can cover all our operating reserve, so we do not need to have a top-up. Normally, this amount will be positive at base year as there is no surplus from previous year.</w:t>
      </w:r>
    </w:p>
    <w:p w14:paraId="1FC35E91" w14:textId="49A75CFB" w:rsidR="00E64B57" w:rsidRDefault="00E64B57" w:rsidP="00E64B57">
      <w:pPr>
        <w:pStyle w:val="ListParagraph"/>
        <w:ind w:left="1080"/>
      </w:pPr>
    </w:p>
    <w:p w14:paraId="4FD7488A" w14:textId="4D80F72F" w:rsidR="00B34C4B" w:rsidRDefault="00B34C4B" w:rsidP="00B34C4B">
      <w:pPr>
        <w:pStyle w:val="ListParagraph"/>
        <w:ind w:left="1080"/>
      </w:pPr>
      <w:r>
        <w:t>Only when net shelter income is negative, we will need to consider this negative amount into our operating reserve top-up.</w:t>
      </w:r>
    </w:p>
    <w:p w14:paraId="587CAE19" w14:textId="77777777" w:rsidR="00CD179E" w:rsidRDefault="00CD179E" w:rsidP="00E64B57">
      <w:pPr>
        <w:pStyle w:val="ListParagraph"/>
        <w:ind w:left="1080"/>
      </w:pPr>
    </w:p>
    <w:p w14:paraId="49BC78D7" w14:textId="5735ADEC" w:rsidR="00CD179E" w:rsidRPr="001D61D2" w:rsidRDefault="00E64B57" w:rsidP="00CD179E">
      <w:pPr>
        <w:pStyle w:val="ListParagraph"/>
        <w:numPr>
          <w:ilvl w:val="0"/>
          <w:numId w:val="14"/>
        </w:numPr>
        <w:rPr>
          <w:b/>
          <w:i/>
        </w:rPr>
      </w:pPr>
      <w:r w:rsidRPr="001D61D2">
        <w:rPr>
          <w:b/>
          <w:i/>
        </w:rPr>
        <w:t>Remaining surplus =</w:t>
      </w:r>
      <w:r w:rsidR="003330C7" w:rsidRPr="001D61D2">
        <w:rPr>
          <w:b/>
          <w:i/>
        </w:rPr>
        <w:t xml:space="preserve"> “NET INCOME(LOSS)-Shelter”</w:t>
      </w:r>
      <w:r w:rsidRPr="001D61D2">
        <w:rPr>
          <w:b/>
          <w:i/>
        </w:rPr>
        <w:t xml:space="preserve"> – Operating Reserve Top-up (from Calculation for General Subsidy)</w:t>
      </w:r>
    </w:p>
    <w:p w14:paraId="415E2CD2" w14:textId="77777777" w:rsidR="002A70E7" w:rsidRDefault="002A70E7" w:rsidP="002A70E7">
      <w:pPr>
        <w:pStyle w:val="ListParagraph"/>
        <w:ind w:left="1080"/>
      </w:pPr>
    </w:p>
    <w:p w14:paraId="040435DE" w14:textId="601DFBBA" w:rsidR="002A70E7" w:rsidRPr="001D61D2" w:rsidRDefault="002A70E7" w:rsidP="002A70E7">
      <w:pPr>
        <w:pStyle w:val="ListParagraph"/>
        <w:numPr>
          <w:ilvl w:val="0"/>
          <w:numId w:val="14"/>
        </w:numPr>
        <w:rPr>
          <w:b/>
          <w:i/>
        </w:rPr>
      </w:pPr>
      <w:r w:rsidRPr="001D61D2">
        <w:rPr>
          <w:b/>
          <w:i/>
        </w:rPr>
        <w:t>Service Manager Share of Surplus (to be contributed to capital reserve) = Remaining surplus * 50%</w:t>
      </w:r>
    </w:p>
    <w:p w14:paraId="10DF6C58" w14:textId="77777777" w:rsidR="00CD179E" w:rsidRDefault="00CD179E" w:rsidP="00CD179E">
      <w:pPr>
        <w:pStyle w:val="ListParagraph"/>
        <w:ind w:left="1080"/>
      </w:pPr>
    </w:p>
    <w:p w14:paraId="3E774CCD" w14:textId="73CC2E9B" w:rsidR="00A00958" w:rsidRDefault="0076365A" w:rsidP="00A00958">
      <w:pPr>
        <w:pStyle w:val="ListParagraph"/>
        <w:numPr>
          <w:ilvl w:val="0"/>
          <w:numId w:val="13"/>
        </w:numPr>
      </w:pPr>
      <w:r>
        <w:t>SM top-up to per unit max: This line item is only applicable when users select “Yes” for the parameter “SM top-up to per unit max” in the control panel.</w:t>
      </w:r>
    </w:p>
    <w:p w14:paraId="7B24F0BB" w14:textId="77777777" w:rsidR="00E430AF" w:rsidRDefault="00E430AF" w:rsidP="00E430AF">
      <w:pPr>
        <w:pStyle w:val="ListParagraph"/>
      </w:pPr>
    </w:p>
    <w:p w14:paraId="2EC56176" w14:textId="6E841FE6" w:rsidR="00FB755F" w:rsidRDefault="00FB755F" w:rsidP="003B7B97">
      <w:pPr>
        <w:pStyle w:val="ListParagraph"/>
        <w:numPr>
          <w:ilvl w:val="0"/>
          <w:numId w:val="13"/>
        </w:numPr>
      </w:pPr>
      <w:r>
        <w:t xml:space="preserve">One-time funding: </w:t>
      </w:r>
      <w:r w:rsidR="006C4B4E">
        <w:t xml:space="preserve">This is only applicable when user input an amount in “One-time funding” under the control panel. </w:t>
      </w:r>
      <w:r w:rsidR="00BD1DEB">
        <w:t>This one is linked to hidden tab “</w:t>
      </w:r>
      <w:proofErr w:type="spellStart"/>
      <w:r w:rsidR="00BD1DEB">
        <w:t>CPT_OneTimeFundingEngine</w:t>
      </w:r>
      <w:proofErr w:type="spellEnd"/>
      <w:r w:rsidR="00BD1DEB">
        <w:t>”</w:t>
      </w:r>
      <w:r w:rsidR="00655864">
        <w:t xml:space="preserve">. </w:t>
      </w:r>
      <w:r w:rsidR="00A00958">
        <w:t>Based on the years for spread, we will divide the one-time funding amount to the year that is within the range of spread. For example, if the one-time funding is 50,000 and it is 2-year spread starting from 2014, then both 2014 and 2015 will have an amount of 25,000 for this line item.</w:t>
      </w:r>
    </w:p>
    <w:p w14:paraId="5DC89A16" w14:textId="77777777" w:rsidR="00E430AF" w:rsidRDefault="00E430AF" w:rsidP="00E430AF">
      <w:pPr>
        <w:pStyle w:val="ListParagraph"/>
      </w:pPr>
    </w:p>
    <w:p w14:paraId="44534BDC" w14:textId="53344306" w:rsidR="0039521D" w:rsidRPr="001D61D2" w:rsidRDefault="0039521D" w:rsidP="003B7B97">
      <w:pPr>
        <w:pStyle w:val="ListParagraph"/>
        <w:numPr>
          <w:ilvl w:val="0"/>
          <w:numId w:val="13"/>
        </w:numPr>
        <w:rPr>
          <w:b/>
          <w:i/>
        </w:rPr>
      </w:pPr>
      <w:r w:rsidRPr="001D61D2">
        <w:rPr>
          <w:b/>
          <w:i/>
        </w:rPr>
        <w:t>Total CRF Revenues = Mandatory transfer from operations + Investment income + Contribution from 50% surplus + SM top-up to per unit max + One-time funding</w:t>
      </w:r>
    </w:p>
    <w:p w14:paraId="378CD356" w14:textId="309451BA" w:rsidR="00E430AF" w:rsidRDefault="00E430AF" w:rsidP="00E430AF">
      <w:pPr>
        <w:pStyle w:val="ListParagraph"/>
      </w:pPr>
    </w:p>
    <w:p w14:paraId="02C4B7AF" w14:textId="50612E73" w:rsidR="00D17C3C" w:rsidRDefault="00E430AF" w:rsidP="00E430AF">
      <w:pPr>
        <w:pStyle w:val="ListParagraph"/>
        <w:numPr>
          <w:ilvl w:val="0"/>
          <w:numId w:val="13"/>
        </w:numPr>
      </w:pPr>
      <w:r>
        <w:t xml:space="preserve">Actuals Projected: This will be enabled when users select “Base projected” for CRF source. </w:t>
      </w:r>
      <w:r w:rsidR="00D17C3C">
        <w:t>B</w:t>
      </w:r>
      <w:r w:rsidR="00070E55">
        <w:t>ase year will be the sum of column “</w:t>
      </w:r>
      <w:r w:rsidR="007B1705">
        <w:t xml:space="preserve">Current capital demand”. </w:t>
      </w:r>
      <w:r w:rsidR="00D17C3C">
        <w:t>For the rest of the year, it is calculated based on the following formula:</w:t>
      </w:r>
    </w:p>
    <w:p w14:paraId="4FC7588A" w14:textId="77777777" w:rsidR="00D17C3C" w:rsidRDefault="00D17C3C" w:rsidP="00D17C3C">
      <w:pPr>
        <w:pStyle w:val="ListParagraph"/>
      </w:pPr>
    </w:p>
    <w:p w14:paraId="2D9C872B" w14:textId="68FA4FB7" w:rsidR="00D17C3C" w:rsidRPr="001D61D2" w:rsidRDefault="00D17C3C" w:rsidP="00D17C3C">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65D10A2D" w14:textId="706E846F" w:rsidR="00D17C3C" w:rsidRDefault="00D17C3C" w:rsidP="00D17C3C">
      <w:pPr>
        <w:pStyle w:val="ListParagraph"/>
      </w:pPr>
    </w:p>
    <w:p w14:paraId="5ADB9B3F" w14:textId="0ED10EFB" w:rsidR="00D17C3C" w:rsidRDefault="00D17C3C" w:rsidP="00E430AF">
      <w:pPr>
        <w:pStyle w:val="ListParagraph"/>
        <w:numPr>
          <w:ilvl w:val="0"/>
          <w:numId w:val="13"/>
        </w:numPr>
      </w:pPr>
      <w:r>
        <w:t xml:space="preserve">Actuals from Asset Planner: </w:t>
      </w:r>
      <w:r w:rsidR="00215B52">
        <w:t>This value comes from different data source in tab “CRT_DX_OTT”</w:t>
      </w:r>
      <w:r w:rsidR="00736164">
        <w:t>.  This will be enabled when the CRF source is either “AP- NRD Sched” or “AP- NRS Sched”</w:t>
      </w:r>
      <w:r w:rsidR="000D40AC">
        <w:t xml:space="preserve">. </w:t>
      </w:r>
      <w:r w:rsidR="00E27C6F">
        <w:t>The calculation involves following steps:</w:t>
      </w:r>
    </w:p>
    <w:p w14:paraId="5989F8D9" w14:textId="3802A3FF" w:rsidR="00E27C6F" w:rsidRDefault="00E27C6F" w:rsidP="00E27C6F">
      <w:pPr>
        <w:pStyle w:val="ListParagraph"/>
        <w:numPr>
          <w:ilvl w:val="0"/>
          <w:numId w:val="17"/>
        </w:numPr>
      </w:pPr>
      <w:r>
        <w:t>Based on the selection of slicer</w:t>
      </w:r>
      <w:r w:rsidR="00920F2C">
        <w:t xml:space="preserve">, we will have a list of </w:t>
      </w:r>
      <w:r w:rsidR="00C862A8">
        <w:t xml:space="preserve">“SM Project ID#” </w:t>
      </w:r>
      <w:r w:rsidR="00424A44">
        <w:t>from data source “</w:t>
      </w:r>
      <w:proofErr w:type="spellStart"/>
      <w:r w:rsidR="00424A44">
        <w:t>IPT_DataX</w:t>
      </w:r>
      <w:proofErr w:type="spellEnd"/>
      <w:r w:rsidR="00424A44">
        <w:t>”</w:t>
      </w:r>
    </w:p>
    <w:p w14:paraId="585A4E98" w14:textId="0C4A420E" w:rsidR="00771152" w:rsidRDefault="00771152" w:rsidP="00E27C6F">
      <w:pPr>
        <w:pStyle w:val="ListParagraph"/>
        <w:numPr>
          <w:ilvl w:val="0"/>
          <w:numId w:val="17"/>
        </w:numPr>
      </w:pPr>
      <w:r>
        <w:t>Also, we need to create a table based on second data source “CRT_DX_OTT” which lists out the cost of each sponsor in each year</w:t>
      </w:r>
    </w:p>
    <w:p w14:paraId="4AFCA8BA" w14:textId="6D1FCEB8" w:rsidR="001D07E9" w:rsidRDefault="00771152" w:rsidP="001D07E9">
      <w:pPr>
        <w:pStyle w:val="ListParagraph"/>
        <w:numPr>
          <w:ilvl w:val="0"/>
          <w:numId w:val="17"/>
        </w:numPr>
      </w:pPr>
      <w:r>
        <w:t>Then based on the “SM Project ID#” that we have, we will do a sum of the cost of all projects in each individual year. This sum is the final amount shown on the line item “Actuals from Asset Planner” in “Schedule” tab</w:t>
      </w:r>
    </w:p>
    <w:p w14:paraId="784A4EF8" w14:textId="77777777" w:rsidR="001D07E9" w:rsidRDefault="001D07E9" w:rsidP="001D07E9">
      <w:pPr>
        <w:pStyle w:val="ListParagraph"/>
        <w:ind w:left="1800"/>
      </w:pPr>
    </w:p>
    <w:p w14:paraId="787F7039" w14:textId="6124C121" w:rsidR="00AF56D4" w:rsidRDefault="008B37BB" w:rsidP="00E430AF">
      <w:pPr>
        <w:pStyle w:val="ListParagraph"/>
        <w:numPr>
          <w:ilvl w:val="0"/>
          <w:numId w:val="13"/>
        </w:numPr>
      </w:pPr>
      <w:r>
        <w:t>Projected by unit proxy</w:t>
      </w:r>
      <w:r w:rsidR="00174CBC">
        <w:t>:</w:t>
      </w:r>
      <w:r w:rsidR="00E430AF">
        <w:t xml:space="preserve"> This </w:t>
      </w:r>
      <w:r w:rsidR="001D07E9">
        <w:t xml:space="preserve">will be enabled when users select “Unit Projected” for CRF source. </w:t>
      </w:r>
      <w:r w:rsidR="0043548E">
        <w:t>The calculation is as follow:</w:t>
      </w:r>
    </w:p>
    <w:p w14:paraId="5A11FABC" w14:textId="382B5664" w:rsidR="0043548E" w:rsidRDefault="0043548E" w:rsidP="0043548E">
      <w:pPr>
        <w:pStyle w:val="ListParagraph"/>
        <w:numPr>
          <w:ilvl w:val="0"/>
          <w:numId w:val="18"/>
        </w:numPr>
      </w:pPr>
      <w:r>
        <w:t xml:space="preserve">Get the count of units </w:t>
      </w:r>
      <w:r w:rsidR="008F6EC0">
        <w:t>using sum of column “Total units” from data source</w:t>
      </w:r>
    </w:p>
    <w:p w14:paraId="719E124B" w14:textId="50B18E6B" w:rsidR="008F6EC0" w:rsidRDefault="008F6EC0" w:rsidP="0043548E">
      <w:pPr>
        <w:pStyle w:val="ListParagraph"/>
        <w:numPr>
          <w:ilvl w:val="0"/>
          <w:numId w:val="18"/>
        </w:numPr>
      </w:pPr>
      <w:r>
        <w:t>There is a capital reserve per unit amount that you can set at cell L11, use this amount times the number of units, and you will get the “Projected by unit proxy” amount at base year</w:t>
      </w:r>
    </w:p>
    <w:p w14:paraId="46B16ED2" w14:textId="448194D6" w:rsidR="00560434" w:rsidRDefault="00560434" w:rsidP="0043548E">
      <w:pPr>
        <w:pStyle w:val="ListParagraph"/>
        <w:numPr>
          <w:ilvl w:val="0"/>
          <w:numId w:val="18"/>
        </w:numPr>
      </w:pPr>
      <w:r>
        <w:t>The remaining year will be calculated by the formula below:</w:t>
      </w:r>
    </w:p>
    <w:p w14:paraId="3A37AFCF" w14:textId="77777777" w:rsidR="004363A2" w:rsidRDefault="004363A2" w:rsidP="004363A2">
      <w:pPr>
        <w:pStyle w:val="ListParagraph"/>
        <w:ind w:left="1440"/>
      </w:pPr>
    </w:p>
    <w:p w14:paraId="05D43AD4" w14:textId="2D53B6AB" w:rsidR="00E27C6F" w:rsidRDefault="004363A2" w:rsidP="00235871">
      <w:pPr>
        <w:pStyle w:val="ListParagraph"/>
        <w:ind w:left="1440"/>
      </w:pPr>
      <w:r>
        <w:t xml:space="preserve">Amount at base year *(1+default </w:t>
      </w:r>
      <w:proofErr w:type="gramStart"/>
      <w:r>
        <w:t>index)^</w:t>
      </w:r>
      <w:proofErr w:type="gramEnd"/>
      <w:r>
        <w:t>(difference between the current calculated year and base year)</w:t>
      </w:r>
    </w:p>
    <w:p w14:paraId="190AE9A9" w14:textId="77777777" w:rsidR="00D17C3C" w:rsidRDefault="00D17C3C" w:rsidP="00D17C3C">
      <w:pPr>
        <w:pStyle w:val="ListParagraph"/>
      </w:pPr>
    </w:p>
    <w:p w14:paraId="1878670A" w14:textId="03CA62B0" w:rsidR="00EF6EA9" w:rsidRDefault="00235871" w:rsidP="003B7B97">
      <w:pPr>
        <w:pStyle w:val="ListParagraph"/>
        <w:numPr>
          <w:ilvl w:val="0"/>
          <w:numId w:val="13"/>
        </w:numPr>
      </w:pPr>
      <w:r>
        <w:t>Other capital expenses/Other (variable per year): Not used</w:t>
      </w:r>
    </w:p>
    <w:p w14:paraId="06389943" w14:textId="1832F39C" w:rsidR="00D23027" w:rsidRPr="001D61D2" w:rsidRDefault="00D23027" w:rsidP="003B7B97">
      <w:pPr>
        <w:pStyle w:val="ListParagraph"/>
        <w:numPr>
          <w:ilvl w:val="0"/>
          <w:numId w:val="13"/>
        </w:numPr>
        <w:rPr>
          <w:b/>
          <w:i/>
        </w:rPr>
      </w:pPr>
      <w:r w:rsidRPr="001D61D2">
        <w:rPr>
          <w:b/>
          <w:i/>
        </w:rPr>
        <w:t>CRF BALANCE, END OF YEAR = CRF</w:t>
      </w:r>
      <w:r w:rsidR="00AE5241" w:rsidRPr="001D61D2">
        <w:rPr>
          <w:b/>
          <w:i/>
        </w:rPr>
        <w:t xml:space="preserve"> BALANCE, BEGINNING OF YEAR + Total CRF Revenues – Total CRF Expenses</w:t>
      </w:r>
      <w:r w:rsidR="000F72A5" w:rsidRPr="001D61D2">
        <w:rPr>
          <w:b/>
          <w:i/>
        </w:rPr>
        <w:t xml:space="preserve"> </w:t>
      </w:r>
    </w:p>
    <w:p w14:paraId="75B8559A" w14:textId="7E99F906" w:rsidR="00CF29B4" w:rsidRDefault="003F05C4" w:rsidP="003F05C4">
      <w:pPr>
        <w:pStyle w:val="Heading2"/>
      </w:pPr>
      <w:bookmarkStart w:id="8" w:name="_Toc518632105"/>
      <w:r>
        <w:t>SUBSIDY REVENUE</w:t>
      </w:r>
      <w:bookmarkEnd w:id="8"/>
    </w:p>
    <w:p w14:paraId="0189666D" w14:textId="1E8AB6B0" w:rsidR="00C834F1" w:rsidRDefault="00C834F1" w:rsidP="0056248F">
      <w:pPr>
        <w:pStyle w:val="ListParagraph"/>
        <w:numPr>
          <w:ilvl w:val="0"/>
          <w:numId w:val="20"/>
        </w:numPr>
      </w:pPr>
      <w:r>
        <w:t xml:space="preserve">Federal Subsidy: </w:t>
      </w:r>
      <w:r w:rsidR="0056248F">
        <w:t>The</w:t>
      </w:r>
      <w:r>
        <w:t xml:space="preserve"> amount of base year is the sum of the column “Federal share of subsidy”.  For the rest of year, it is calculated based on the following formula:</w:t>
      </w:r>
    </w:p>
    <w:p w14:paraId="0F2B1547" w14:textId="77777777" w:rsidR="00C834F1" w:rsidRDefault="00C834F1" w:rsidP="00C834F1">
      <w:pPr>
        <w:pStyle w:val="ListParagraph"/>
      </w:pPr>
    </w:p>
    <w:p w14:paraId="02DC08AF" w14:textId="2AC95BE8" w:rsidR="00C834F1" w:rsidRPr="001D61D2" w:rsidRDefault="00C834F1" w:rsidP="007E00E6">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09D79513" w14:textId="2E7EA4F3" w:rsidR="007E00E6" w:rsidRDefault="007E00E6" w:rsidP="007E00E6">
      <w:pPr>
        <w:pStyle w:val="ListParagraph"/>
      </w:pPr>
    </w:p>
    <w:p w14:paraId="0BCEDD1A" w14:textId="77777777" w:rsidR="00C834F1" w:rsidRDefault="00C834F1" w:rsidP="00C834F1">
      <w:pPr>
        <w:pStyle w:val="ListParagraph"/>
      </w:pPr>
    </w:p>
    <w:p w14:paraId="6C94F2F5" w14:textId="2EB1F5FB" w:rsidR="009B4314" w:rsidRDefault="001F23BB" w:rsidP="001F0A2E">
      <w:pPr>
        <w:pStyle w:val="ListParagraph"/>
        <w:numPr>
          <w:ilvl w:val="0"/>
          <w:numId w:val="20"/>
        </w:numPr>
      </w:pPr>
      <w:r>
        <w:t xml:space="preserve">RGI Subsidy: </w:t>
      </w:r>
      <w:r w:rsidR="009B4314">
        <w:t>The amount of base year is the sum of the column “</w:t>
      </w:r>
      <w:r w:rsidR="002C4F09">
        <w:t>Municipal subsidy, RGI</w:t>
      </w:r>
      <w:r w:rsidR="009B4314">
        <w:t>”.  For the rest of year, it is calculated based on the following formula:</w:t>
      </w:r>
    </w:p>
    <w:p w14:paraId="29399272" w14:textId="77777777" w:rsidR="009B4314" w:rsidRDefault="009B4314" w:rsidP="009B4314">
      <w:pPr>
        <w:pStyle w:val="ListParagraph"/>
      </w:pPr>
    </w:p>
    <w:p w14:paraId="20B3F98E" w14:textId="337983C5" w:rsidR="009B4314" w:rsidRPr="001D61D2" w:rsidRDefault="009B4314" w:rsidP="009B4314">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57C0E578" w14:textId="77777777" w:rsidR="009B4314" w:rsidRDefault="009B4314" w:rsidP="009B4314">
      <w:pPr>
        <w:pStyle w:val="ListParagraph"/>
      </w:pPr>
    </w:p>
    <w:p w14:paraId="35CF53FA" w14:textId="4FD7FC37" w:rsidR="00DF0CBD" w:rsidRDefault="00F13BB3" w:rsidP="00DF0CBD">
      <w:pPr>
        <w:pStyle w:val="ListParagraph"/>
        <w:numPr>
          <w:ilvl w:val="0"/>
          <w:numId w:val="20"/>
        </w:numPr>
      </w:pPr>
      <w:r>
        <w:t xml:space="preserve">Property Tax Subsidy: </w:t>
      </w:r>
      <w:r w:rsidR="00DF0CBD">
        <w:t xml:space="preserve">The amount of base year is the sum of the column “Municipal subsidy, </w:t>
      </w:r>
      <w:r>
        <w:t>property tax</w:t>
      </w:r>
      <w:r w:rsidR="00DF0CBD">
        <w:t>”.  For the rest of year, it is calculated based on the following formula:</w:t>
      </w:r>
    </w:p>
    <w:p w14:paraId="6DD570D7" w14:textId="77777777" w:rsidR="00DF0CBD" w:rsidRDefault="00DF0CBD" w:rsidP="00DF0CBD">
      <w:pPr>
        <w:pStyle w:val="ListParagraph"/>
      </w:pPr>
    </w:p>
    <w:p w14:paraId="3056CBD6" w14:textId="0CD6A198" w:rsidR="00DF0CBD" w:rsidRPr="001D61D2" w:rsidRDefault="00DF0CBD" w:rsidP="00DF0CBD">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2101F752" w14:textId="77777777" w:rsidR="00DF0CBD" w:rsidRDefault="00DF0CBD" w:rsidP="00DF0CBD">
      <w:pPr>
        <w:pStyle w:val="ListParagraph"/>
      </w:pPr>
    </w:p>
    <w:p w14:paraId="0FB05405" w14:textId="4BFD98B1" w:rsidR="003650E8" w:rsidRDefault="008B133F" w:rsidP="003650E8">
      <w:pPr>
        <w:pStyle w:val="ListParagraph"/>
        <w:numPr>
          <w:ilvl w:val="0"/>
          <w:numId w:val="20"/>
        </w:numPr>
      </w:pPr>
      <w:r>
        <w:t xml:space="preserve">Operating Subsidy: </w:t>
      </w:r>
      <w:r w:rsidR="003650E8">
        <w:t>The amount of base year is the sum of the column “Municipal subsidy, operating”.  For the rest of year, it is calculated based on the following formula:</w:t>
      </w:r>
    </w:p>
    <w:p w14:paraId="7A94000E" w14:textId="77777777" w:rsidR="003650E8" w:rsidRDefault="003650E8" w:rsidP="003650E8">
      <w:pPr>
        <w:pStyle w:val="ListParagraph"/>
      </w:pPr>
    </w:p>
    <w:p w14:paraId="1AD31ACA" w14:textId="2FB77B0B" w:rsidR="003650E8" w:rsidRPr="001D61D2" w:rsidRDefault="003650E8" w:rsidP="003650E8">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2CF82FA9" w14:textId="77777777" w:rsidR="003650E8" w:rsidRDefault="003650E8" w:rsidP="003650E8">
      <w:pPr>
        <w:pStyle w:val="ListParagraph"/>
      </w:pPr>
    </w:p>
    <w:p w14:paraId="73F36605" w14:textId="281F15FC" w:rsidR="003F05C4" w:rsidRPr="001D61D2" w:rsidRDefault="000331A7" w:rsidP="001F0A2E">
      <w:pPr>
        <w:pStyle w:val="ListParagraph"/>
        <w:numPr>
          <w:ilvl w:val="0"/>
          <w:numId w:val="20"/>
        </w:numPr>
        <w:rPr>
          <w:b/>
          <w:i/>
        </w:rPr>
      </w:pPr>
      <w:proofErr w:type="spellStart"/>
      <w:r w:rsidRPr="001D61D2">
        <w:rPr>
          <w:b/>
          <w:i/>
        </w:rPr>
        <w:t>SubTotal</w:t>
      </w:r>
      <w:proofErr w:type="spellEnd"/>
      <w:r w:rsidRPr="001D61D2">
        <w:rPr>
          <w:b/>
          <w:i/>
        </w:rPr>
        <w:t xml:space="preserve"> Municipal Subsidy = RGI Subsidy + Property Tax Subsidy + Operating Subsidy</w:t>
      </w:r>
    </w:p>
    <w:p w14:paraId="494F9FDE" w14:textId="0F5049F2" w:rsidR="00A3500C" w:rsidRDefault="00A3500C" w:rsidP="00A3500C">
      <w:pPr>
        <w:pStyle w:val="ListParagraph"/>
        <w:numPr>
          <w:ilvl w:val="0"/>
          <w:numId w:val="20"/>
        </w:numPr>
      </w:pPr>
      <w:r>
        <w:t>Additional Municipal Subsidy: The amount of base year is the sum of the column “</w:t>
      </w:r>
      <w:r w:rsidRPr="00A3500C">
        <w:t>Municipal subsidy, additional</w:t>
      </w:r>
      <w:r>
        <w:t>”.  For the rest of year, it is calculated based on the following formula:</w:t>
      </w:r>
    </w:p>
    <w:p w14:paraId="0EB4DF9E" w14:textId="77777777" w:rsidR="00A3500C" w:rsidRDefault="00A3500C" w:rsidP="00A3500C">
      <w:pPr>
        <w:pStyle w:val="ListParagraph"/>
      </w:pPr>
    </w:p>
    <w:p w14:paraId="4BF36D51" w14:textId="4945ABDE" w:rsidR="00A3500C" w:rsidRDefault="00A3500C" w:rsidP="00A3500C">
      <w:pPr>
        <w:pStyle w:val="ListParagraph"/>
        <w:rPr>
          <w:b/>
          <w:i/>
        </w:rPr>
      </w:pPr>
      <w:r w:rsidRPr="001D61D2">
        <w:rPr>
          <w:b/>
          <w:i/>
        </w:rPr>
        <w:t xml:space="preserve">Amount at base year *(1+default </w:t>
      </w:r>
      <w:proofErr w:type="gramStart"/>
      <w:r w:rsidRPr="001D61D2">
        <w:rPr>
          <w:b/>
          <w:i/>
        </w:rPr>
        <w:t>index)^</w:t>
      </w:r>
      <w:proofErr w:type="gramEnd"/>
      <w:r w:rsidRPr="001D61D2">
        <w:rPr>
          <w:b/>
          <w:i/>
        </w:rPr>
        <w:t>(difference between the current calculated year and base year)</w:t>
      </w:r>
    </w:p>
    <w:p w14:paraId="10DF43C9" w14:textId="77777777" w:rsidR="001D61D2" w:rsidRPr="001D61D2" w:rsidRDefault="001D61D2" w:rsidP="00A3500C">
      <w:pPr>
        <w:pStyle w:val="ListParagraph"/>
        <w:rPr>
          <w:b/>
          <w:i/>
        </w:rPr>
      </w:pPr>
    </w:p>
    <w:p w14:paraId="4B9B2D9A" w14:textId="60382B38" w:rsidR="00A3500C" w:rsidRDefault="003D5797" w:rsidP="001F0A2E">
      <w:pPr>
        <w:pStyle w:val="ListParagraph"/>
        <w:numPr>
          <w:ilvl w:val="0"/>
          <w:numId w:val="20"/>
        </w:numPr>
      </w:pPr>
      <w:r>
        <w:t xml:space="preserve">Mortgage deduction and Carry-over </w:t>
      </w:r>
      <w:proofErr w:type="gramStart"/>
      <w:r>
        <w:t>Adj. :</w:t>
      </w:r>
      <w:proofErr w:type="gramEnd"/>
      <w:r>
        <w:t xml:space="preserve"> </w:t>
      </w:r>
      <w:r w:rsidR="00B26022">
        <w:t>This is the annual payment of primary for mortgage on each EOA year.</w:t>
      </w:r>
      <w:r w:rsidR="00370E3F">
        <w:t xml:space="preserve"> This will be negative value.</w:t>
      </w:r>
    </w:p>
    <w:p w14:paraId="65DEDBD5" w14:textId="77777777" w:rsidR="001D61D2" w:rsidRDefault="001D61D2" w:rsidP="001D61D2">
      <w:pPr>
        <w:pStyle w:val="ListParagraph"/>
      </w:pPr>
    </w:p>
    <w:p w14:paraId="33E09337" w14:textId="31A46813" w:rsidR="00370E3F" w:rsidRDefault="00370E3F" w:rsidP="001F0A2E">
      <w:pPr>
        <w:pStyle w:val="ListParagraph"/>
        <w:numPr>
          <w:ilvl w:val="0"/>
          <w:numId w:val="20"/>
        </w:numPr>
        <w:rPr>
          <w:b/>
          <w:i/>
        </w:rPr>
      </w:pPr>
      <w:r w:rsidRPr="001D61D2">
        <w:rPr>
          <w:b/>
          <w:i/>
        </w:rPr>
        <w:lastRenderedPageBreak/>
        <w:t>Total Subsidy (Fed + SM Share) = Federal Subsidy + Subtotal Municipal Subsidy + Additional Municipal Subsidy + Mortgage deduction and Carry-over Adj.</w:t>
      </w:r>
    </w:p>
    <w:p w14:paraId="36B3A1DF" w14:textId="77777777" w:rsidR="001D61D2" w:rsidRPr="001D61D2" w:rsidRDefault="001D61D2" w:rsidP="001D61D2">
      <w:pPr>
        <w:pStyle w:val="ListParagraph"/>
        <w:rPr>
          <w:b/>
          <w:i/>
        </w:rPr>
      </w:pPr>
    </w:p>
    <w:p w14:paraId="0B3977BF" w14:textId="77777777" w:rsidR="001D61D2" w:rsidRPr="001D61D2" w:rsidRDefault="001D61D2" w:rsidP="001D61D2">
      <w:pPr>
        <w:pStyle w:val="ListParagraph"/>
        <w:rPr>
          <w:b/>
          <w:i/>
        </w:rPr>
      </w:pPr>
    </w:p>
    <w:p w14:paraId="12DD2716" w14:textId="0D45EC30" w:rsidR="00945E44" w:rsidRDefault="00945E44" w:rsidP="00945E44">
      <w:pPr>
        <w:pStyle w:val="Heading2"/>
      </w:pPr>
      <w:bookmarkStart w:id="9" w:name="_Toc518632106"/>
      <w:r>
        <w:t>Accumulated Surplus (Deficit)</w:t>
      </w:r>
      <w:bookmarkEnd w:id="9"/>
    </w:p>
    <w:p w14:paraId="4E82AA21" w14:textId="742CCDB6" w:rsidR="00945E44" w:rsidRDefault="00F9793E" w:rsidP="00C17C0E">
      <w:pPr>
        <w:pStyle w:val="ListParagraph"/>
        <w:numPr>
          <w:ilvl w:val="0"/>
          <w:numId w:val="22"/>
        </w:numPr>
      </w:pPr>
      <w:r>
        <w:t xml:space="preserve">BALANCE, BEGINNING OF YEAR: </w:t>
      </w:r>
      <w:r w:rsidR="00F84B64">
        <w:t xml:space="preserve">The amount of base year is the sum of the column </w:t>
      </w:r>
      <w:r w:rsidR="00C17C0E">
        <w:t>“</w:t>
      </w:r>
      <w:r w:rsidR="00C17C0E" w:rsidRPr="00C17C0E">
        <w:t>Operating Reserve Fund, beginning of the year balance</w:t>
      </w:r>
      <w:r w:rsidR="00C17C0E">
        <w:t>”</w:t>
      </w:r>
      <w:r w:rsidR="008E722C">
        <w:t>.</w:t>
      </w:r>
      <w:r w:rsidR="005760E8">
        <w:t xml:space="preserve"> The amount for other years is the “BALANCE, END OF YEAR” for accumulated surplus of their previous year.</w:t>
      </w:r>
    </w:p>
    <w:p w14:paraId="75DCC277" w14:textId="6B9F3894" w:rsidR="0060738F" w:rsidRDefault="005975BB" w:rsidP="00C17C0E">
      <w:pPr>
        <w:pStyle w:val="ListParagraph"/>
        <w:numPr>
          <w:ilvl w:val="0"/>
          <w:numId w:val="22"/>
        </w:numPr>
      </w:pPr>
      <w:r>
        <w:t>Adjustments: not used</w:t>
      </w:r>
    </w:p>
    <w:p w14:paraId="564A66A6" w14:textId="50C1E612" w:rsidR="005975BB" w:rsidRDefault="005975BB" w:rsidP="00C17C0E">
      <w:pPr>
        <w:pStyle w:val="ListParagraph"/>
        <w:numPr>
          <w:ilvl w:val="0"/>
          <w:numId w:val="22"/>
        </w:numPr>
      </w:pPr>
      <w:r>
        <w:t xml:space="preserve">ADJUSTED BEGINNING BALANCE: This is the same as “BALANCE, BEGINNING OF YEAR” as </w:t>
      </w:r>
      <w:proofErr w:type="gramStart"/>
      <w:r>
        <w:t>Adjustments</w:t>
      </w:r>
      <w:proofErr w:type="gramEnd"/>
      <w:r>
        <w:t xml:space="preserve"> line item is not used now.</w:t>
      </w:r>
    </w:p>
    <w:p w14:paraId="39A42F5C" w14:textId="106692D2" w:rsidR="005975BB" w:rsidRDefault="007C0312" w:rsidP="00C17C0E">
      <w:pPr>
        <w:pStyle w:val="ListParagraph"/>
        <w:numPr>
          <w:ilvl w:val="0"/>
          <w:numId w:val="22"/>
        </w:numPr>
      </w:pPr>
      <w:r>
        <w:t xml:space="preserve">Net income for the year: </w:t>
      </w:r>
      <w:r w:rsidR="00E92741">
        <w:t>This is the same as previous line item in row 70 “NET INCOME (LOSS) – TOTAL”</w:t>
      </w:r>
    </w:p>
    <w:p w14:paraId="4A1B4A5F" w14:textId="7B049C51" w:rsidR="00302430" w:rsidRDefault="00A06755" w:rsidP="00C17C0E">
      <w:pPr>
        <w:pStyle w:val="ListParagraph"/>
        <w:numPr>
          <w:ilvl w:val="0"/>
          <w:numId w:val="22"/>
        </w:numPr>
      </w:pPr>
      <w:r>
        <w:t>“</w:t>
      </w:r>
      <w:r w:rsidR="00302430">
        <w:t>Less: SM share of surplus contributed to CRF</w:t>
      </w:r>
      <w:r>
        <w:t>”: This is the negative of the line item “Contribution from 50% surplus” at row 79.</w:t>
      </w:r>
    </w:p>
    <w:p w14:paraId="093EF6EC" w14:textId="260F8C04" w:rsidR="00266445" w:rsidRDefault="00CD0CB6" w:rsidP="001E0989">
      <w:pPr>
        <w:pStyle w:val="ListParagraph"/>
        <w:numPr>
          <w:ilvl w:val="0"/>
          <w:numId w:val="22"/>
        </w:numPr>
      </w:pPr>
      <w:r>
        <w:t>“</w:t>
      </w:r>
      <w:proofErr w:type="gramStart"/>
      <w:r>
        <w:t>Less :</w:t>
      </w:r>
      <w:proofErr w:type="gramEnd"/>
      <w:r>
        <w:t xml:space="preserve"> Surplus repayment to SM”: </w:t>
      </w:r>
      <w:r w:rsidR="00D56C78">
        <w:t>If users select “Yes” for “SM Directive 2008-05”, then we will take the “Net Surplus Repayable to Service Manager” amount calculated per SM Directive 2008-05 method. Otherwise, we will take the amount calculated using HSA method.</w:t>
      </w:r>
    </w:p>
    <w:p w14:paraId="3D7B29C1" w14:textId="38FDA2B6" w:rsidR="001E0989" w:rsidRDefault="001E0989" w:rsidP="001E0989">
      <w:pPr>
        <w:pStyle w:val="ListParagraph"/>
      </w:pPr>
    </w:p>
    <w:p w14:paraId="7557F289" w14:textId="67BF5CF0" w:rsidR="001E0989" w:rsidRDefault="001E0989" w:rsidP="001E0989">
      <w:pPr>
        <w:pStyle w:val="ListParagraph"/>
        <w:numPr>
          <w:ilvl w:val="0"/>
          <w:numId w:val="23"/>
        </w:numPr>
      </w:pPr>
      <w:r>
        <w:t xml:space="preserve">HSA method: </w:t>
      </w:r>
      <w:r w:rsidR="00F62969">
        <w:t xml:space="preserve">Based on the “% of SM Share of Surplus” (Normally it is 50%, but we can adjust the percentage in “CIF” tab row 82 as well), it will be 50% times the Remaining Surplus. </w:t>
      </w:r>
    </w:p>
    <w:p w14:paraId="2F9A8786" w14:textId="26FF4058" w:rsidR="00266445" w:rsidRPr="00F62969" w:rsidRDefault="00F62969" w:rsidP="00266445">
      <w:pPr>
        <w:pStyle w:val="ListParagraph"/>
        <w:numPr>
          <w:ilvl w:val="0"/>
          <w:numId w:val="23"/>
        </w:numPr>
        <w:rPr>
          <w:color w:val="FF0000"/>
        </w:rPr>
      </w:pPr>
      <w:r w:rsidRPr="00F62969">
        <w:rPr>
          <w:color w:val="FF0000"/>
        </w:rPr>
        <w:t>SM Directive 2008-05:  to be confirmed?</w:t>
      </w:r>
    </w:p>
    <w:p w14:paraId="3720B609" w14:textId="1C2C1F29" w:rsidR="00266445" w:rsidRDefault="00F62969" w:rsidP="00C17C0E">
      <w:pPr>
        <w:pStyle w:val="ListParagraph"/>
        <w:numPr>
          <w:ilvl w:val="0"/>
          <w:numId w:val="22"/>
        </w:numPr>
      </w:pPr>
      <w:r>
        <w:t>Other (variable per year): not used</w:t>
      </w:r>
    </w:p>
    <w:p w14:paraId="63B41B12" w14:textId="5AA56A76" w:rsidR="00462D28" w:rsidRPr="001D61D2" w:rsidRDefault="00462D28" w:rsidP="00C17C0E">
      <w:pPr>
        <w:pStyle w:val="ListParagraph"/>
        <w:numPr>
          <w:ilvl w:val="0"/>
          <w:numId w:val="22"/>
        </w:numPr>
        <w:rPr>
          <w:b/>
          <w:i/>
        </w:rPr>
      </w:pPr>
      <w:r w:rsidRPr="001D61D2">
        <w:rPr>
          <w:b/>
          <w:i/>
        </w:rPr>
        <w:t xml:space="preserve">BALANCE, END OF YEAR = ADJUSTED BEGINNING BALANCE + Net income for the year + </w:t>
      </w:r>
      <w:proofErr w:type="spellStart"/>
      <w:r w:rsidRPr="001D61D2">
        <w:rPr>
          <w:b/>
          <w:i/>
        </w:rPr>
        <w:t>Less:SM</w:t>
      </w:r>
      <w:proofErr w:type="spellEnd"/>
      <w:r w:rsidRPr="001D61D2">
        <w:rPr>
          <w:b/>
          <w:i/>
        </w:rPr>
        <w:t xml:space="preserve"> </w:t>
      </w:r>
      <w:r w:rsidR="00EB44ED" w:rsidRPr="001D61D2">
        <w:rPr>
          <w:b/>
          <w:i/>
        </w:rPr>
        <w:t>s</w:t>
      </w:r>
      <w:r w:rsidRPr="001D61D2">
        <w:rPr>
          <w:b/>
          <w:i/>
        </w:rPr>
        <w:t>hare of</w:t>
      </w:r>
      <w:r w:rsidR="00EB44ED" w:rsidRPr="001D61D2">
        <w:rPr>
          <w:b/>
          <w:i/>
        </w:rPr>
        <w:t xml:space="preserve"> surplus contributed to CRF + Less: Surplus repayment to SM + Other (variable per year)</w:t>
      </w:r>
      <w:r w:rsidRPr="001D61D2">
        <w:rPr>
          <w:b/>
          <w:i/>
        </w:rPr>
        <w:t xml:space="preserve"> </w:t>
      </w:r>
    </w:p>
    <w:p w14:paraId="7419220F" w14:textId="77777777" w:rsidR="00CE1439" w:rsidRPr="00CE1439" w:rsidRDefault="00CE1439" w:rsidP="000F5EC7"/>
    <w:p w14:paraId="774C9FDB" w14:textId="0F62E847" w:rsidR="002E0365" w:rsidRDefault="00E802B2" w:rsidP="00E802B2">
      <w:pPr>
        <w:pStyle w:val="Heading1"/>
      </w:pPr>
      <w:bookmarkStart w:id="10" w:name="_Toc518632107"/>
      <w:r>
        <w:t>Existing control panel options</w:t>
      </w:r>
      <w:bookmarkEnd w:id="10"/>
    </w:p>
    <w:p w14:paraId="6075A70F" w14:textId="5EC0FA2D" w:rsidR="00106C1B" w:rsidRPr="00106C1B" w:rsidRDefault="00C567E6" w:rsidP="00106C1B">
      <w:r>
        <w:rPr>
          <w:noProof/>
          <w:lang w:val="en-US"/>
        </w:rPr>
        <w:drawing>
          <wp:inline distT="0" distB="0" distL="0" distR="0" wp14:anchorId="2C4A88C2" wp14:editId="28258E70">
            <wp:extent cx="594360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7360"/>
                    </a:xfrm>
                    <a:prstGeom prst="rect">
                      <a:avLst/>
                    </a:prstGeom>
                  </pic:spPr>
                </pic:pic>
              </a:graphicData>
            </a:graphic>
          </wp:inline>
        </w:drawing>
      </w:r>
    </w:p>
    <w:p w14:paraId="519D98F5" w14:textId="6767A7EB" w:rsidR="00E802B2" w:rsidRDefault="007910F8" w:rsidP="007910F8">
      <w:pPr>
        <w:pStyle w:val="ListParagraph"/>
        <w:numPr>
          <w:ilvl w:val="0"/>
          <w:numId w:val="8"/>
        </w:numPr>
      </w:pPr>
      <w:r>
        <w:t>Variability Rating Tolerance: This number is considered when we calculate the variability rating of the project. It is the maximum acceptable negative amount for either net income or capital reserve balance.</w:t>
      </w:r>
    </w:p>
    <w:p w14:paraId="0EA1DFCE" w14:textId="4D64B9D5" w:rsidR="004673F7" w:rsidRDefault="004673F7" w:rsidP="007910F8">
      <w:pPr>
        <w:pStyle w:val="ListParagraph"/>
        <w:numPr>
          <w:ilvl w:val="0"/>
          <w:numId w:val="8"/>
        </w:numPr>
      </w:pPr>
      <w:r>
        <w:lastRenderedPageBreak/>
        <w:t xml:space="preserve">Use Custom Inflation Factors: If </w:t>
      </w:r>
      <w:r w:rsidR="00B47B0C">
        <w:t>users select “Yes”, they should go to “</w:t>
      </w:r>
      <w:r w:rsidR="00B47B0C" w:rsidRPr="00C66565">
        <w:rPr>
          <w:b/>
        </w:rPr>
        <w:t>CIF</w:t>
      </w:r>
      <w:r w:rsidR="00B47B0C">
        <w:t>” tab and adjust the factor like “Investment income (include interest)” for each year. Otherwise, calculation will take default value.</w:t>
      </w:r>
    </w:p>
    <w:p w14:paraId="2601C759" w14:textId="77777777" w:rsidR="004179C6" w:rsidRDefault="009406E8" w:rsidP="007910F8">
      <w:pPr>
        <w:pStyle w:val="ListParagraph"/>
        <w:numPr>
          <w:ilvl w:val="0"/>
          <w:numId w:val="8"/>
        </w:numPr>
      </w:pPr>
      <w:r>
        <w:t>Subsidy less mortgage at EOA: When users do not want to use subsidy breakdown to calculate their subsidy revenue, and they choose “yes” for this control, the base year subsidy revenue will be the sum of the “Current Subsidy Revenue” column in “</w:t>
      </w:r>
      <w:proofErr w:type="spellStart"/>
      <w:r>
        <w:t>IP_DataX</w:t>
      </w:r>
      <w:proofErr w:type="spellEnd"/>
      <w:r>
        <w:t>” tab.</w:t>
      </w:r>
    </w:p>
    <w:p w14:paraId="2DE59BF9" w14:textId="6ECBF4D0" w:rsidR="004673F7" w:rsidRDefault="00BD1F13" w:rsidP="004673F7">
      <w:pPr>
        <w:pStyle w:val="ListParagraph"/>
        <w:numPr>
          <w:ilvl w:val="0"/>
          <w:numId w:val="8"/>
        </w:numPr>
      </w:pPr>
      <w:r>
        <w:t>Use Subsidy breakdown: This selection will impact the number for line item “Subsidy Revenue (less mortgage at EOA)”. If “yes”, “Subsidy Revenue (less mortgage at EOA)” will equal to Total Subsidy</w:t>
      </w:r>
      <w:r w:rsidR="001121D4">
        <w:t xml:space="preserve"> </w:t>
      </w:r>
      <w:r>
        <w:t xml:space="preserve">(Fed + SM Share). </w:t>
      </w:r>
    </w:p>
    <w:p w14:paraId="74CC408D" w14:textId="377C9BAA" w:rsidR="007236A3" w:rsidRDefault="00881731" w:rsidP="0051360D">
      <w:pPr>
        <w:pStyle w:val="ListParagraph"/>
        <w:numPr>
          <w:ilvl w:val="0"/>
          <w:numId w:val="8"/>
        </w:numPr>
      </w:pPr>
      <w:r>
        <w:t xml:space="preserve">SM top-up to per unit max: If users select “yes” </w:t>
      </w:r>
      <w:r w:rsidR="00D75888">
        <w:t xml:space="preserve">for this parameter, </w:t>
      </w:r>
      <w:r w:rsidR="007236A3">
        <w:t>line item “SM top-up to per unit max” will be calculated as “Projected by unit proxy” -Mandatory transfer from operations (if mandatory transfer from operations is sufficient to cover the expense projected by unit proxy based on a fixed amount per unit we set, in this case $1,800)</w:t>
      </w:r>
    </w:p>
    <w:p w14:paraId="1BABE481" w14:textId="192923DE" w:rsidR="007236A3" w:rsidRDefault="003F4884" w:rsidP="00515938">
      <w:pPr>
        <w:pStyle w:val="ListParagraph"/>
        <w:numPr>
          <w:ilvl w:val="0"/>
          <w:numId w:val="8"/>
        </w:numPr>
      </w:pPr>
      <w:r>
        <w:t>One-time funding to CRF: This parameter is to set the starting year for the one-time funding.</w:t>
      </w:r>
    </w:p>
    <w:p w14:paraId="0760CE84" w14:textId="1E3022AF" w:rsidR="003F4884" w:rsidRDefault="003F4884" w:rsidP="00515938">
      <w:pPr>
        <w:pStyle w:val="ListParagraph"/>
        <w:numPr>
          <w:ilvl w:val="0"/>
          <w:numId w:val="8"/>
        </w:numPr>
      </w:pPr>
      <w:r>
        <w:t>One-time funding: This is to enter the amount for one-time funding.</w:t>
      </w:r>
    </w:p>
    <w:p w14:paraId="37AF513E" w14:textId="738AC28A" w:rsidR="009B4314" w:rsidRPr="00515938" w:rsidRDefault="009B4314" w:rsidP="00515938">
      <w:pPr>
        <w:pStyle w:val="ListParagraph"/>
        <w:numPr>
          <w:ilvl w:val="0"/>
          <w:numId w:val="8"/>
        </w:numPr>
      </w:pPr>
      <w:r>
        <w:t>Subsidy using funding formula: If users select “Yes” for this parameter, the formulas for calculating “RGI Subsidy” and “Operating Subsidy” will be different.</w:t>
      </w:r>
    </w:p>
    <w:p w14:paraId="722A70A7" w14:textId="74156111" w:rsidR="007910F8" w:rsidRDefault="007910F8" w:rsidP="007910F8">
      <w:pPr>
        <w:pStyle w:val="Heading1"/>
      </w:pPr>
      <w:bookmarkStart w:id="11" w:name="_Toc518632108"/>
      <w:r>
        <w:t>Logic for variability rating</w:t>
      </w:r>
      <w:bookmarkEnd w:id="11"/>
    </w:p>
    <w:p w14:paraId="57BF2708" w14:textId="3049029B" w:rsidR="007A4E92" w:rsidRDefault="007A4E92" w:rsidP="007A4E92"/>
    <w:p w14:paraId="7BF5CFA5" w14:textId="5E6C7B01" w:rsidR="007A4E92" w:rsidRDefault="007A4E92" w:rsidP="007A4E92">
      <w:r>
        <w:t xml:space="preserve">In the table, there are three rows. First row is the base year, which is calculated by the minimum value of the column “Data Reporting Year (base year)” for the current selected programs. </w:t>
      </w:r>
      <w:r w:rsidR="003D7FAE">
        <w:t xml:space="preserve">Second row is the current year. Third year will be the EOA year range for the current selected programs. Users can choose to see multiple programs at the same time. </w:t>
      </w:r>
    </w:p>
    <w:p w14:paraId="02B7BDAB" w14:textId="55C0A99E" w:rsidR="004A161B" w:rsidRDefault="004A161B" w:rsidP="007A4E92">
      <w:r>
        <w:t xml:space="preserve">The blue table </w:t>
      </w:r>
      <w:r w:rsidR="00592FB4">
        <w:t xml:space="preserve">is hidden </w:t>
      </w:r>
      <w:r>
        <w:t xml:space="preserve">from row 16 to row 18 are for the </w:t>
      </w:r>
      <w:proofErr w:type="spellStart"/>
      <w:r>
        <w:t>sumifs</w:t>
      </w:r>
      <w:proofErr w:type="spellEnd"/>
      <w:r>
        <w:t xml:space="preserve"> statement written to calculate the revenue, expense, net income(loss), capital reserve balance for different years as stated above. For example, for EOA year range, we can only sum the revenue for the years that has EOA.</w:t>
      </w:r>
    </w:p>
    <w:p w14:paraId="134EFDD6" w14:textId="70776FDA" w:rsidR="003D7FAE" w:rsidRDefault="003D7FAE" w:rsidP="007A4E92">
      <w:r>
        <w:t xml:space="preserve">Under the Project Variability part, </w:t>
      </w:r>
      <w:r w:rsidR="004A161B">
        <w:t xml:space="preserve">Revenue number comes from line item “Total Revenue”. Expense number comes from line item “Total Shelter Expenses”. Net income(loss) number comes from line item “NET INCOME(LOSS) – TOTAL”.  </w:t>
      </w:r>
    </w:p>
    <w:p w14:paraId="310AFF39" w14:textId="47039403" w:rsidR="004A161B" w:rsidRDefault="004A161B" w:rsidP="007A4E92">
      <w:r>
        <w:t xml:space="preserve">Under the Capital Reserves part, Starting Balance number comes from line item “CRF BALANCE, BEGINNING OF YEAR”. Revenue number comes from the line item “Total </w:t>
      </w:r>
      <w:r w:rsidR="00281AA6">
        <w:t>CRF Revenues”. Expense number comes from the line item “Total CRF Expenses”. End Balance number comes from the line item “CRF BALANCE, END OF YEAR”.</w:t>
      </w:r>
    </w:p>
    <w:p w14:paraId="300527B9" w14:textId="1D879C63" w:rsidR="00281AA6" w:rsidRPr="007A4E92" w:rsidRDefault="00281AA6" w:rsidP="007A4E92">
      <w:r>
        <w:t>The rating is evaluated by the logic below:</w:t>
      </w:r>
    </w:p>
    <w:p w14:paraId="6130A3C3" w14:textId="77777777" w:rsidR="007910F8" w:rsidRDefault="007910F8" w:rsidP="007910F8">
      <w:pPr>
        <w:pStyle w:val="ListParagraph"/>
        <w:numPr>
          <w:ilvl w:val="0"/>
          <w:numId w:val="10"/>
        </w:numPr>
      </w:pPr>
      <w:r>
        <w:t>Rating 1: Net Income &gt; = (0-Variability Rating Tolerance) and End Balance for Capital Reserve &gt;= (0-Variability Rating Tolerance)</w:t>
      </w:r>
    </w:p>
    <w:p w14:paraId="22075BAA" w14:textId="77777777" w:rsidR="007910F8" w:rsidRDefault="007910F8" w:rsidP="007910F8">
      <w:pPr>
        <w:pStyle w:val="ListParagraph"/>
      </w:pPr>
    </w:p>
    <w:p w14:paraId="0F544AD9" w14:textId="77777777" w:rsidR="007910F8" w:rsidRDefault="007910F8" w:rsidP="007910F8">
      <w:pPr>
        <w:pStyle w:val="ListParagraph"/>
      </w:pPr>
      <w:r>
        <w:t>Both Net income and capital reserve balance are good.</w:t>
      </w:r>
    </w:p>
    <w:p w14:paraId="2FC82240" w14:textId="77777777" w:rsidR="007910F8" w:rsidRDefault="007910F8" w:rsidP="007910F8">
      <w:pPr>
        <w:pStyle w:val="ListParagraph"/>
      </w:pPr>
    </w:p>
    <w:p w14:paraId="2BD6CCAA" w14:textId="77777777" w:rsidR="007910F8" w:rsidRDefault="007910F8" w:rsidP="007910F8">
      <w:pPr>
        <w:pStyle w:val="ListParagraph"/>
        <w:numPr>
          <w:ilvl w:val="0"/>
          <w:numId w:val="10"/>
        </w:numPr>
      </w:pPr>
      <w:r>
        <w:lastRenderedPageBreak/>
        <w:t>Rating 2: Net Income &gt; = (0-Variability Rating Tolerance) and End Balance for Capital Reserve &lt; (0-Variability Rating Tolerance)</w:t>
      </w:r>
    </w:p>
    <w:p w14:paraId="6A76604F" w14:textId="77777777" w:rsidR="007910F8" w:rsidRDefault="007910F8" w:rsidP="007910F8">
      <w:pPr>
        <w:ind w:left="720"/>
      </w:pPr>
      <w:r>
        <w:t>Net income condition is good, but capital reserve is insufficient.</w:t>
      </w:r>
    </w:p>
    <w:p w14:paraId="5A59ACA3" w14:textId="77777777" w:rsidR="007910F8" w:rsidRDefault="007910F8" w:rsidP="007910F8">
      <w:pPr>
        <w:pStyle w:val="ListParagraph"/>
        <w:numPr>
          <w:ilvl w:val="0"/>
          <w:numId w:val="10"/>
        </w:numPr>
      </w:pPr>
      <w:r>
        <w:t>Rating 3: Net Income &lt; (0-Variability Rating Tolerance) and End Balance for Capital Reserve &gt;= (0-Variability Rating Tolerance)</w:t>
      </w:r>
    </w:p>
    <w:p w14:paraId="3D40BF4F" w14:textId="77777777" w:rsidR="007910F8" w:rsidRDefault="007910F8" w:rsidP="007910F8">
      <w:pPr>
        <w:pStyle w:val="ListParagraph"/>
      </w:pPr>
    </w:p>
    <w:p w14:paraId="77F80839" w14:textId="77777777" w:rsidR="007910F8" w:rsidRDefault="007910F8" w:rsidP="007910F8">
      <w:pPr>
        <w:pStyle w:val="ListParagraph"/>
      </w:pPr>
      <w:r>
        <w:t>Net income is insufficient</w:t>
      </w:r>
      <w:r w:rsidR="00305136">
        <w:t>, even though capital reserve condition is good.</w:t>
      </w:r>
    </w:p>
    <w:p w14:paraId="01605A56" w14:textId="77777777" w:rsidR="00305136" w:rsidRDefault="00305136" w:rsidP="007910F8">
      <w:pPr>
        <w:pStyle w:val="ListParagraph"/>
      </w:pPr>
    </w:p>
    <w:p w14:paraId="687650CF" w14:textId="77777777" w:rsidR="007910F8" w:rsidRDefault="007910F8" w:rsidP="007910F8">
      <w:pPr>
        <w:pStyle w:val="ListParagraph"/>
        <w:numPr>
          <w:ilvl w:val="0"/>
          <w:numId w:val="10"/>
        </w:numPr>
      </w:pPr>
      <w:r>
        <w:t>Rating 4: Net Income &lt; (0-Variability Rating Tolerance) and End Balance for Capital Reserve &lt; (0-Variability Rating Tolerance)</w:t>
      </w:r>
    </w:p>
    <w:p w14:paraId="1E06FE8D" w14:textId="4B8F8B8C" w:rsidR="00305136" w:rsidRDefault="00305136" w:rsidP="00305136">
      <w:pPr>
        <w:ind w:left="720"/>
      </w:pPr>
      <w:r>
        <w:t>Both net income and capital reserve are in bad condition.</w:t>
      </w:r>
    </w:p>
    <w:p w14:paraId="5CE95B0A" w14:textId="004A4309" w:rsidR="009F6B51" w:rsidRDefault="009F6B51" w:rsidP="009F6B51">
      <w:r>
        <w:t>The color of the rating</w:t>
      </w:r>
      <w:r w:rsidR="00E87C12">
        <w:t xml:space="preserve"> is as follow:</w:t>
      </w:r>
    </w:p>
    <w:p w14:paraId="3BFA55BC" w14:textId="2B0E52E6" w:rsidR="002E07DE" w:rsidRDefault="002E07DE" w:rsidP="009F6B51">
      <w:r>
        <w:rPr>
          <w:noProof/>
          <w:lang w:val="en-US"/>
        </w:rPr>
        <w:drawing>
          <wp:inline distT="0" distB="0" distL="0" distR="0" wp14:anchorId="5F8F158C" wp14:editId="092FC886">
            <wp:extent cx="4636770" cy="60585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0238" cy="621984"/>
                    </a:xfrm>
                    <a:prstGeom prst="rect">
                      <a:avLst/>
                    </a:prstGeom>
                  </pic:spPr>
                </pic:pic>
              </a:graphicData>
            </a:graphic>
          </wp:inline>
        </w:drawing>
      </w:r>
    </w:p>
    <w:p w14:paraId="0D603500" w14:textId="77777777" w:rsidR="00186092" w:rsidRDefault="00186092" w:rsidP="00186092">
      <w:r w:rsidRPr="00060B4D">
        <w:rPr>
          <w:color w:val="00B050"/>
        </w:rPr>
        <w:t>Green</w:t>
      </w:r>
      <w:r>
        <w:t xml:space="preserve">: Rating 1 </w:t>
      </w:r>
    </w:p>
    <w:p w14:paraId="3EDE094E" w14:textId="0CDA8EE6" w:rsidR="00186092" w:rsidRDefault="00186092" w:rsidP="00186092">
      <w:r w:rsidRPr="00060B4D">
        <w:rPr>
          <w:color w:val="FFD966" w:themeColor="accent4" w:themeTint="99"/>
        </w:rPr>
        <w:t>Yellow</w:t>
      </w:r>
      <w:r>
        <w:t>: Rating 2</w:t>
      </w:r>
      <w:r w:rsidR="009F6B51">
        <w:t>, 3</w:t>
      </w:r>
    </w:p>
    <w:p w14:paraId="6717DA0A" w14:textId="6235883A" w:rsidR="00186092" w:rsidRDefault="00186092" w:rsidP="00186092">
      <w:r w:rsidRPr="00060B4D">
        <w:rPr>
          <w:color w:val="FF0000"/>
        </w:rPr>
        <w:t>Red</w:t>
      </w:r>
      <w:r>
        <w:t xml:space="preserve">: Rating </w:t>
      </w:r>
      <w:r w:rsidR="009F6B51">
        <w:t>4</w:t>
      </w:r>
    </w:p>
    <w:p w14:paraId="70C38212" w14:textId="22E44949" w:rsidR="006B3850" w:rsidRDefault="006B3850" w:rsidP="006B3850"/>
    <w:p w14:paraId="2ADC30B7" w14:textId="77777777" w:rsidR="006B3850" w:rsidRPr="006B3850" w:rsidRDefault="006B3850" w:rsidP="006B3850"/>
    <w:p w14:paraId="44EF6A5A" w14:textId="77777777" w:rsidR="00CD39FC" w:rsidRDefault="00CD39FC" w:rsidP="000515CB">
      <w:pPr>
        <w:pStyle w:val="Heading1"/>
      </w:pPr>
    </w:p>
    <w:p w14:paraId="2FCFDCE2" w14:textId="77777777" w:rsidR="00C51AE4" w:rsidRPr="00D34291" w:rsidRDefault="00C51AE4" w:rsidP="00C51AE4">
      <w:pPr>
        <w:pStyle w:val="ListParagraph"/>
      </w:pPr>
    </w:p>
    <w:sectPr w:rsidR="00C51AE4" w:rsidRPr="00D34291">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85E5" w14:textId="77777777" w:rsidR="002A3EEC" w:rsidRDefault="002A3EEC" w:rsidP="00022899">
      <w:pPr>
        <w:spacing w:after="0" w:line="240" w:lineRule="auto"/>
      </w:pPr>
      <w:r>
        <w:separator/>
      </w:r>
    </w:p>
  </w:endnote>
  <w:endnote w:type="continuationSeparator" w:id="0">
    <w:p w14:paraId="0B678695" w14:textId="77777777" w:rsidR="002A3EEC" w:rsidRDefault="002A3EEC" w:rsidP="00022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15260"/>
      <w:docPartObj>
        <w:docPartGallery w:val="Page Numbers (Bottom of Page)"/>
        <w:docPartUnique/>
      </w:docPartObj>
    </w:sdtPr>
    <w:sdtEndPr>
      <w:rPr>
        <w:color w:val="7F7F7F" w:themeColor="background1" w:themeShade="7F"/>
        <w:spacing w:val="60"/>
      </w:rPr>
    </w:sdtEndPr>
    <w:sdtContent>
      <w:p w14:paraId="667AC74A" w14:textId="1F348E80" w:rsidR="00022899" w:rsidRDefault="0002289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6913" w:rsidRPr="00916913">
          <w:rPr>
            <w:b/>
            <w:bCs/>
            <w:noProof/>
          </w:rPr>
          <w:t>13</w:t>
        </w:r>
        <w:r>
          <w:rPr>
            <w:b/>
            <w:bCs/>
            <w:noProof/>
          </w:rPr>
          <w:fldChar w:fldCharType="end"/>
        </w:r>
        <w:r>
          <w:rPr>
            <w:b/>
            <w:bCs/>
          </w:rPr>
          <w:t xml:space="preserve"> | </w:t>
        </w:r>
        <w:r>
          <w:rPr>
            <w:color w:val="7F7F7F" w:themeColor="background1" w:themeShade="7F"/>
            <w:spacing w:val="60"/>
          </w:rPr>
          <w:t>Page</w:t>
        </w:r>
      </w:p>
    </w:sdtContent>
  </w:sdt>
  <w:p w14:paraId="2E3539EE" w14:textId="77777777" w:rsidR="00022899" w:rsidRDefault="00022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4675" w14:textId="77777777" w:rsidR="002A3EEC" w:rsidRDefault="002A3EEC" w:rsidP="00022899">
      <w:pPr>
        <w:spacing w:after="0" w:line="240" w:lineRule="auto"/>
      </w:pPr>
      <w:r>
        <w:separator/>
      </w:r>
    </w:p>
  </w:footnote>
  <w:footnote w:type="continuationSeparator" w:id="0">
    <w:p w14:paraId="7DCA7DCF" w14:textId="77777777" w:rsidR="002A3EEC" w:rsidRDefault="002A3EEC" w:rsidP="00022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07"/>
    <w:multiLevelType w:val="hybridMultilevel"/>
    <w:tmpl w:val="8F96FF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E73C31"/>
    <w:multiLevelType w:val="hybridMultilevel"/>
    <w:tmpl w:val="FBC6A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A3748F"/>
    <w:multiLevelType w:val="hybridMultilevel"/>
    <w:tmpl w:val="0DF27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CF0339"/>
    <w:multiLevelType w:val="hybridMultilevel"/>
    <w:tmpl w:val="9048B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32050A"/>
    <w:multiLevelType w:val="hybridMultilevel"/>
    <w:tmpl w:val="6F3021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1C68A1"/>
    <w:multiLevelType w:val="hybridMultilevel"/>
    <w:tmpl w:val="750A79C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290309D9"/>
    <w:multiLevelType w:val="hybridMultilevel"/>
    <w:tmpl w:val="C2D64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DE1300"/>
    <w:multiLevelType w:val="hybridMultilevel"/>
    <w:tmpl w:val="372A9B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297BC5"/>
    <w:multiLevelType w:val="hybridMultilevel"/>
    <w:tmpl w:val="EAA8E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2E2762"/>
    <w:multiLevelType w:val="hybridMultilevel"/>
    <w:tmpl w:val="3A2C27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4D64609"/>
    <w:multiLevelType w:val="hybridMultilevel"/>
    <w:tmpl w:val="F496D5CE"/>
    <w:lvl w:ilvl="0" w:tplc="AD1233B4">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853191D"/>
    <w:multiLevelType w:val="hybridMultilevel"/>
    <w:tmpl w:val="9048B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A42264"/>
    <w:multiLevelType w:val="hybridMultilevel"/>
    <w:tmpl w:val="434C1152"/>
    <w:lvl w:ilvl="0" w:tplc="CBA4F7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F7F25B1"/>
    <w:multiLevelType w:val="hybridMultilevel"/>
    <w:tmpl w:val="CBBA23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1FB061D"/>
    <w:multiLevelType w:val="hybridMultilevel"/>
    <w:tmpl w:val="83000F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160669"/>
    <w:multiLevelType w:val="hybridMultilevel"/>
    <w:tmpl w:val="3FCE5230"/>
    <w:lvl w:ilvl="0" w:tplc="EF0C61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ABB2431"/>
    <w:multiLevelType w:val="hybridMultilevel"/>
    <w:tmpl w:val="7FF8EE84"/>
    <w:lvl w:ilvl="0" w:tplc="D97018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9A605F3"/>
    <w:multiLevelType w:val="hybridMultilevel"/>
    <w:tmpl w:val="88A0E2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9C52A56"/>
    <w:multiLevelType w:val="hybridMultilevel"/>
    <w:tmpl w:val="12A24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AD431E3"/>
    <w:multiLevelType w:val="hybridMultilevel"/>
    <w:tmpl w:val="7AA8EE22"/>
    <w:lvl w:ilvl="0" w:tplc="E50805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AEF47BA"/>
    <w:multiLevelType w:val="hybridMultilevel"/>
    <w:tmpl w:val="9048B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F46205C"/>
    <w:multiLevelType w:val="hybridMultilevel"/>
    <w:tmpl w:val="D932F4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420340C"/>
    <w:multiLevelType w:val="hybridMultilevel"/>
    <w:tmpl w:val="CA0E17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741475D"/>
    <w:multiLevelType w:val="hybridMultilevel"/>
    <w:tmpl w:val="3A9E30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ECB14B1"/>
    <w:multiLevelType w:val="hybridMultilevel"/>
    <w:tmpl w:val="02CEE4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8"/>
  </w:num>
  <w:num w:numId="4">
    <w:abstractNumId w:val="20"/>
  </w:num>
  <w:num w:numId="5">
    <w:abstractNumId w:val="13"/>
  </w:num>
  <w:num w:numId="6">
    <w:abstractNumId w:val="14"/>
  </w:num>
  <w:num w:numId="7">
    <w:abstractNumId w:val="6"/>
  </w:num>
  <w:num w:numId="8">
    <w:abstractNumId w:val="17"/>
  </w:num>
  <w:num w:numId="9">
    <w:abstractNumId w:val="21"/>
  </w:num>
  <w:num w:numId="10">
    <w:abstractNumId w:val="22"/>
  </w:num>
  <w:num w:numId="11">
    <w:abstractNumId w:val="2"/>
  </w:num>
  <w:num w:numId="12">
    <w:abstractNumId w:val="11"/>
  </w:num>
  <w:num w:numId="13">
    <w:abstractNumId w:val="4"/>
  </w:num>
  <w:num w:numId="14">
    <w:abstractNumId w:val="19"/>
  </w:num>
  <w:num w:numId="15">
    <w:abstractNumId w:val="16"/>
  </w:num>
  <w:num w:numId="16">
    <w:abstractNumId w:val="10"/>
  </w:num>
  <w:num w:numId="17">
    <w:abstractNumId w:val="5"/>
  </w:num>
  <w:num w:numId="18">
    <w:abstractNumId w:val="24"/>
  </w:num>
  <w:num w:numId="19">
    <w:abstractNumId w:val="18"/>
  </w:num>
  <w:num w:numId="20">
    <w:abstractNumId w:val="3"/>
  </w:num>
  <w:num w:numId="21">
    <w:abstractNumId w:val="15"/>
  </w:num>
  <w:num w:numId="22">
    <w:abstractNumId w:val="1"/>
  </w:num>
  <w:num w:numId="23">
    <w:abstractNumId w:val="12"/>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gNLC0MjA0NTUwNzEyUdpeDU4uLM/DyQAsNaANjkOuEsAAAA"/>
  </w:docVars>
  <w:rsids>
    <w:rsidRoot w:val="001055A8"/>
    <w:rsid w:val="0000530F"/>
    <w:rsid w:val="00012B53"/>
    <w:rsid w:val="00014E2F"/>
    <w:rsid w:val="00022899"/>
    <w:rsid w:val="000331A7"/>
    <w:rsid w:val="00036AA6"/>
    <w:rsid w:val="000431C2"/>
    <w:rsid w:val="000515CB"/>
    <w:rsid w:val="00060B4D"/>
    <w:rsid w:val="00061977"/>
    <w:rsid w:val="00065E03"/>
    <w:rsid w:val="00070E55"/>
    <w:rsid w:val="00074717"/>
    <w:rsid w:val="000A5803"/>
    <w:rsid w:val="000B06B2"/>
    <w:rsid w:val="000D24C6"/>
    <w:rsid w:val="000D40AC"/>
    <w:rsid w:val="000E2670"/>
    <w:rsid w:val="000E5D7C"/>
    <w:rsid w:val="000F2C61"/>
    <w:rsid w:val="000F5EC7"/>
    <w:rsid w:val="000F6170"/>
    <w:rsid w:val="000F72A5"/>
    <w:rsid w:val="001055A8"/>
    <w:rsid w:val="00106C1B"/>
    <w:rsid w:val="001121D4"/>
    <w:rsid w:val="0014714C"/>
    <w:rsid w:val="00160EA5"/>
    <w:rsid w:val="001673BA"/>
    <w:rsid w:val="00174CBC"/>
    <w:rsid w:val="00186092"/>
    <w:rsid w:val="00192234"/>
    <w:rsid w:val="001B493C"/>
    <w:rsid w:val="001D07E9"/>
    <w:rsid w:val="001D0B08"/>
    <w:rsid w:val="001D3EBE"/>
    <w:rsid w:val="001D61D2"/>
    <w:rsid w:val="001E0989"/>
    <w:rsid w:val="001F0A2E"/>
    <w:rsid w:val="001F23BB"/>
    <w:rsid w:val="00211442"/>
    <w:rsid w:val="00215B52"/>
    <w:rsid w:val="00223387"/>
    <w:rsid w:val="00235871"/>
    <w:rsid w:val="00266445"/>
    <w:rsid w:val="00281AA6"/>
    <w:rsid w:val="00295E58"/>
    <w:rsid w:val="002A3EEC"/>
    <w:rsid w:val="002A70E7"/>
    <w:rsid w:val="002B0DA6"/>
    <w:rsid w:val="002B46FF"/>
    <w:rsid w:val="002C4F09"/>
    <w:rsid w:val="002E0365"/>
    <w:rsid w:val="002E07DE"/>
    <w:rsid w:val="0030234E"/>
    <w:rsid w:val="00302430"/>
    <w:rsid w:val="00305136"/>
    <w:rsid w:val="003066D4"/>
    <w:rsid w:val="0030735E"/>
    <w:rsid w:val="003330C7"/>
    <w:rsid w:val="0035433B"/>
    <w:rsid w:val="003650E8"/>
    <w:rsid w:val="00370E3F"/>
    <w:rsid w:val="0039521D"/>
    <w:rsid w:val="003A2CD9"/>
    <w:rsid w:val="003A5397"/>
    <w:rsid w:val="003B541F"/>
    <w:rsid w:val="003B6969"/>
    <w:rsid w:val="003B7B97"/>
    <w:rsid w:val="003C20B2"/>
    <w:rsid w:val="003D5797"/>
    <w:rsid w:val="003D7FAE"/>
    <w:rsid w:val="003F05C4"/>
    <w:rsid w:val="003F4884"/>
    <w:rsid w:val="0040770A"/>
    <w:rsid w:val="0040775C"/>
    <w:rsid w:val="004179C6"/>
    <w:rsid w:val="00424A44"/>
    <w:rsid w:val="00433761"/>
    <w:rsid w:val="0043548E"/>
    <w:rsid w:val="004363A2"/>
    <w:rsid w:val="00442C73"/>
    <w:rsid w:val="0044593F"/>
    <w:rsid w:val="00451584"/>
    <w:rsid w:val="00462D28"/>
    <w:rsid w:val="004673F7"/>
    <w:rsid w:val="00472F64"/>
    <w:rsid w:val="00495D82"/>
    <w:rsid w:val="004A161B"/>
    <w:rsid w:val="004A35BD"/>
    <w:rsid w:val="004A6BA8"/>
    <w:rsid w:val="004B0BCA"/>
    <w:rsid w:val="004B1E02"/>
    <w:rsid w:val="004E6205"/>
    <w:rsid w:val="005009CC"/>
    <w:rsid w:val="0051360D"/>
    <w:rsid w:val="00515938"/>
    <w:rsid w:val="00533087"/>
    <w:rsid w:val="005335DE"/>
    <w:rsid w:val="00536EF6"/>
    <w:rsid w:val="00560434"/>
    <w:rsid w:val="0056248F"/>
    <w:rsid w:val="005760E8"/>
    <w:rsid w:val="005924F9"/>
    <w:rsid w:val="00592FB4"/>
    <w:rsid w:val="005975BB"/>
    <w:rsid w:val="005A2C9A"/>
    <w:rsid w:val="005D6363"/>
    <w:rsid w:val="005E2B0E"/>
    <w:rsid w:val="0060738F"/>
    <w:rsid w:val="0063028C"/>
    <w:rsid w:val="00655864"/>
    <w:rsid w:val="00684160"/>
    <w:rsid w:val="006A02E7"/>
    <w:rsid w:val="006B2F19"/>
    <w:rsid w:val="006B3850"/>
    <w:rsid w:val="006B5E76"/>
    <w:rsid w:val="006C14C0"/>
    <w:rsid w:val="006C4B4E"/>
    <w:rsid w:val="006D1AC4"/>
    <w:rsid w:val="007022AE"/>
    <w:rsid w:val="00703799"/>
    <w:rsid w:val="00716915"/>
    <w:rsid w:val="007223B9"/>
    <w:rsid w:val="007236A3"/>
    <w:rsid w:val="00736164"/>
    <w:rsid w:val="00741602"/>
    <w:rsid w:val="0074501E"/>
    <w:rsid w:val="0076365A"/>
    <w:rsid w:val="00771152"/>
    <w:rsid w:val="007754F6"/>
    <w:rsid w:val="0078597E"/>
    <w:rsid w:val="0078610B"/>
    <w:rsid w:val="007910F8"/>
    <w:rsid w:val="007A2ABE"/>
    <w:rsid w:val="007A4E92"/>
    <w:rsid w:val="007B1705"/>
    <w:rsid w:val="007C0312"/>
    <w:rsid w:val="007C1365"/>
    <w:rsid w:val="007C48A8"/>
    <w:rsid w:val="007E00E6"/>
    <w:rsid w:val="007E15B3"/>
    <w:rsid w:val="007E1991"/>
    <w:rsid w:val="007E5E3E"/>
    <w:rsid w:val="007F2453"/>
    <w:rsid w:val="00804F49"/>
    <w:rsid w:val="00805380"/>
    <w:rsid w:val="00881731"/>
    <w:rsid w:val="008A69D8"/>
    <w:rsid w:val="008B133F"/>
    <w:rsid w:val="008B37BB"/>
    <w:rsid w:val="008C03F0"/>
    <w:rsid w:val="008E722C"/>
    <w:rsid w:val="008F6EC0"/>
    <w:rsid w:val="00916913"/>
    <w:rsid w:val="00920F2C"/>
    <w:rsid w:val="009406E8"/>
    <w:rsid w:val="00945E44"/>
    <w:rsid w:val="00960B67"/>
    <w:rsid w:val="009776ED"/>
    <w:rsid w:val="009A02B7"/>
    <w:rsid w:val="009A6A6C"/>
    <w:rsid w:val="009B4314"/>
    <w:rsid w:val="009C0BD9"/>
    <w:rsid w:val="009D14A1"/>
    <w:rsid w:val="009F6B51"/>
    <w:rsid w:val="00A00958"/>
    <w:rsid w:val="00A04C57"/>
    <w:rsid w:val="00A06755"/>
    <w:rsid w:val="00A13A86"/>
    <w:rsid w:val="00A3256A"/>
    <w:rsid w:val="00A3500C"/>
    <w:rsid w:val="00A413DB"/>
    <w:rsid w:val="00A75A90"/>
    <w:rsid w:val="00A86E6E"/>
    <w:rsid w:val="00AA0B42"/>
    <w:rsid w:val="00AC4028"/>
    <w:rsid w:val="00AE26FF"/>
    <w:rsid w:val="00AE5241"/>
    <w:rsid w:val="00AE5355"/>
    <w:rsid w:val="00AE63C2"/>
    <w:rsid w:val="00AF56D4"/>
    <w:rsid w:val="00B03347"/>
    <w:rsid w:val="00B1105C"/>
    <w:rsid w:val="00B26022"/>
    <w:rsid w:val="00B31686"/>
    <w:rsid w:val="00B34C4B"/>
    <w:rsid w:val="00B37DBD"/>
    <w:rsid w:val="00B47B0C"/>
    <w:rsid w:val="00B51FD0"/>
    <w:rsid w:val="00B57680"/>
    <w:rsid w:val="00B667B8"/>
    <w:rsid w:val="00B70E13"/>
    <w:rsid w:val="00B76151"/>
    <w:rsid w:val="00BC4B56"/>
    <w:rsid w:val="00BD1DEB"/>
    <w:rsid w:val="00BD1F13"/>
    <w:rsid w:val="00BE2B8E"/>
    <w:rsid w:val="00BF6C02"/>
    <w:rsid w:val="00C17C0E"/>
    <w:rsid w:val="00C25205"/>
    <w:rsid w:val="00C51AE4"/>
    <w:rsid w:val="00C567E6"/>
    <w:rsid w:val="00C66565"/>
    <w:rsid w:val="00C81A03"/>
    <w:rsid w:val="00C834F1"/>
    <w:rsid w:val="00C862A8"/>
    <w:rsid w:val="00CA2761"/>
    <w:rsid w:val="00CD0CB6"/>
    <w:rsid w:val="00CD179E"/>
    <w:rsid w:val="00CD39FC"/>
    <w:rsid w:val="00CE1439"/>
    <w:rsid w:val="00CF29B4"/>
    <w:rsid w:val="00CF36D1"/>
    <w:rsid w:val="00D11764"/>
    <w:rsid w:val="00D12F51"/>
    <w:rsid w:val="00D17C3C"/>
    <w:rsid w:val="00D208AB"/>
    <w:rsid w:val="00D23027"/>
    <w:rsid w:val="00D34291"/>
    <w:rsid w:val="00D53BC1"/>
    <w:rsid w:val="00D56C78"/>
    <w:rsid w:val="00D7463C"/>
    <w:rsid w:val="00D75888"/>
    <w:rsid w:val="00D8267C"/>
    <w:rsid w:val="00D90A0D"/>
    <w:rsid w:val="00DA6380"/>
    <w:rsid w:val="00DB2398"/>
    <w:rsid w:val="00DB2CA1"/>
    <w:rsid w:val="00DB3120"/>
    <w:rsid w:val="00DC4BCA"/>
    <w:rsid w:val="00DD58CF"/>
    <w:rsid w:val="00DD7F5D"/>
    <w:rsid w:val="00DE0723"/>
    <w:rsid w:val="00DE399C"/>
    <w:rsid w:val="00DF0CBD"/>
    <w:rsid w:val="00E208E9"/>
    <w:rsid w:val="00E27C6F"/>
    <w:rsid w:val="00E41217"/>
    <w:rsid w:val="00E430AF"/>
    <w:rsid w:val="00E64B57"/>
    <w:rsid w:val="00E73BAD"/>
    <w:rsid w:val="00E802B2"/>
    <w:rsid w:val="00E87C12"/>
    <w:rsid w:val="00E92741"/>
    <w:rsid w:val="00EA5566"/>
    <w:rsid w:val="00EB44ED"/>
    <w:rsid w:val="00EC0D5E"/>
    <w:rsid w:val="00EC435B"/>
    <w:rsid w:val="00ED3B71"/>
    <w:rsid w:val="00ED6432"/>
    <w:rsid w:val="00EF6EA9"/>
    <w:rsid w:val="00F13BB3"/>
    <w:rsid w:val="00F25B04"/>
    <w:rsid w:val="00F57484"/>
    <w:rsid w:val="00F62969"/>
    <w:rsid w:val="00F73EA1"/>
    <w:rsid w:val="00F84B64"/>
    <w:rsid w:val="00F91C2F"/>
    <w:rsid w:val="00F9793E"/>
    <w:rsid w:val="00FA2F4A"/>
    <w:rsid w:val="00FB24EC"/>
    <w:rsid w:val="00FB755F"/>
    <w:rsid w:val="00FD2B74"/>
    <w:rsid w:val="00FE3440"/>
    <w:rsid w:val="00FE7F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B31A"/>
  <w15:chartTrackingRefBased/>
  <w15:docId w15:val="{4D6A01EB-BDA2-4C19-86D7-8599123D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A8"/>
    <w:pPr>
      <w:ind w:left="720"/>
      <w:contextualSpacing/>
    </w:pPr>
  </w:style>
  <w:style w:type="character" w:customStyle="1" w:styleId="Heading1Char">
    <w:name w:val="Heading 1 Char"/>
    <w:basedOn w:val="DefaultParagraphFont"/>
    <w:link w:val="Heading1"/>
    <w:uiPriority w:val="9"/>
    <w:rsid w:val="00105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2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A69D8"/>
    <w:pPr>
      <w:outlineLvl w:val="9"/>
    </w:pPr>
    <w:rPr>
      <w:lang w:val="en-US" w:eastAsia="en-US"/>
    </w:rPr>
  </w:style>
  <w:style w:type="paragraph" w:styleId="TOC1">
    <w:name w:val="toc 1"/>
    <w:basedOn w:val="Normal"/>
    <w:next w:val="Normal"/>
    <w:autoRedefine/>
    <w:uiPriority w:val="39"/>
    <w:unhideWhenUsed/>
    <w:rsid w:val="008A69D8"/>
    <w:pPr>
      <w:spacing w:after="100"/>
    </w:pPr>
  </w:style>
  <w:style w:type="paragraph" w:styleId="TOC2">
    <w:name w:val="toc 2"/>
    <w:basedOn w:val="Normal"/>
    <w:next w:val="Normal"/>
    <w:autoRedefine/>
    <w:uiPriority w:val="39"/>
    <w:unhideWhenUsed/>
    <w:rsid w:val="008A69D8"/>
    <w:pPr>
      <w:spacing w:after="100"/>
      <w:ind w:left="220"/>
    </w:pPr>
  </w:style>
  <w:style w:type="character" w:styleId="Hyperlink">
    <w:name w:val="Hyperlink"/>
    <w:basedOn w:val="DefaultParagraphFont"/>
    <w:uiPriority w:val="99"/>
    <w:unhideWhenUsed/>
    <w:rsid w:val="008A69D8"/>
    <w:rPr>
      <w:color w:val="0563C1" w:themeColor="hyperlink"/>
      <w:u w:val="single"/>
    </w:rPr>
  </w:style>
  <w:style w:type="paragraph" w:styleId="Header">
    <w:name w:val="header"/>
    <w:basedOn w:val="Normal"/>
    <w:link w:val="HeaderChar"/>
    <w:uiPriority w:val="99"/>
    <w:unhideWhenUsed/>
    <w:rsid w:val="00022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99"/>
  </w:style>
  <w:style w:type="paragraph" w:styleId="Footer">
    <w:name w:val="footer"/>
    <w:basedOn w:val="Normal"/>
    <w:link w:val="FooterChar"/>
    <w:uiPriority w:val="99"/>
    <w:unhideWhenUsed/>
    <w:rsid w:val="00022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87E8958B14E146801CD5047F628D9F" ma:contentTypeVersion="3" ma:contentTypeDescription="Create a new document." ma:contentTypeScope="" ma:versionID="498e5fe4676f69bbcf3188724daeea3b">
  <xsd:schema xmlns:xsd="http://www.w3.org/2001/XMLSchema" xmlns:xs="http://www.w3.org/2001/XMLSchema" xmlns:p="http://schemas.microsoft.com/office/2006/metadata/properties" xmlns:ns2="b902a681-ffd6-4c7c-8870-61624d717901" targetNamespace="http://schemas.microsoft.com/office/2006/metadata/properties" ma:root="true" ma:fieldsID="86e1d63c1418bba388e9a9a1e37ca74a" ns2:_="">
    <xsd:import namespace="b902a681-ffd6-4c7c-8870-61624d717901"/>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2a681-ffd6-4c7c-8870-61624d7179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FE4524-6400-4757-AA3D-07959071A249}">
  <ds:schemaRefs>
    <ds:schemaRef ds:uri="http://schemas.openxmlformats.org/officeDocument/2006/bibliography"/>
  </ds:schemaRefs>
</ds:datastoreItem>
</file>

<file path=customXml/itemProps2.xml><?xml version="1.0" encoding="utf-8"?>
<ds:datastoreItem xmlns:ds="http://schemas.openxmlformats.org/officeDocument/2006/customXml" ds:itemID="{13BCADE1-659B-49EA-A5D7-C7AF8D244F02}"/>
</file>

<file path=customXml/itemProps3.xml><?xml version="1.0" encoding="utf-8"?>
<ds:datastoreItem xmlns:ds="http://schemas.openxmlformats.org/officeDocument/2006/customXml" ds:itemID="{F1A6EAF6-7E0E-46BC-8349-A83D437A4F56}"/>
</file>

<file path=customXml/itemProps4.xml><?xml version="1.0" encoding="utf-8"?>
<ds:datastoreItem xmlns:ds="http://schemas.openxmlformats.org/officeDocument/2006/customXml" ds:itemID="{59BAA246-DA1A-4261-BEF5-AC1EC4424482}"/>
</file>

<file path=docProps/app.xml><?xml version="1.0" encoding="utf-8"?>
<Properties xmlns="http://schemas.openxmlformats.org/officeDocument/2006/extended-properties" xmlns:vt="http://schemas.openxmlformats.org/officeDocument/2006/docPropsVTypes">
  <Template>Normal</Template>
  <TotalTime>667</TotalTime>
  <Pages>1</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vs-laptop2</dc:creator>
  <cp:keywords/>
  <dc:description/>
  <cp:lastModifiedBy>Jorge Parks</cp:lastModifiedBy>
  <cp:revision>35</cp:revision>
  <dcterms:created xsi:type="dcterms:W3CDTF">2018-07-05T14:17:00Z</dcterms:created>
  <dcterms:modified xsi:type="dcterms:W3CDTF">2021-07-27T02:46:00Z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0x010100BC87E8958B14E146801CD5047F628D9F</vt:lpwstr>
  </property>
  <property fmtid="{D5CDD505-2E9C-101B-9397-08002B2CF9AE}" pid="3" name="MediaServiceImageTags">
    <vt:lpwstr/>
  </property>
</Properties>
</file>