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p>
    <w:p>
      <w:pPr>
        <w:spacing w:before="960" w:after="0"/>
        <w:jc w:val="center"/>
      </w:pPr>
      <w:r>
        <w:rPr>
          <w:rFonts w:ascii="Calibri" w:hAnsi="Calibri"/>
          <w:b/>
          <w:color w:val="0D1B3E"/>
          <w:sz w:val="104"/>
        </w:rPr>
        <w:t>DATANEXUS</w:t>
      </w:r>
    </w:p>
    <w:p>
      <w:pPr>
        <w:spacing w:before="0" w:after="240"/>
        <w:jc w:val="center"/>
      </w:pPr>
      <w:r>
        <w:rPr>
          <w:rFonts w:ascii="Calibri" w:hAnsi="Calibri"/>
          <w:b/>
          <w:color w:val="FF951B"/>
          <w:sz w:val="44"/>
        </w:rPr>
        <w:t>THE FOUNDING MANIFEST</w:t>
      </w:r>
    </w:p>
    <w:p>
      <w:pPr>
        <w:spacing w:before="40" w:after="160"/>
        <w:pBdr>
          <w:bottom w:val="single" w:sz="12" w:space="1" w:color="FF951B"/>
        </w:pBdr>
      </w:pPr>
    </w:p>
    <w:p>
      <w:pPr>
        <w:spacing w:before="120" w:after="80"/>
        <w:jc w:val="center"/>
      </w:pPr>
      <w:r>
        <w:rPr>
          <w:rFonts w:ascii="Calibri" w:hAnsi="Calibri"/>
          <w:b w:val="0"/>
          <w:i/>
          <w:color w:val="64748B"/>
          <w:sz w:val="26"/>
        </w:rPr>
        <w:t>One Platform. Open Source. Dharma-driven. Blockchain-verified. Unbeatable.</w:t>
      </w:r>
    </w:p>
    <w:p>
      <w:pPr>
        <w:spacing w:before="0" w:after="640"/>
        <w:jc w:val="center"/>
      </w:pPr>
      <w:r>
        <w:rPr>
          <w:rFonts w:ascii="Calibri" w:hAnsi="Calibri"/>
          <w:b w:val="0"/>
          <w:i/>
          <w:color w:val="64748B"/>
          <w:sz w:val="22"/>
        </w:rPr>
        <w:t>Built on Hadoop  ·  Guided by the Bhagavad Gita  ·  Enforced by Six Sigma</w:t>
      </w:r>
    </w:p>
    <w:p>
      <w:pPr>
        <w:spacing w:before="40" w:after="160"/>
        <w:pBdr>
          <w:bottom w:val="single" w:sz="12" w:space="1" w:color="0D1B3E"/>
        </w:pBdr>
      </w:pPr>
    </w:p>
    <w:p>
      <w:pPr>
        <w:spacing w:before="160" w:after="960"/>
        <w:jc w:val="center"/>
      </w:pPr>
      <w:r>
        <w:rPr>
          <w:rFonts w:ascii="Calibri" w:hAnsi="Calibri"/>
          <w:b w:val="0"/>
          <w:i w:val="0"/>
          <w:color w:val="64748B"/>
          <w:sz w:val="20"/>
        </w:rPr>
        <w:t>Adopted on the founding of DataNexus  ·  Hyderabad, India  ·  2025</w:t>
      </w:r>
    </w:p>
    <w:p>
      <w:r>
        <w:br w:type="page"/>
      </w:r>
    </w:p>
    <w:p>
      <w:pPr>
        <w:spacing w:before="480" w:after="120"/>
        <w:jc w:val="left"/>
      </w:pPr>
      <w:r>
        <w:rPr>
          <w:rFonts w:ascii="Calibri" w:hAnsi="Calibri"/>
          <w:b/>
          <w:i w:val="0"/>
          <w:color w:val="0D1B3E"/>
          <w:sz w:val="56"/>
        </w:rPr>
        <w:t>Preamble</w:t>
      </w:r>
    </w:p>
    <w:p>
      <w:pPr>
        <w:spacing w:before="40" w:after="160"/>
        <w:pBdr>
          <w:bottom w:val="single" w:sz="12" w:space="1" w:color="FF951B"/>
        </w:pBdr>
      </w:pPr>
    </w:p>
    <w:p>
      <w:pPr>
        <w:spacing w:before="40" w:after="80"/>
        <w:jc w:val="left"/>
      </w:pPr>
      <w:r>
        <w:rPr>
          <w:rFonts w:ascii="Calibri" w:hAnsi="Calibri"/>
          <w:b w:val="0"/>
          <w:i w:val="0"/>
          <w:color w:val="1E293B"/>
          <w:sz w:val="22"/>
        </w:rPr>
        <w:t>We, the founders and engineers of DataNexus, declare this Manifest as the living constitution of everything we build, every decision we make, and every line of code we write. These are not aspirations. They are commitments — publicly made, blockchain-recorded, and held as the highest standard of our craft.</w:t>
      </w:r>
    </w:p>
    <w:p>
      <w:pPr>
        <w:spacing w:before="0" w:after="120"/>
        <w:jc w:val="left"/>
      </w:pPr>
    </w:p>
    <w:p>
      <w:pPr>
        <w:spacing w:before="40" w:after="80"/>
        <w:jc w:val="left"/>
      </w:pPr>
      <w:r>
        <w:rPr>
          <w:rFonts w:ascii="Calibri" w:hAnsi="Calibri"/>
          <w:b w:val="0"/>
          <w:i w:val="0"/>
          <w:color w:val="1E293B"/>
          <w:sz w:val="22"/>
        </w:rPr>
        <w:t>Data engineering is broken. The world's companies run five to twelve separate tools from three different cloud vendors — each one a different skill, a different contract, a different failure point, a different bill. The platforms that were supposed to solve this problem were built on the same open-source foundation we stand on today — Apache Hadoop, Kafka, Spark, Airflow — and then used that foundation to build walls around their customers instead of windows to the world.</w:t>
      </w:r>
    </w:p>
    <w:p>
      <w:pPr>
        <w:spacing w:before="0" w:after="120"/>
        <w:jc w:val="left"/>
      </w:pPr>
    </w:p>
    <w:p>
      <w:pPr>
        <w:spacing w:before="40" w:after="80"/>
        <w:jc w:val="left"/>
      </w:pPr>
      <w:r>
        <w:rPr>
          <w:rFonts w:ascii="Calibri" w:hAnsi="Calibri"/>
          <w:b w:val="0"/>
          <w:i w:val="0"/>
          <w:color w:val="1E293B"/>
          <w:sz w:val="22"/>
        </w:rPr>
        <w:t>DataNexus exists because the world deserves better. It deserves a data platform with a soul — one that operates by Dharma as described in the Bhagavad Gita, enforces quality by Six Sigma discipline, and records every action on an immutable blockchain for all to verify. It deserves a platform that belongs to the people who use it, runs in their own nations, speaks their own languages, and never demands their loyalty through artificial dependency.</w:t>
      </w:r>
    </w:p>
    <w:p>
      <w:pPr>
        <w:spacing w:before="0" w:after="120"/>
        <w:jc w:val="left"/>
      </w:pPr>
    </w:p>
    <w:p>
      <w:pPr>
        <w:spacing w:before="40" w:after="80"/>
        <w:jc w:val="left"/>
      </w:pPr>
      <w:r>
        <w:rPr>
          <w:rFonts w:ascii="Calibri" w:hAnsi="Calibri"/>
          <w:b w:val="0"/>
          <w:i w:val="0"/>
          <w:color w:val="1E293B"/>
          <w:sz w:val="22"/>
        </w:rPr>
        <w:t>This Manifest contains twelve Articles. Each Article is a principle we will never compromise. Each one has been written with the wisdom of three traditions: the clarity of a Manifest, the Dharma of the Gita, and the precision of Six Sigma. Together they form the foundation of an unbeatable platform.</w:t>
      </w:r>
    </w:p>
    <w:p>
      <w:pPr>
        <w:spacing w:before="0" w:after="120"/>
        <w:jc w:val="left"/>
      </w:pPr>
    </w:p>
    <w:p>
      <w:pPr>
        <w:spacing w:before="40" w:after="80"/>
        <w:jc w:val="left"/>
      </w:pPr>
      <w:r>
        <w:rPr>
          <w:rFonts w:ascii="Calibri" w:hAnsi="Calibri"/>
          <w:b w:val="0"/>
          <w:i w:val="0"/>
          <w:color w:val="1E293B"/>
          <w:sz w:val="22"/>
        </w:rPr>
        <w:t>"Yogah karmasu kaushalam" — Excellence in action is Yoga. This is how DataNexus builds.</w:t>
      </w:r>
    </w:p>
    <w:p>
      <w:r>
        <w:br w:type="page"/>
      </w:r>
    </w:p>
    <w:p>
      <w:pPr>
        <w:spacing w:before="480" w:after="120"/>
        <w:jc w:val="left"/>
      </w:pPr>
      <w:r>
        <w:rPr>
          <w:rFonts w:ascii="Calibri" w:hAnsi="Calibri"/>
          <w:b/>
          <w:i w:val="0"/>
          <w:color w:val="0D1B3E"/>
          <w:sz w:val="56"/>
        </w:rPr>
        <w:t>The Twelve Articles</w:t>
      </w:r>
    </w:p>
    <w:p>
      <w:pPr>
        <w:spacing w:before="40" w:after="160"/>
        <w:pBdr>
          <w:bottom w:val="single" w:sz="12" w:space="1" w:color="BA7517"/>
        </w:pBdr>
      </w:pPr>
    </w:p>
    <w:p>
      <w:pPr>
        <w:spacing w:before="80" w:after="320"/>
        <w:jc w:val="left"/>
      </w:pPr>
      <w:r>
        <w:rPr>
          <w:rFonts w:ascii="Calibri" w:hAnsi="Calibri"/>
          <w:b w:val="0"/>
          <w:i/>
          <w:color w:val="64748B"/>
          <w:sz w:val="22"/>
        </w:rPr>
        <w:t>Each Article is a founding principle of DataNexus. Each one is immutable, public, and enforced by design.</w:t>
      </w:r>
    </w:p>
    <w:p>
      <w:pPr>
        <w:spacing w:before="280" w:after="40"/>
      </w:pPr>
      <w:r>
        <w:rPr>
          <w:rFonts w:ascii="Calibri" w:hAnsi="Calibri"/>
          <w:b/>
          <w:color w:val="64748B"/>
          <w:sz w:val="26"/>
        </w:rPr>
        <w:t xml:space="preserve">Article 01  —  </w:t>
      </w:r>
      <w:r>
        <w:rPr>
          <w:rFonts w:ascii="Calibri" w:hAnsi="Calibri"/>
          <w:b/>
          <w:color w:val="0D1B3E"/>
          <w:sz w:val="30"/>
        </w:rPr>
        <w:t>Data Belongs to Its Creator — Always</w:t>
      </w:r>
    </w:p>
    <w:p>
      <w:pPr>
        <w:spacing w:before="0" w:after="80"/>
        <w:jc w:val="left"/>
      </w:pPr>
      <w:r>
        <w:rPr>
          <w:rFonts w:ascii="Calibri" w:hAnsi="Calibri"/>
          <w:b/>
          <w:i w:val="0"/>
          <w:color w:val="FF951B"/>
          <w:sz w:val="18"/>
        </w:rPr>
        <w:t>[ MANIFEST PRINCIPLE ]</w:t>
      </w:r>
    </w:p>
    <w:p>
      <w:pPr>
        <w:spacing w:before="40" w:after="60"/>
        <w:jc w:val="left"/>
      </w:pPr>
      <w:r>
        <w:rPr>
          <w:rFonts w:ascii="Calibri" w:hAnsi="Calibri"/>
          <w:b w:val="0"/>
          <w:i w:val="0"/>
          <w:color w:val="1E293B"/>
          <w:sz w:val="22"/>
        </w:rPr>
        <w:t>No cloud. No platform. No government. No investor. No circumstance. Nothing grants DataNexus ownership of the data that passes through our system. We are custodians — stewards entrusted with safe passage — never owners.</w:t>
      </w:r>
    </w:p>
    <w:p>
      <w:pPr>
        <w:spacing w:before="40" w:after="60"/>
        <w:jc w:val="left"/>
      </w:pPr>
      <w:r>
        <w:rPr>
          <w:rFonts w:ascii="Calibri" w:hAnsi="Calibri"/>
          <w:b w:val="0"/>
          <w:i w:val="0"/>
          <w:color w:val="1E293B"/>
          <w:sz w:val="22"/>
        </w:rPr>
        <w:t>Every dataset ingested into DataNexus carries a verified owner identity recorded on Hyperledger Fabric from the moment of first contact. That record is permanent, tamper-proof, and accessible only by the owner and those they explicitly authorise.</w:t>
      </w:r>
    </w:p>
    <w:p>
      <w:pPr>
        <w:spacing w:before="40" w:after="60"/>
        <w:jc w:val="left"/>
      </w:pPr>
      <w:r>
        <w:rPr>
          <w:rFonts w:ascii="Calibri" w:hAnsi="Calibri"/>
          <w:b w:val="0"/>
          <w:i w:val="0"/>
          <w:color w:val="1E293B"/>
          <w:sz w:val="22"/>
        </w:rPr>
        <w:t>This principle is the reason DataNexus exists. The moment we violate it, we become what we were built to replace.</w:t>
      </w:r>
    </w:p>
    <w:p>
      <w:pPr>
        <w:spacing w:before="80" w:after="40"/>
      </w:pPr>
      <w:r>
        <w:rPr>
          <w:rFonts w:ascii="Calibri" w:hAnsi="Calibri"/>
          <w:b/>
          <w:color w:val="BA7517"/>
          <w:sz w:val="20"/>
        </w:rPr>
        <w:t xml:space="preserve">Gita Reference: </w:t>
      </w:r>
      <w:r>
        <w:rPr>
          <w:rFonts w:ascii="Calibri" w:hAnsi="Calibri"/>
          <w:i/>
          <w:color w:val="BA7517"/>
          <w:sz w:val="20"/>
        </w:rPr>
        <w:t>Chapter 6, Verse 5 — 'Let the self lift itself.' The data engineer's data belongs to the data engineer alone.</w:t>
      </w:r>
    </w:p>
    <w:p>
      <w:pPr>
        <w:spacing w:before="40" w:after="40"/>
      </w:pPr>
      <w:r>
        <w:rPr>
          <w:rFonts w:ascii="Calibri" w:hAnsi="Calibri"/>
          <w:b/>
          <w:color w:val="059669"/>
          <w:sz w:val="20"/>
        </w:rPr>
        <w:t xml:space="preserve">Six Sigma Phase: </w:t>
      </w:r>
      <w:r>
        <w:rPr>
          <w:rFonts w:ascii="Calibri" w:hAnsi="Calibri"/>
          <w:color w:val="059669"/>
          <w:sz w:val="20"/>
        </w:rPr>
        <w:t>Define — every pipeline begins with a formal declaration of data ownership in Apache Atlas.</w:t>
      </w:r>
    </w:p>
    <w:p>
      <w:pPr>
        <w:spacing w:before="40" w:after="160"/>
        <w:pBdr>
          <w:bottom w:val="single" w:sz="12" w:space="1" w:color="FF951B"/>
        </w:pBdr>
      </w:pPr>
    </w:p>
    <w:p>
      <w:pPr>
        <w:spacing w:before="280" w:after="40"/>
      </w:pPr>
      <w:r>
        <w:rPr>
          <w:rFonts w:ascii="Calibri" w:hAnsi="Calibri"/>
          <w:b/>
          <w:color w:val="64748B"/>
          <w:sz w:val="26"/>
        </w:rPr>
        <w:t xml:space="preserve">Article 02  —  </w:t>
      </w:r>
      <w:r>
        <w:rPr>
          <w:rFonts w:ascii="Calibri" w:hAnsi="Calibri"/>
          <w:b/>
          <w:color w:val="0D1B3E"/>
          <w:sz w:val="30"/>
        </w:rPr>
        <w:t>Build Without Attachment to the Fruit — Nishkama Karma</w:t>
      </w:r>
    </w:p>
    <w:p>
      <w:pPr>
        <w:spacing w:before="0" w:after="80"/>
        <w:jc w:val="left"/>
      </w:pPr>
      <w:r>
        <w:rPr>
          <w:rFonts w:ascii="Calibri" w:hAnsi="Calibri"/>
          <w:b/>
          <w:i w:val="0"/>
          <w:color w:val="BA7517"/>
          <w:sz w:val="18"/>
        </w:rPr>
        <w:t>[ BHAGAVAD GITA — KARMA YOGA ]</w:t>
      </w:r>
    </w:p>
    <w:p>
      <w:pPr>
        <w:spacing w:before="40" w:after="60"/>
        <w:jc w:val="left"/>
      </w:pPr>
      <w:r>
        <w:rPr>
          <w:rFonts w:ascii="Calibri" w:hAnsi="Calibri"/>
          <w:b w:val="0"/>
          <w:i w:val="0"/>
          <w:color w:val="1E293B"/>
          <w:sz w:val="22"/>
        </w:rPr>
        <w:t>We build because data engineering is broken and engineers suffer for it daily. Revenue is the fuel that keeps the mission alive — it is never the mission itself. Every feature decision in DataNexus begins with one question: does this serve the data engineer, or does this serve our balance sheet?</w:t>
      </w:r>
    </w:p>
    <w:p>
      <w:pPr>
        <w:spacing w:before="40" w:after="60"/>
        <w:jc w:val="left"/>
      </w:pPr>
      <w:r>
        <w:rPr>
          <w:rFonts w:ascii="Calibri" w:hAnsi="Calibri"/>
          <w:b w:val="0"/>
          <w:i w:val="0"/>
          <w:color w:val="1E293B"/>
          <w:sz w:val="22"/>
        </w:rPr>
        <w:t>If the answer is the balance sheet, we do not build it. This rule has no exceptions — not under investor pressure, not under competitive urgency, not under the comfort of rationalization.</w:t>
      </w:r>
    </w:p>
    <w:p>
      <w:pPr>
        <w:spacing w:before="40" w:after="60"/>
        <w:jc w:val="left"/>
      </w:pPr>
      <w:r>
        <w:rPr>
          <w:rFonts w:ascii="Calibri" w:hAnsi="Calibri"/>
          <w:b w:val="0"/>
          <w:i w:val="0"/>
          <w:color w:val="1E293B"/>
          <w:sz w:val="22"/>
        </w:rPr>
        <w:t>Nishkama Karma — action without attachment to reward — is not passive. It is the most disciplined form of action. We act with full force and full skill, releasing attachment to outcome, trusting that excellence in service is its own reward.</w:t>
      </w:r>
    </w:p>
    <w:p>
      <w:pPr>
        <w:spacing w:before="80" w:after="40"/>
      </w:pPr>
      <w:r>
        <w:rPr>
          <w:rFonts w:ascii="Calibri" w:hAnsi="Calibri"/>
          <w:b/>
          <w:color w:val="BA7517"/>
          <w:sz w:val="20"/>
        </w:rPr>
        <w:t xml:space="preserve">Gita Reference: </w:t>
      </w:r>
      <w:r>
        <w:rPr>
          <w:rFonts w:ascii="Calibri" w:hAnsi="Calibri"/>
          <w:i/>
          <w:color w:val="BA7517"/>
          <w:sz w:val="20"/>
        </w:rPr>
        <w:t>Chapter 2, Verse 47 — 'You have the right to perform your actions, but never to the fruits of your actions.'</w:t>
      </w:r>
    </w:p>
    <w:p>
      <w:pPr>
        <w:spacing w:before="40" w:after="40"/>
      </w:pPr>
      <w:r>
        <w:rPr>
          <w:rFonts w:ascii="Calibri" w:hAnsi="Calibri"/>
          <w:b/>
          <w:color w:val="059669"/>
          <w:sz w:val="20"/>
        </w:rPr>
        <w:t xml:space="preserve">Six Sigma Phase: </w:t>
      </w:r>
      <w:r>
        <w:rPr>
          <w:rFonts w:ascii="Calibri" w:hAnsi="Calibri"/>
          <w:color w:val="059669"/>
          <w:sz w:val="20"/>
        </w:rPr>
        <w:t>Control — every product decision is reviewed against the original mission definition before release.</w:t>
      </w:r>
    </w:p>
    <w:p>
      <w:pPr>
        <w:spacing w:before="40" w:after="160"/>
        <w:pBdr>
          <w:bottom w:val="single" w:sz="12" w:space="1" w:color="BA7517"/>
        </w:pBdr>
      </w:pPr>
    </w:p>
    <w:p>
      <w:pPr>
        <w:spacing w:before="280" w:after="40"/>
      </w:pPr>
      <w:r>
        <w:rPr>
          <w:rFonts w:ascii="Calibri" w:hAnsi="Calibri"/>
          <w:b/>
          <w:color w:val="64748B"/>
          <w:sz w:val="26"/>
        </w:rPr>
        <w:t xml:space="preserve">Article 03  —  </w:t>
      </w:r>
      <w:r>
        <w:rPr>
          <w:rFonts w:ascii="Calibri" w:hAnsi="Calibri"/>
          <w:b/>
          <w:color w:val="0D1B3E"/>
          <w:sz w:val="30"/>
        </w:rPr>
        <w:t>Zero Tolerance for Data Loss — Six Sigma Quality</w:t>
      </w:r>
    </w:p>
    <w:p>
      <w:pPr>
        <w:spacing w:before="0" w:after="80"/>
        <w:jc w:val="left"/>
      </w:pPr>
      <w:r>
        <w:rPr>
          <w:rFonts w:ascii="Calibri" w:hAnsi="Calibri"/>
          <w:b/>
          <w:i w:val="0"/>
          <w:color w:val="059669"/>
          <w:sz w:val="18"/>
        </w:rPr>
        <w:t>[ SIX SIGMA — DMAIC ]</w:t>
      </w:r>
    </w:p>
    <w:p>
      <w:pPr>
        <w:spacing w:before="40" w:after="60"/>
        <w:jc w:val="left"/>
      </w:pPr>
      <w:r>
        <w:rPr>
          <w:rFonts w:ascii="Calibri" w:hAnsi="Calibri"/>
          <w:b w:val="0"/>
          <w:i w:val="0"/>
          <w:color w:val="1E293B"/>
          <w:sz w:val="22"/>
        </w:rPr>
        <w:t>3.4 defects per million pipeline operations. This is the Six Sigma standard. It is not a goal we reach for — it is the floor below which we will not operate. Every ingestion, every transformation, every query is a measurable process subject to DMAIC discipline: Define, Measure, Analyse, Improve, Control.</w:t>
      </w:r>
    </w:p>
    <w:p>
      <w:pPr>
        <w:spacing w:before="40" w:after="60"/>
        <w:jc w:val="left"/>
      </w:pPr>
      <w:r>
        <w:rPr>
          <w:rFonts w:ascii="Calibri" w:hAnsi="Calibri"/>
          <w:b w:val="0"/>
          <w:i w:val="0"/>
          <w:color w:val="1E293B"/>
          <w:sz w:val="22"/>
        </w:rPr>
        <w:t>Every pipeline in DataNexus displays its current sigma level in real time. Every dataset has a quality score. Every anomaly triggers automatic root-cause analysis. Every fix is logged to Hyperledger Fabric as an immutable record of continuous improvement.</w:t>
      </w:r>
    </w:p>
    <w:p>
      <w:pPr>
        <w:spacing w:before="40" w:after="60"/>
        <w:jc w:val="left"/>
      </w:pPr>
      <w:r>
        <w:rPr>
          <w:rFonts w:ascii="Calibri" w:hAnsi="Calibri"/>
          <w:b w:val="0"/>
          <w:i w:val="0"/>
          <w:color w:val="1E293B"/>
          <w:sz w:val="22"/>
        </w:rPr>
        <w:t>We guarantee a minimum of 5σ quality — 99.99966% accuracy — in our production SLA. This guarantee is not a marketing number. It is backed by cryptographic proof on the blockchain, available for any customer, auditor, or regulator to verify in seconds.</w:t>
      </w:r>
    </w:p>
    <w:p>
      <w:pPr>
        <w:spacing w:before="80" w:after="40"/>
      </w:pPr>
      <w:r>
        <w:rPr>
          <w:rFonts w:ascii="Calibri" w:hAnsi="Calibri"/>
          <w:b/>
          <w:color w:val="BA7517"/>
          <w:sz w:val="20"/>
        </w:rPr>
        <w:t xml:space="preserve">Gita Reference: </w:t>
      </w:r>
      <w:r>
        <w:rPr>
          <w:rFonts w:ascii="Calibri" w:hAnsi="Calibri"/>
          <w:i/>
          <w:color w:val="BA7517"/>
          <w:sz w:val="20"/>
        </w:rPr>
        <w:t>Chapter 18, Verse 41 — 'The duties of engineers are distributed according to their qualities.' Quality is our duty.</w:t>
      </w:r>
    </w:p>
    <w:p>
      <w:pPr>
        <w:spacing w:before="40" w:after="40"/>
      </w:pPr>
      <w:r>
        <w:rPr>
          <w:rFonts w:ascii="Calibri" w:hAnsi="Calibri"/>
          <w:b/>
          <w:color w:val="059669"/>
          <w:sz w:val="20"/>
        </w:rPr>
        <w:t xml:space="preserve">Six Sigma Phase: </w:t>
      </w:r>
      <w:r>
        <w:rPr>
          <w:rFonts w:ascii="Calibri" w:hAnsi="Calibri"/>
          <w:color w:val="059669"/>
          <w:sz w:val="20"/>
        </w:rPr>
        <w:t>All five DMAIC phases — Define, Measure, Analyse, Improve, Control — run continuously on every pipeline.</w:t>
      </w:r>
    </w:p>
    <w:p>
      <w:pPr>
        <w:spacing w:before="40" w:after="160"/>
        <w:pBdr>
          <w:bottom w:val="single" w:sz="12" w:space="1" w:color="059669"/>
        </w:pBdr>
      </w:pPr>
    </w:p>
    <w:p>
      <w:pPr>
        <w:spacing w:before="280" w:after="40"/>
      </w:pPr>
      <w:r>
        <w:rPr>
          <w:rFonts w:ascii="Calibri" w:hAnsi="Calibri"/>
          <w:b/>
          <w:color w:val="64748B"/>
          <w:sz w:val="26"/>
        </w:rPr>
        <w:t xml:space="preserve">Article 04  —  </w:t>
      </w:r>
      <w:r>
        <w:rPr>
          <w:rFonts w:ascii="Calibri" w:hAnsi="Calibri"/>
          <w:b/>
          <w:color w:val="0D1B3E"/>
          <w:sz w:val="30"/>
        </w:rPr>
        <w:t>Open Source Is Non-Negotiable — Forever</w:t>
      </w:r>
    </w:p>
    <w:p>
      <w:pPr>
        <w:spacing w:before="0" w:after="80"/>
        <w:jc w:val="left"/>
      </w:pPr>
      <w:r>
        <w:rPr>
          <w:rFonts w:ascii="Calibri" w:hAnsi="Calibri"/>
          <w:b/>
          <w:i w:val="0"/>
          <w:color w:val="FF951B"/>
          <w:sz w:val="18"/>
        </w:rPr>
        <w:t>[ MANIFEST PRINCIPLE ]</w:t>
      </w:r>
    </w:p>
    <w:p>
      <w:pPr>
        <w:spacing w:before="40" w:after="60"/>
        <w:jc w:val="left"/>
      </w:pPr>
      <w:r>
        <w:rPr>
          <w:rFonts w:ascii="Calibri" w:hAnsi="Calibri"/>
          <w:b w:val="0"/>
          <w:i w:val="0"/>
          <w:color w:val="1E293B"/>
          <w:sz w:val="22"/>
        </w:rPr>
        <w:t>Every core component of DataNexus will remain open source for as long as DataNexus exists. The foundation — HDFS, Spark, Kafka, Airflow, Presto, Atlas, Ranger, Hyperledger Fabric — will never be proprietary. We innovate on top. We never lock the foundation.</w:t>
      </w:r>
    </w:p>
    <w:p>
      <w:pPr>
        <w:spacing w:before="40" w:after="60"/>
        <w:jc w:val="left"/>
      </w:pPr>
      <w:r>
        <w:rPr>
          <w:rFonts w:ascii="Calibri" w:hAnsi="Calibri"/>
          <w:b w:val="0"/>
          <w:i w:val="0"/>
          <w:color w:val="1E293B"/>
          <w:sz w:val="22"/>
        </w:rPr>
        <w:t>Any company. Any nation. Any individual engineer. Any government. All can run DataNexus without paying us a single rupee, dollar, or dirham. The platform is theirs. We offer support, managed services, and enterprise features as our business — never the right to use the foundation.</w:t>
      </w:r>
    </w:p>
    <w:p>
      <w:pPr>
        <w:spacing w:before="40" w:after="60"/>
        <w:jc w:val="left"/>
      </w:pPr>
      <w:r>
        <w:rPr>
          <w:rFonts w:ascii="Calibri" w:hAnsi="Calibri"/>
          <w:b w:val="0"/>
          <w:i w:val="0"/>
          <w:color w:val="1E293B"/>
          <w:sz w:val="22"/>
        </w:rPr>
        <w:t>AWS, GCP, and Azure were given this same foundation by the open-source community. They locked it. We will not. The open-source community built the roads. DataNexus drives on them — and keeps them free for everyone.</w:t>
      </w:r>
    </w:p>
    <w:p>
      <w:pPr>
        <w:spacing w:before="80" w:after="40"/>
      </w:pPr>
      <w:r>
        <w:rPr>
          <w:rFonts w:ascii="Calibri" w:hAnsi="Calibri"/>
          <w:b/>
          <w:color w:val="BA7517"/>
          <w:sz w:val="20"/>
        </w:rPr>
        <w:t xml:space="preserve">Gita Reference: </w:t>
      </w:r>
      <w:r>
        <w:rPr>
          <w:rFonts w:ascii="Calibri" w:hAnsi="Calibri"/>
          <w:i/>
          <w:color w:val="BA7517"/>
          <w:sz w:val="20"/>
        </w:rPr>
        <w:t>Chapter 4, Verse 7–8 — 'For the protection of the good, I manifest myself.' Open source is the good we protect.</w:t>
      </w:r>
    </w:p>
    <w:p>
      <w:pPr>
        <w:spacing w:before="40" w:after="160"/>
        <w:pBdr>
          <w:bottom w:val="single" w:sz="12" w:space="1" w:color="FF951B"/>
        </w:pBdr>
      </w:pPr>
    </w:p>
    <w:p>
      <w:pPr>
        <w:spacing w:before="280" w:after="40"/>
      </w:pPr>
      <w:r>
        <w:rPr>
          <w:rFonts w:ascii="Calibri" w:hAnsi="Calibri"/>
          <w:b/>
          <w:color w:val="64748B"/>
          <w:sz w:val="26"/>
        </w:rPr>
        <w:t xml:space="preserve">Article 05  —  </w:t>
      </w:r>
      <w:r>
        <w:rPr>
          <w:rFonts w:ascii="Calibri" w:hAnsi="Calibri"/>
          <w:b/>
          <w:color w:val="0D1B3E"/>
          <w:sz w:val="30"/>
        </w:rPr>
        <w:t>Radical Transparency — Satya</w:t>
      </w:r>
    </w:p>
    <w:p>
      <w:pPr>
        <w:spacing w:before="0" w:after="80"/>
        <w:jc w:val="left"/>
      </w:pPr>
      <w:r>
        <w:rPr>
          <w:rFonts w:ascii="Calibri" w:hAnsi="Calibri"/>
          <w:b/>
          <w:i w:val="0"/>
          <w:color w:val="BA7517"/>
          <w:sz w:val="18"/>
        </w:rPr>
        <w:t>[ BHAGAVAD GITA — SATYA ]</w:t>
      </w:r>
    </w:p>
    <w:p>
      <w:pPr>
        <w:spacing w:before="40" w:after="60"/>
        <w:jc w:val="left"/>
      </w:pPr>
      <w:r>
        <w:rPr>
          <w:rFonts w:ascii="Calibri" w:hAnsi="Calibri"/>
          <w:b w:val="0"/>
          <w:i w:val="0"/>
          <w:color w:val="1E293B"/>
          <w:sz w:val="22"/>
        </w:rPr>
        <w:t>Our pricing is public. Our architecture is public. Our errors are public. Our roadmap is public. Our sigma scores are public. The hash of every pipeline run is recorded on a public Hyperledger channel available to any authorised party.</w:t>
      </w:r>
    </w:p>
    <w:p>
      <w:pPr>
        <w:spacing w:before="40" w:after="60"/>
        <w:jc w:val="left"/>
      </w:pPr>
      <w:r>
        <w:rPr>
          <w:rFonts w:ascii="Calibri" w:hAnsi="Calibri"/>
          <w:b w:val="0"/>
          <w:i w:val="0"/>
          <w:color w:val="1E293B"/>
          <w:sz w:val="22"/>
        </w:rPr>
        <w:t>Satya — truth — is not a value we perform on our website. It is the only mode in which we operate. When a pipeline fails, we say so. When our quality drops below threshold, we say so. When a security issue is found, we disclose it within 48 hours — to customers before the press.</w:t>
      </w:r>
    </w:p>
    <w:p>
      <w:pPr>
        <w:spacing w:before="40" w:after="60"/>
        <w:jc w:val="left"/>
      </w:pPr>
      <w:r>
        <w:rPr>
          <w:rFonts w:ascii="Calibri" w:hAnsi="Calibri"/>
          <w:b w:val="0"/>
          <w:i w:val="0"/>
          <w:color w:val="1E293B"/>
          <w:sz w:val="22"/>
        </w:rPr>
        <w:t>The blockchain makes Satya structural, not aspirational. Because every transformation is hashed and recorded, there is no mechanism by which DataNexus can be dishonest about what happened to data. The ledger speaks for itself.</w:t>
      </w:r>
    </w:p>
    <w:p>
      <w:pPr>
        <w:spacing w:before="80" w:after="40"/>
      </w:pPr>
      <w:r>
        <w:rPr>
          <w:rFonts w:ascii="Calibri" w:hAnsi="Calibri"/>
          <w:b/>
          <w:color w:val="BA7517"/>
          <w:sz w:val="20"/>
        </w:rPr>
        <w:t xml:space="preserve">Gita Reference: </w:t>
      </w:r>
      <w:r>
        <w:rPr>
          <w:rFonts w:ascii="Calibri" w:hAnsi="Calibri"/>
          <w:i/>
          <w:color w:val="BA7517"/>
          <w:sz w:val="20"/>
        </w:rPr>
        <w:t>Chapter 10, Verse 41 — 'Whatever is glorious, know that to spring from a spark of my splendour.' Truth is that splendour.</w:t>
      </w:r>
    </w:p>
    <w:p>
      <w:pPr>
        <w:spacing w:before="40" w:after="40"/>
      </w:pPr>
      <w:r>
        <w:rPr>
          <w:rFonts w:ascii="Calibri" w:hAnsi="Calibri"/>
          <w:b/>
          <w:color w:val="059669"/>
          <w:sz w:val="20"/>
        </w:rPr>
        <w:t xml:space="preserve">Six Sigma Phase: </w:t>
      </w:r>
      <w:r>
        <w:rPr>
          <w:rFonts w:ascii="Calibri" w:hAnsi="Calibri"/>
          <w:color w:val="059669"/>
          <w:sz w:val="20"/>
        </w:rPr>
        <w:t>Measure — every sigma score, quality metric, and pipeline status is visible to the customer in real time.</w:t>
      </w:r>
    </w:p>
    <w:p>
      <w:pPr>
        <w:spacing w:before="40" w:after="160"/>
        <w:pBdr>
          <w:bottom w:val="single" w:sz="12" w:space="1" w:color="BA7517"/>
        </w:pBdr>
      </w:pPr>
    </w:p>
    <w:p>
      <w:pPr>
        <w:spacing w:before="280" w:after="40"/>
      </w:pPr>
      <w:r>
        <w:rPr>
          <w:rFonts w:ascii="Calibri" w:hAnsi="Calibri"/>
          <w:b/>
          <w:color w:val="64748B"/>
          <w:sz w:val="26"/>
        </w:rPr>
        <w:t xml:space="preserve">Article 06  —  </w:t>
      </w:r>
      <w:r>
        <w:rPr>
          <w:rFonts w:ascii="Calibri" w:hAnsi="Calibri"/>
          <w:b/>
          <w:color w:val="0D1B3E"/>
          <w:sz w:val="30"/>
        </w:rPr>
        <w:t>Data Sovereignty for Every Nation</w:t>
      </w:r>
    </w:p>
    <w:p>
      <w:pPr>
        <w:spacing w:before="0" w:after="80"/>
        <w:jc w:val="left"/>
      </w:pPr>
      <w:r>
        <w:rPr>
          <w:rFonts w:ascii="Calibri" w:hAnsi="Calibri"/>
          <w:b/>
          <w:i w:val="0"/>
          <w:color w:val="FF951B"/>
          <w:sz w:val="18"/>
        </w:rPr>
        <w:t>[ MANIFEST PRINCIPLE ]</w:t>
      </w:r>
    </w:p>
    <w:p>
      <w:pPr>
        <w:spacing w:before="40" w:after="60"/>
        <w:jc w:val="left"/>
      </w:pPr>
      <w:r>
        <w:rPr>
          <w:rFonts w:ascii="Calibri" w:hAnsi="Calibri"/>
          <w:b w:val="0"/>
          <w:i w:val="0"/>
          <w:color w:val="1E293B"/>
          <w:sz w:val="22"/>
        </w:rPr>
        <w:t>No Indian hospital's patient records should sit on a server in Virginia. No government's citizen data should be analysed by a foreign AI model. No financial institution's transaction data should cross borders without explicit, documented, audited consent.</w:t>
      </w:r>
    </w:p>
    <w:p>
      <w:pPr>
        <w:spacing w:before="40" w:after="60"/>
        <w:jc w:val="left"/>
      </w:pPr>
      <w:r>
        <w:rPr>
          <w:rFonts w:ascii="Calibri" w:hAnsi="Calibri"/>
          <w:b w:val="0"/>
          <w:i w:val="0"/>
          <w:color w:val="1E293B"/>
          <w:sz w:val="22"/>
        </w:rPr>
        <w:t>DataNexus runs on-premise — in your building, in your nation, under your law — by design and by architecture, not as an optional feature. The platform has no requirement for external cloud connectivity. It breathes on your machines and serves your people.</w:t>
      </w:r>
    </w:p>
    <w:p>
      <w:pPr>
        <w:spacing w:before="40" w:after="60"/>
        <w:jc w:val="left"/>
      </w:pPr>
      <w:r>
        <w:rPr>
          <w:rFonts w:ascii="Calibri" w:hAnsi="Calibri"/>
          <w:b w:val="0"/>
          <w:i w:val="0"/>
          <w:color w:val="1E293B"/>
          <w:sz w:val="22"/>
        </w:rPr>
        <w:t>This principle directly serves India's Digital Personal Data Protection Act 2023, the European Union's GDPR, and the data sovereignty requirements of governments across the Global South. DataNexus is the technical answer to laws that US cloud platforms cannot structurally comply with.</w:t>
      </w:r>
    </w:p>
    <w:p>
      <w:pPr>
        <w:spacing w:before="80" w:after="40"/>
      </w:pPr>
      <w:r>
        <w:rPr>
          <w:rFonts w:ascii="Calibri" w:hAnsi="Calibri"/>
          <w:b/>
          <w:color w:val="BA7517"/>
          <w:sz w:val="20"/>
        </w:rPr>
        <w:t xml:space="preserve">Gita Reference: </w:t>
      </w:r>
      <w:r>
        <w:rPr>
          <w:rFonts w:ascii="Calibri" w:hAnsi="Calibri"/>
          <w:i/>
          <w:color w:val="BA7517"/>
          <w:sz w:val="20"/>
        </w:rPr>
        <w:t>Chapter 18, Verse 66 — 'Surrender unto me alone. I shall liberate you.' Surrender to sovereignty — not to vendor dependency.</w:t>
      </w:r>
    </w:p>
    <w:p>
      <w:pPr>
        <w:spacing w:before="40" w:after="40"/>
      </w:pPr>
      <w:r>
        <w:rPr>
          <w:rFonts w:ascii="Calibri" w:hAnsi="Calibri"/>
          <w:b/>
          <w:color w:val="059669"/>
          <w:sz w:val="20"/>
        </w:rPr>
        <w:t xml:space="preserve">Six Sigma Phase: </w:t>
      </w:r>
      <w:r>
        <w:rPr>
          <w:rFonts w:ascii="Calibri" w:hAnsi="Calibri"/>
          <w:color w:val="059669"/>
          <w:sz w:val="20"/>
        </w:rPr>
        <w:t>Define — every deployment begins with a formal declaration of data residency jurisdiction in Apache Atlas.</w:t>
      </w:r>
    </w:p>
    <w:p>
      <w:pPr>
        <w:spacing w:before="40" w:after="160"/>
        <w:pBdr>
          <w:bottom w:val="single" w:sz="12" w:space="1" w:color="FF951B"/>
        </w:pBdr>
      </w:pPr>
    </w:p>
    <w:p>
      <w:pPr>
        <w:spacing w:before="280" w:after="40"/>
      </w:pPr>
      <w:r>
        <w:rPr>
          <w:rFonts w:ascii="Calibri" w:hAnsi="Calibri"/>
          <w:b/>
          <w:color w:val="64748B"/>
          <w:sz w:val="26"/>
        </w:rPr>
        <w:t xml:space="preserve">Article 07  —  </w:t>
      </w:r>
      <w:r>
        <w:rPr>
          <w:rFonts w:ascii="Calibri" w:hAnsi="Calibri"/>
          <w:b/>
          <w:color w:val="0D1B3E"/>
          <w:sz w:val="30"/>
        </w:rPr>
        <w:t>Every Pipeline Is a Measurable Process — DMAIC Always On</w:t>
      </w:r>
    </w:p>
    <w:p>
      <w:pPr>
        <w:spacing w:before="0" w:after="80"/>
        <w:jc w:val="left"/>
      </w:pPr>
      <w:r>
        <w:rPr>
          <w:rFonts w:ascii="Calibri" w:hAnsi="Calibri"/>
          <w:b/>
          <w:i w:val="0"/>
          <w:color w:val="059669"/>
          <w:sz w:val="18"/>
        </w:rPr>
        <w:t>[ SIX SIGMA — DMAIC ]</w:t>
      </w:r>
    </w:p>
    <w:p>
      <w:pPr>
        <w:spacing w:before="40" w:after="60"/>
        <w:jc w:val="left"/>
      </w:pPr>
      <w:r>
        <w:rPr>
          <w:rFonts w:ascii="Calibri" w:hAnsi="Calibri"/>
          <w:b w:val="0"/>
          <w:i w:val="0"/>
          <w:color w:val="1E293B"/>
          <w:sz w:val="22"/>
        </w:rPr>
        <w:t>A data pipeline is not a script. It is a process — and every process can be measured, analysed, and improved to the standards of Six Sigma. DataNexus instruments every pipeline automatically from the moment of creation.</w:t>
      </w:r>
    </w:p>
    <w:p>
      <w:pPr>
        <w:spacing w:before="40" w:after="60"/>
        <w:jc w:val="left"/>
      </w:pPr>
      <w:r>
        <w:rPr>
          <w:rFonts w:ascii="Calibri" w:hAnsi="Calibri"/>
          <w:b w:val="0"/>
          <w:i w:val="0"/>
          <w:color w:val="1E293B"/>
          <w:sz w:val="22"/>
        </w:rPr>
        <w:t>Define: the pipeline has a formal specification — owner, SLA, source, destination, quality contract. Measure: Great Expectations runs data quality checks on every batch and stream. Analyse: Spark ML identifies root causes of quality drops automatically. Improve: the self-healing Airflow plugin applies fixes without human intervention. Control: Ranger enforces quality gates and the Hyperledger ledger records every control decision.</w:t>
      </w:r>
    </w:p>
    <w:p>
      <w:pPr>
        <w:spacing w:before="40" w:after="60"/>
        <w:jc w:val="left"/>
      </w:pPr>
      <w:r>
        <w:rPr>
          <w:rFonts w:ascii="Calibri" w:hAnsi="Calibri"/>
          <w:b w:val="0"/>
          <w:i w:val="0"/>
          <w:color w:val="1E293B"/>
          <w:sz w:val="22"/>
        </w:rPr>
        <w:t>No pipeline in DataNexus runs without instrumentation. No quality issue goes undetected. No failure goes undiagnosed. This is not automation — it is discipline, encoded in software.</w:t>
      </w:r>
    </w:p>
    <w:p>
      <w:pPr>
        <w:spacing w:before="40" w:after="40"/>
      </w:pPr>
      <w:r>
        <w:rPr>
          <w:rFonts w:ascii="Calibri" w:hAnsi="Calibri"/>
          <w:b/>
          <w:color w:val="059669"/>
          <w:sz w:val="20"/>
        </w:rPr>
        <w:t xml:space="preserve">Six Sigma Phase: </w:t>
      </w:r>
      <w:r>
        <w:rPr>
          <w:rFonts w:ascii="Calibri" w:hAnsi="Calibri"/>
          <w:color w:val="059669"/>
          <w:sz w:val="20"/>
        </w:rPr>
        <w:t>All five DMAIC phases — built into the platform architecture from day one.</w:t>
      </w:r>
    </w:p>
    <w:p>
      <w:pPr>
        <w:spacing w:before="40" w:after="160"/>
        <w:pBdr>
          <w:bottom w:val="single" w:sz="12" w:space="1" w:color="059669"/>
        </w:pBdr>
      </w:pPr>
    </w:p>
    <w:p>
      <w:pPr>
        <w:spacing w:before="280" w:after="40"/>
      </w:pPr>
      <w:r>
        <w:rPr>
          <w:rFonts w:ascii="Calibri" w:hAnsi="Calibri"/>
          <w:b/>
          <w:color w:val="64748B"/>
          <w:sz w:val="26"/>
        </w:rPr>
        <w:t xml:space="preserve">Article 08  —  </w:t>
      </w:r>
      <w:r>
        <w:rPr>
          <w:rFonts w:ascii="Calibri" w:hAnsi="Calibri"/>
          <w:b/>
          <w:color w:val="0D1B3E"/>
          <w:sz w:val="30"/>
        </w:rPr>
        <w:t>Discriminate Between Noise and Signal — Viveka</w:t>
      </w:r>
    </w:p>
    <w:p>
      <w:pPr>
        <w:spacing w:before="0" w:after="80"/>
        <w:jc w:val="left"/>
      </w:pPr>
      <w:r>
        <w:rPr>
          <w:rFonts w:ascii="Calibri" w:hAnsi="Calibri"/>
          <w:b/>
          <w:i w:val="0"/>
          <w:color w:val="BA7517"/>
          <w:sz w:val="18"/>
        </w:rPr>
        <w:t>[ BHAGAVAD GITA — VIVEKA ]</w:t>
      </w:r>
    </w:p>
    <w:p>
      <w:pPr>
        <w:spacing w:before="40" w:after="60"/>
        <w:jc w:val="left"/>
      </w:pPr>
      <w:r>
        <w:rPr>
          <w:rFonts w:ascii="Calibri" w:hAnsi="Calibri"/>
          <w:b w:val="0"/>
          <w:i w:val="0"/>
          <w:color w:val="1E293B"/>
          <w:sz w:val="22"/>
        </w:rPr>
        <w:t>Viveka is the Sanskrit word for discrimination — the power of the mind to distinguish between the real and the unreal, the essential and the incidental, the signal and the noise. In data engineering, Viveka is the highest technical virtue.</w:t>
      </w:r>
    </w:p>
    <w:p>
      <w:pPr>
        <w:spacing w:before="40" w:after="60"/>
        <w:jc w:val="left"/>
      </w:pPr>
      <w:r>
        <w:rPr>
          <w:rFonts w:ascii="Calibri" w:hAnsi="Calibri"/>
          <w:b w:val="0"/>
          <w:i w:val="0"/>
          <w:color w:val="1E293B"/>
          <w:sz w:val="22"/>
        </w:rPr>
        <w:t>The DataNexus AI layer applies Viveka to every dataset: separating good data from bad, anomalies from trends, schema drift from expected evolution, urgent failures from acceptable variance. This is not pattern matching — it is judgment, modelled from expert knowledge and refined continuously through Six Sigma feedback loops.</w:t>
      </w:r>
    </w:p>
    <w:p>
      <w:pPr>
        <w:spacing w:before="40" w:after="60"/>
        <w:jc w:val="left"/>
      </w:pPr>
      <w:r>
        <w:rPr>
          <w:rFonts w:ascii="Calibri" w:hAnsi="Calibri"/>
          <w:b w:val="0"/>
          <w:i w:val="0"/>
          <w:color w:val="1E293B"/>
          <w:sz w:val="22"/>
        </w:rPr>
        <w:t>The self-healing pipeline system exercises Viveka when it diagnoses failures. The NLP query layer exercises Viveka when it disambiguates natural language. The data quality engine exercises Viveka when it distinguishes a genuine data problem from a temporary source anomaly. Viveka is not a feature — it is the intelligence of the platform.</w:t>
      </w:r>
    </w:p>
    <w:p>
      <w:pPr>
        <w:spacing w:before="80" w:after="40"/>
      </w:pPr>
      <w:r>
        <w:rPr>
          <w:rFonts w:ascii="Calibri" w:hAnsi="Calibri"/>
          <w:b/>
          <w:color w:val="BA7517"/>
          <w:sz w:val="20"/>
        </w:rPr>
        <w:t xml:space="preserve">Gita Reference: </w:t>
      </w:r>
      <w:r>
        <w:rPr>
          <w:rFonts w:ascii="Calibri" w:hAnsi="Calibri"/>
          <w:i/>
          <w:color w:val="BA7517"/>
          <w:sz w:val="20"/>
        </w:rPr>
        <w:t>Chapter 2, Verse 50 — 'Yogah karmasu kaushalam' — Skill in action is Yoga. Viveka is the skill.</w:t>
      </w:r>
    </w:p>
    <w:p>
      <w:pPr>
        <w:spacing w:before="40" w:after="40"/>
      </w:pPr>
      <w:r>
        <w:rPr>
          <w:rFonts w:ascii="Calibri" w:hAnsi="Calibri"/>
          <w:b/>
          <w:color w:val="059669"/>
          <w:sz w:val="20"/>
        </w:rPr>
        <w:t xml:space="preserve">Six Sigma Phase: </w:t>
      </w:r>
      <w:r>
        <w:rPr>
          <w:rFonts w:ascii="Calibri" w:hAnsi="Calibri"/>
          <w:color w:val="059669"/>
          <w:sz w:val="20"/>
        </w:rPr>
        <w:t>Analyse — the Spark ML root-cause engine is the technical embodiment of Viveka.</w:t>
      </w:r>
    </w:p>
    <w:p>
      <w:pPr>
        <w:spacing w:before="40" w:after="160"/>
        <w:pBdr>
          <w:bottom w:val="single" w:sz="12" w:space="1" w:color="BA7517"/>
        </w:pBdr>
      </w:pPr>
    </w:p>
    <w:p>
      <w:pPr>
        <w:spacing w:before="280" w:after="40"/>
      </w:pPr>
      <w:r>
        <w:rPr>
          <w:rFonts w:ascii="Calibri" w:hAnsi="Calibri"/>
          <w:b/>
          <w:color w:val="64748B"/>
          <w:sz w:val="26"/>
        </w:rPr>
        <w:t xml:space="preserve">Article 09  —  </w:t>
      </w:r>
      <w:r>
        <w:rPr>
          <w:rFonts w:ascii="Calibri" w:hAnsi="Calibri"/>
          <w:b/>
          <w:color w:val="0D1B3E"/>
          <w:sz w:val="30"/>
        </w:rPr>
        <w:t>Accessible to Every Skill Level — Universal Data Engineering</w:t>
      </w:r>
    </w:p>
    <w:p>
      <w:pPr>
        <w:spacing w:before="0" w:after="80"/>
        <w:jc w:val="left"/>
      </w:pPr>
      <w:r>
        <w:rPr>
          <w:rFonts w:ascii="Calibri" w:hAnsi="Calibri"/>
          <w:b/>
          <w:i w:val="0"/>
          <w:color w:val="FF951B"/>
          <w:sz w:val="18"/>
        </w:rPr>
        <w:t>[ MANIFEST PRINCIPLE ]</w:t>
      </w:r>
    </w:p>
    <w:p>
      <w:pPr>
        <w:spacing w:before="40" w:after="60"/>
        <w:jc w:val="left"/>
      </w:pPr>
      <w:r>
        <w:rPr>
          <w:rFonts w:ascii="Calibri" w:hAnsi="Calibri"/>
          <w:b w:val="0"/>
          <w:i w:val="0"/>
          <w:color w:val="1E293B"/>
          <w:sz w:val="22"/>
        </w:rPr>
        <w:t>A data engineer at a Fortune 500 company in Mumbai and a cooperative society secretary in Warangal deserve the same power over their data. DataNexus is committed to radical accessibility — not as a simplified product, but as a fully capable platform that meets every user where they are.</w:t>
      </w:r>
    </w:p>
    <w:p>
      <w:pPr>
        <w:spacing w:before="40" w:after="60"/>
        <w:jc w:val="left"/>
      </w:pPr>
      <w:r>
        <w:rPr>
          <w:rFonts w:ascii="Calibri" w:hAnsi="Calibri"/>
          <w:b w:val="0"/>
          <w:i w:val="0"/>
          <w:color w:val="1E293B"/>
          <w:sz w:val="22"/>
        </w:rPr>
        <w:t>The NLP query layer accepts questions in Telugu, Hindi, Tamil, English, and any language supported by the underlying open-source LLM. The visual pipeline builder in Apache NiFi requires no code. The Six Sigma quality dashboard requires no statistical training to read. The blockchain audit trail requires no cryptography knowledge to verify.</w:t>
      </w:r>
    </w:p>
    <w:p>
      <w:pPr>
        <w:spacing w:before="40" w:after="60"/>
        <w:jc w:val="left"/>
      </w:pPr>
      <w:r>
        <w:rPr>
          <w:rFonts w:ascii="Calibri" w:hAnsi="Calibri"/>
          <w:b w:val="0"/>
          <w:i w:val="0"/>
          <w:color w:val="1E293B"/>
          <w:sz w:val="22"/>
        </w:rPr>
        <w:t>Democratising data engineering does not mean reducing its capability. It means reducing the barrier to accessing that capability. DataNexus does both — full enterprise power, universal access.</w:t>
      </w:r>
    </w:p>
    <w:p>
      <w:pPr>
        <w:spacing w:before="80" w:after="40"/>
      </w:pPr>
      <w:r>
        <w:rPr>
          <w:rFonts w:ascii="Calibri" w:hAnsi="Calibri"/>
          <w:b/>
          <w:color w:val="BA7517"/>
          <w:sz w:val="20"/>
        </w:rPr>
        <w:t xml:space="preserve">Gita Reference: </w:t>
      </w:r>
      <w:r>
        <w:rPr>
          <w:rFonts w:ascii="Calibri" w:hAnsi="Calibri"/>
          <w:i/>
          <w:color w:val="BA7517"/>
          <w:sz w:val="20"/>
        </w:rPr>
        <w:t>Chapter 18, Verse 41 — every person operates according to their nature. DataNexus meets every nature.</w:t>
      </w:r>
    </w:p>
    <w:p>
      <w:pPr>
        <w:spacing w:before="40" w:after="160"/>
        <w:pBdr>
          <w:bottom w:val="single" w:sz="12" w:space="1" w:color="FF951B"/>
        </w:pBdr>
      </w:pPr>
    </w:p>
    <w:p>
      <w:pPr>
        <w:spacing w:before="280" w:after="40"/>
      </w:pPr>
      <w:r>
        <w:rPr>
          <w:rFonts w:ascii="Calibri" w:hAnsi="Calibri"/>
          <w:b/>
          <w:color w:val="64748B"/>
          <w:sz w:val="26"/>
        </w:rPr>
        <w:t xml:space="preserve">Article 10  —  </w:t>
      </w:r>
      <w:r>
        <w:rPr>
          <w:rFonts w:ascii="Calibri" w:hAnsi="Calibri"/>
          <w:b/>
          <w:color w:val="0D1B3E"/>
          <w:sz w:val="30"/>
        </w:rPr>
        <w:t>Immutable Accountability — Blockchain by Default</w:t>
      </w:r>
    </w:p>
    <w:p>
      <w:pPr>
        <w:spacing w:before="0" w:after="80"/>
        <w:jc w:val="left"/>
      </w:pPr>
      <w:r>
        <w:rPr>
          <w:rFonts w:ascii="Calibri" w:hAnsi="Calibri"/>
          <w:b/>
          <w:i w:val="0"/>
          <w:color w:val="028090"/>
          <w:sz w:val="18"/>
        </w:rPr>
        <w:t>[ MANIFEST + SIX SIGMA + GITA — ALL THREE ]</w:t>
      </w:r>
    </w:p>
    <w:p>
      <w:pPr>
        <w:spacing w:before="40" w:after="60"/>
        <w:jc w:val="left"/>
      </w:pPr>
      <w:r>
        <w:rPr>
          <w:rFonts w:ascii="Calibri" w:hAnsi="Calibri"/>
          <w:b w:val="0"/>
          <w:i w:val="0"/>
          <w:color w:val="1E293B"/>
          <w:sz w:val="22"/>
        </w:rPr>
        <w:t>Who touched this data? When did they touch it? What transformation did they apply? What was the quality before and after? Who authorised it? These are not optional questions — they are the minimum standard of responsible data stewardship.</w:t>
      </w:r>
    </w:p>
    <w:p>
      <w:pPr>
        <w:spacing w:before="40" w:after="60"/>
        <w:jc w:val="left"/>
      </w:pPr>
      <w:r>
        <w:rPr>
          <w:rFonts w:ascii="Calibri" w:hAnsi="Calibri"/>
          <w:b w:val="0"/>
          <w:i w:val="0"/>
          <w:color w:val="1E293B"/>
          <w:sz w:val="22"/>
        </w:rPr>
        <w:t>DataNexus answers all of them, automatically, on every pipeline run, by recording a cryptographic hash to Hyperledger Fabric — a permissioned, enterprise-grade blockchain. The record is permanent. It cannot be altered by any administrator, any engineer, or any DataNexus employee. The ledger is the truth.</w:t>
      </w:r>
    </w:p>
    <w:p>
      <w:pPr>
        <w:spacing w:before="40" w:after="60"/>
        <w:jc w:val="left"/>
      </w:pPr>
      <w:r>
        <w:rPr>
          <w:rFonts w:ascii="Calibri" w:hAnsi="Calibri"/>
          <w:b w:val="0"/>
          <w:i w:val="0"/>
          <w:color w:val="1E293B"/>
          <w:sz w:val="22"/>
        </w:rPr>
        <w:t>This principle serves compliance, regulation, audit, and trust. But more fundamentally, it serves the engineers and organisations who use DataNexus — because accountability is not a burden. It is the foundation on which trust is built, and trust is the foundation on which great organisations operate.</w:t>
      </w:r>
    </w:p>
    <w:p>
      <w:pPr>
        <w:spacing w:before="80" w:after="40"/>
      </w:pPr>
      <w:r>
        <w:rPr>
          <w:rFonts w:ascii="Calibri" w:hAnsi="Calibri"/>
          <w:b/>
          <w:color w:val="BA7517"/>
          <w:sz w:val="20"/>
        </w:rPr>
        <w:t xml:space="preserve">Gita Reference: </w:t>
      </w:r>
      <w:r>
        <w:rPr>
          <w:rFonts w:ascii="Calibri" w:hAnsi="Calibri"/>
          <w:i/>
          <w:color w:val="BA7517"/>
          <w:sz w:val="20"/>
        </w:rPr>
        <w:t>Chapter 4, Verse 7 — 'Whenever righteousness declines, I manifest.' Blockchain is our manifestation of accountability.</w:t>
      </w:r>
    </w:p>
    <w:p>
      <w:pPr>
        <w:spacing w:before="40" w:after="40"/>
      </w:pPr>
      <w:r>
        <w:rPr>
          <w:rFonts w:ascii="Calibri" w:hAnsi="Calibri"/>
          <w:b/>
          <w:color w:val="059669"/>
          <w:sz w:val="20"/>
        </w:rPr>
        <w:t xml:space="preserve">Six Sigma Phase: </w:t>
      </w:r>
      <w:r>
        <w:rPr>
          <w:rFonts w:ascii="Calibri" w:hAnsi="Calibri"/>
          <w:color w:val="059669"/>
          <w:sz w:val="20"/>
        </w:rPr>
        <w:t>Control — Hyperledger Fabric is the Control layer of our DMAIC architecture.</w:t>
      </w:r>
    </w:p>
    <w:p>
      <w:pPr>
        <w:spacing w:before="40" w:after="160"/>
        <w:pBdr>
          <w:bottom w:val="single" w:sz="12" w:space="1" w:color="028090"/>
        </w:pBdr>
      </w:pPr>
    </w:p>
    <w:p>
      <w:pPr>
        <w:spacing w:before="280" w:after="40"/>
      </w:pPr>
      <w:r>
        <w:rPr>
          <w:rFonts w:ascii="Calibri" w:hAnsi="Calibri"/>
          <w:b/>
          <w:color w:val="64748B"/>
          <w:sz w:val="26"/>
        </w:rPr>
        <w:t xml:space="preserve">Article 11  —  </w:t>
      </w:r>
      <w:r>
        <w:rPr>
          <w:rFonts w:ascii="Calibri" w:hAnsi="Calibri"/>
          <w:b/>
          <w:color w:val="0D1B3E"/>
          <w:sz w:val="30"/>
        </w:rPr>
        <w:t>Continuous Improvement — The Control Phase Never Ends</w:t>
      </w:r>
    </w:p>
    <w:p>
      <w:pPr>
        <w:spacing w:before="0" w:after="80"/>
        <w:jc w:val="left"/>
      </w:pPr>
      <w:r>
        <w:rPr>
          <w:rFonts w:ascii="Calibri" w:hAnsi="Calibri"/>
          <w:b/>
          <w:i w:val="0"/>
          <w:color w:val="059669"/>
          <w:sz w:val="18"/>
        </w:rPr>
        <w:t>[ SIX SIGMA — CONTROL ]</w:t>
      </w:r>
    </w:p>
    <w:p>
      <w:pPr>
        <w:spacing w:before="40" w:after="60"/>
        <w:jc w:val="left"/>
      </w:pPr>
      <w:r>
        <w:rPr>
          <w:rFonts w:ascii="Calibri" w:hAnsi="Calibri"/>
          <w:b w:val="0"/>
          <w:i w:val="0"/>
          <w:color w:val="1E293B"/>
          <w:sz w:val="22"/>
        </w:rPr>
        <w:t>Six Sigma's Control phase is where most organisations stop — they reach a quality level, declare victory, and move on. DataNexus treats Control as a permanent operating mode, not a project milestone. Every metric is measured continuously. Every score is public. Every drop triggers a response.</w:t>
      </w:r>
    </w:p>
    <w:p>
      <w:pPr>
        <w:spacing w:before="40" w:after="60"/>
        <w:jc w:val="left"/>
      </w:pPr>
      <w:r>
        <w:rPr>
          <w:rFonts w:ascii="Calibri" w:hAnsi="Calibri"/>
          <w:b w:val="0"/>
          <w:i w:val="0"/>
          <w:color w:val="1E293B"/>
          <w:sz w:val="22"/>
        </w:rPr>
        <w:t>DataNexus measures itself daily: pipeline reliability, query latency, data quality sigma scores, incident response time, customer satisfaction, open-source community health, team morale. These are not internal metrics — they are published on our public dashboard, visible to every customer and contributor.</w:t>
      </w:r>
    </w:p>
    <w:p>
      <w:pPr>
        <w:spacing w:before="40" w:after="60"/>
        <w:jc w:val="left"/>
      </w:pPr>
      <w:r>
        <w:rPr>
          <w:rFonts w:ascii="Calibri" w:hAnsi="Calibri"/>
          <w:b w:val="0"/>
          <w:i w:val="0"/>
          <w:color w:val="1E293B"/>
          <w:sz w:val="22"/>
        </w:rPr>
        <w:t>This principle is the reason DataNexus will improve every month for its entire existence. Complacency is the enemy of quality. The moment we stop measuring, we begin declining. The Control phase never ends because excellence has no finish line.</w:t>
      </w:r>
    </w:p>
    <w:p>
      <w:pPr>
        <w:spacing w:before="40" w:after="40"/>
      </w:pPr>
      <w:r>
        <w:rPr>
          <w:rFonts w:ascii="Calibri" w:hAnsi="Calibri"/>
          <w:b/>
          <w:color w:val="059669"/>
          <w:sz w:val="20"/>
        </w:rPr>
        <w:t xml:space="preserve">Six Sigma Phase: </w:t>
      </w:r>
      <w:r>
        <w:rPr>
          <w:rFonts w:ascii="Calibri" w:hAnsi="Calibri"/>
          <w:color w:val="059669"/>
          <w:sz w:val="20"/>
        </w:rPr>
        <w:t>Control — the permanent, ongoing phase of our DMAIC architecture applied to the platform itself.</w:t>
      </w:r>
    </w:p>
    <w:p>
      <w:pPr>
        <w:spacing w:before="40" w:after="160"/>
        <w:pBdr>
          <w:bottom w:val="single" w:sz="12" w:space="1" w:color="059669"/>
        </w:pBdr>
      </w:pPr>
    </w:p>
    <w:p>
      <w:pPr>
        <w:spacing w:before="280" w:after="40"/>
      </w:pPr>
      <w:r>
        <w:rPr>
          <w:rFonts w:ascii="Calibri" w:hAnsi="Calibri"/>
          <w:b/>
          <w:color w:val="64748B"/>
          <w:sz w:val="26"/>
        </w:rPr>
        <w:t xml:space="preserve">Article 12  —  </w:t>
      </w:r>
      <w:r>
        <w:rPr>
          <w:rFonts w:ascii="Calibri" w:hAnsi="Calibri"/>
          <w:b/>
          <w:color w:val="0D1B3E"/>
          <w:sz w:val="30"/>
        </w:rPr>
        <w:t>For the Welfare of All Worlds — Lokasangraha</w:t>
      </w:r>
    </w:p>
    <w:p>
      <w:pPr>
        <w:spacing w:before="0" w:after="80"/>
        <w:jc w:val="left"/>
      </w:pPr>
      <w:r>
        <w:rPr>
          <w:rFonts w:ascii="Calibri" w:hAnsi="Calibri"/>
          <w:b/>
          <w:i w:val="0"/>
          <w:color w:val="BA7517"/>
          <w:sz w:val="18"/>
        </w:rPr>
        <w:t>[ BHAGAVAD GITA — LOKASANGRAHA ]</w:t>
      </w:r>
    </w:p>
    <w:p>
      <w:pPr>
        <w:spacing w:before="40" w:after="60"/>
        <w:jc w:val="left"/>
      </w:pPr>
      <w:r>
        <w:rPr>
          <w:rFonts w:ascii="Calibri" w:hAnsi="Calibri"/>
          <w:b w:val="0"/>
          <w:i w:val="0"/>
          <w:color w:val="1E293B"/>
          <w:sz w:val="22"/>
        </w:rPr>
        <w:t>Lokasangraha — holding the world together — is the final and highest principle of the Bhagavad Gita's philosophy of action. Krishna tells Arjuna that a great person acts not for personal gain but for the welfare of all worlds, setting an example that others may follow.</w:t>
      </w:r>
    </w:p>
    <w:p>
      <w:pPr>
        <w:spacing w:before="40" w:after="60"/>
        <w:jc w:val="left"/>
      </w:pPr>
      <w:r>
        <w:rPr>
          <w:rFonts w:ascii="Calibri" w:hAnsi="Calibri"/>
          <w:b w:val="0"/>
          <w:i w:val="0"/>
          <w:color w:val="1E293B"/>
          <w:sz w:val="22"/>
        </w:rPr>
        <w:t>DataNexus exists for the welfare of all who work with data. The engineer who spends six hours debugging a broken pipeline. The analyst who cannot get answers from locked-in systems. The government department that cannot afford a $10M enterprise contract. The hospital that needs compliant, sovereign, verifiable patient data management. The farmer's cooperative that deserves to understand its own crop yield data.</w:t>
      </w:r>
    </w:p>
    <w:p>
      <w:pPr>
        <w:spacing w:before="40" w:after="60"/>
        <w:jc w:val="left"/>
      </w:pPr>
      <w:r>
        <w:rPr>
          <w:rFonts w:ascii="Calibri" w:hAnsi="Calibri"/>
          <w:b w:val="0"/>
          <w:i w:val="0"/>
          <w:color w:val="1E293B"/>
          <w:sz w:val="22"/>
        </w:rPr>
        <w:t>Every line of code in DataNexus is written in the spirit of Lokasangraha. We measure our success not only by revenue or users or sigma scores — but by whether the world's data ecosystem is more just, more open, more trustworthy, and more accessible because we existed.</w:t>
      </w:r>
    </w:p>
    <w:p>
      <w:pPr>
        <w:spacing w:before="80" w:after="40"/>
      </w:pPr>
      <w:r>
        <w:rPr>
          <w:rFonts w:ascii="Calibri" w:hAnsi="Calibri"/>
          <w:b/>
          <w:color w:val="BA7517"/>
          <w:sz w:val="20"/>
        </w:rPr>
        <w:t xml:space="preserve">Gita Reference: </w:t>
      </w:r>
      <w:r>
        <w:rPr>
          <w:rFonts w:ascii="Calibri" w:hAnsi="Calibri"/>
          <w:i/>
          <w:color w:val="BA7517"/>
          <w:sz w:val="20"/>
        </w:rPr>
        <w:t>Chapter 3, Verse 25 — 'As the ignorant act with attachment, so should the wise act without attachment, for the welfare of the world.'</w:t>
      </w:r>
    </w:p>
    <w:p>
      <w:pPr>
        <w:spacing w:before="40" w:after="160"/>
        <w:pBdr>
          <w:bottom w:val="single" w:sz="12" w:space="1" w:color="BA7517"/>
        </w:pBdr>
      </w:pPr>
    </w:p>
    <w:p>
      <w:r>
        <w:br w:type="page"/>
      </w:r>
    </w:p>
    <w:p>
      <w:pPr>
        <w:spacing w:before="480" w:after="120"/>
        <w:jc w:val="left"/>
      </w:pPr>
      <w:r>
        <w:rPr>
          <w:rFonts w:ascii="Calibri" w:hAnsi="Calibri"/>
          <w:b/>
          <w:i w:val="0"/>
          <w:color w:val="0D1B3E"/>
          <w:sz w:val="56"/>
        </w:rPr>
        <w:t>Closing Declaration</w:t>
      </w:r>
    </w:p>
    <w:p>
      <w:pPr>
        <w:spacing w:before="40" w:after="160"/>
        <w:pBdr>
          <w:bottom w:val="single" w:sz="12" w:space="1" w:color="0D1B3E"/>
        </w:pBdr>
      </w:pPr>
    </w:p>
    <w:p>
      <w:pPr>
        <w:spacing w:before="40" w:after="80"/>
        <w:jc w:val="left"/>
      </w:pPr>
      <w:r>
        <w:rPr>
          <w:rFonts w:ascii="Calibri" w:hAnsi="Calibri"/>
          <w:b w:val="0"/>
          <w:i w:val="0"/>
          <w:color w:val="1E293B"/>
          <w:sz w:val="22"/>
        </w:rPr>
        <w:t>We, the founders of DataNexus, sign this Manifest not as a document of intentions but as a binding declaration of who we are.</w:t>
      </w:r>
    </w:p>
    <w:p>
      <w:pPr>
        <w:spacing w:before="0" w:after="120"/>
        <w:jc w:val="left"/>
      </w:pPr>
    </w:p>
    <w:p>
      <w:pPr>
        <w:spacing w:before="40" w:after="80"/>
        <w:jc w:val="left"/>
      </w:pPr>
      <w:r>
        <w:rPr>
          <w:rFonts w:ascii="Calibri" w:hAnsi="Calibri"/>
          <w:b w:val="0"/>
          <w:i w:val="0"/>
          <w:color w:val="1E293B"/>
          <w:sz w:val="22"/>
        </w:rPr>
        <w:t>We will be tested. Investors will pressure us to extract more from customers. Competitors will force us to move faster than quality allows. Governments will ask for backdoors. Large enterprises will offer contracts conditional on compromises. Employees will propose shortcuts that violate these principles.</w:t>
      </w:r>
    </w:p>
    <w:p>
      <w:pPr>
        <w:spacing w:before="0" w:after="120"/>
        <w:jc w:val="left"/>
      </w:pPr>
    </w:p>
    <w:p>
      <w:pPr>
        <w:spacing w:before="40" w:after="80"/>
        <w:jc w:val="left"/>
      </w:pPr>
      <w:r>
        <w:rPr>
          <w:rFonts w:ascii="Calibri" w:hAnsi="Calibri"/>
          <w:b w:val="0"/>
          <w:i w:val="0"/>
          <w:color w:val="1E293B"/>
          <w:sz w:val="22"/>
        </w:rPr>
        <w:t>In every one of those moments, this Manifest is the answer. Not because it is written here — but because it is who we are.</w:t>
      </w:r>
    </w:p>
    <w:p>
      <w:pPr>
        <w:spacing w:before="0" w:after="120"/>
        <w:jc w:val="left"/>
      </w:pPr>
    </w:p>
    <w:p>
      <w:pPr>
        <w:spacing w:before="40" w:after="80"/>
        <w:jc w:val="left"/>
      </w:pPr>
      <w:r>
        <w:rPr>
          <w:rFonts w:ascii="Calibri" w:hAnsi="Calibri"/>
          <w:b w:val="0"/>
          <w:i w:val="0"/>
          <w:color w:val="1E293B"/>
          <w:sz w:val="22"/>
        </w:rPr>
        <w:t>The world does not need another data platform. It needs a data platform with a soul — built with the clarity of a Manifest, the wisdom of the Gita, and the discipline of Six Sigma. It needs DataNexus.</w:t>
      </w:r>
    </w:p>
    <w:p>
      <w:pPr>
        <w:spacing w:before="0" w:after="120"/>
        <w:jc w:val="left"/>
      </w:pPr>
    </w:p>
    <w:p>
      <w:pPr>
        <w:spacing w:before="120" w:after="40"/>
        <w:jc w:val="center"/>
      </w:pPr>
      <w:r>
        <w:rPr>
          <w:rFonts w:ascii="Calibri" w:hAnsi="Calibri"/>
          <w:b w:val="0"/>
          <w:i/>
          <w:color w:val="BA7517"/>
          <w:sz w:val="26"/>
        </w:rPr>
        <w:t>"Karmanye vadhikaraste ma phaleshu kadachana" —</w:t>
      </w:r>
    </w:p>
    <w:p>
      <w:pPr>
        <w:spacing w:before="40" w:after="80"/>
        <w:jc w:val="left"/>
      </w:pPr>
      <w:r>
        <w:rPr>
          <w:rFonts w:ascii="Calibri" w:hAnsi="Calibri"/>
          <w:b w:val="0"/>
          <w:i w:val="0"/>
          <w:color w:val="1E293B"/>
          <w:sz w:val="22"/>
        </w:rPr>
        <w:t>You have the right to perform your duty. Never to the fruits thereof.</w:t>
      </w:r>
    </w:p>
    <w:p>
      <w:pPr>
        <w:spacing w:before="0" w:after="120"/>
        <w:jc w:val="left"/>
      </w:pPr>
    </w:p>
    <w:p>
      <w:pPr>
        <w:spacing w:before="40" w:after="80"/>
        <w:jc w:val="left"/>
      </w:pPr>
      <w:r>
        <w:rPr>
          <w:rFonts w:ascii="Calibri" w:hAnsi="Calibri"/>
          <w:b w:val="0"/>
          <w:i w:val="0"/>
          <w:color w:val="1E293B"/>
          <w:sz w:val="22"/>
        </w:rPr>
        <w:t>We proceed. We build. We shake the world.</w:t>
      </w:r>
    </w:p>
    <w:p>
      <w:pPr>
        <w:spacing w:before="40" w:after="160"/>
        <w:pBdr>
          <w:bottom w:val="single" w:sz="12" w:space="1" w:color="FF951B"/>
        </w:pBdr>
      </w:pPr>
    </w:p>
    <w:p>
      <w:pPr>
        <w:spacing w:before="240" w:after="80"/>
        <w:jc w:val="center"/>
      </w:pPr>
      <w:r>
        <w:rPr>
          <w:rFonts w:ascii="Calibri" w:hAnsi="Calibri"/>
          <w:b w:val="0"/>
          <w:i w:val="0"/>
          <w:color w:val="64748B"/>
          <w:sz w:val="20"/>
        </w:rPr>
        <w:t>DataNexus  ·  datanexus.io  ·  Hyderabad, India  ·  2025</w:t>
      </w:r>
    </w:p>
    <w:p>
      <w:pPr>
        <w:spacing w:before="0" w:after="240"/>
        <w:jc w:val="center"/>
      </w:pPr>
      <w:r>
        <w:rPr>
          <w:rFonts w:ascii="Calibri" w:hAnsi="Calibri"/>
          <w:b w:val="0"/>
          <w:i w:val="0"/>
          <w:color w:val="64748B"/>
          <w:sz w:val="20"/>
        </w:rPr>
        <w:t>Open Source  ·  Dharma-driven  ·  Six Sigma  ·  Blockchain-verified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