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f2"/>
        <w:ind w:left="870" w:hanging="870"/>
        <w:wordWrap w:val="off"/>
        <w:jc w:val="both"/>
        <w:spacing w:after="60" w:afterAutospacing="0" w:before="0" w:beforeAutospacing="0" w:line="340" w:lineRule="exact"/>
        <w:rPr>
          <w:rFonts w:ascii="함초롬바탕" w:eastAsia="함초롬바탕" w:hAnsi="함초롬바탕" w:cs="함초롬바탕"/>
          <w:color w:val="000000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1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적용범위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구매업체의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물품대금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및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용역대금의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지불에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업무에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적용한다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b/>
          <w:sz w:val="24"/>
          <w:szCs w:val="26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2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목적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매입채무를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합리적으로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관리함으로써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거래위험을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최소화하고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구매업무의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안정성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및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효율성을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제고시키는데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목적이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있다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  <w:r>
        <w:rPr>
          <w:rFonts w:ascii="함초롬바탕" w:eastAsia="함초롬바탕" w:hAnsi="함초롬바탕" w:cs="함초롬바탕"/>
          <w:sz w:val="24"/>
          <w:szCs w:val="26"/>
        </w:rPr>
        <w:br/>
      </w: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3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용어의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정의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pStyle w:val="af1"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매입채무</w:t>
      </w:r>
    </w:p>
    <w:p>
      <w:pPr>
        <w:ind w:leftChars="100" w:left="2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일반적으로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국내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원자재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구입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소모품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구입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또는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용역대금등을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당월에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현금으로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지불하지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않고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규칙에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채무를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말한다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</w:t>
      </w:r>
    </w:p>
    <w:p>
      <w:pPr>
        <w:ind w:leftChars="100" w:left="2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물품을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납품하거나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용역을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제공하기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위하여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기준에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조에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따라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은행계좌를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업체를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말한다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1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</w:t>
      </w:r>
    </w:p>
    <w:p>
      <w:pPr>
        <w:ind w:leftChars="100" w:left="2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회사의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업무와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관련된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또는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용역의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구입업무를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수행하는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부서를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말한다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b/>
          <w:sz w:val="24"/>
          <w:szCs w:val="26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4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책임과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권한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pStyle w:val="af1"/>
        <w:ind w:hanging="116"/>
        <w:numPr>
          <w:ilvl w:val="0"/>
          <w:numId w:val="2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t>자금팀</w:t>
      </w:r>
    </w:p>
    <w:p>
      <w:pPr>
        <w:ind w:leftChars="200" w:left="4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1.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의뢰한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재무평가를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실시한다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ind w:leftChars="200" w:left="4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2.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본규정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7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조에서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정하는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대금지급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방법에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따라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대금을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ind w:leftChars="200" w:left="4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3.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구매업체에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거래조건의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변경등의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시정조치를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요구할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있다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ind w:hanging="116"/>
        <w:numPr>
          <w:ilvl w:val="0"/>
          <w:numId w:val="2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협력업체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선정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재무평가를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의뢰하고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결과를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대표이사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에게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보고하여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승인을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득한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조에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은행계좌등록에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필요한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서류를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제출한다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b/>
          <w:sz w:val="24"/>
          <w:szCs w:val="26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5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(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은행계좌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등록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)</w:t>
      </w:r>
    </w:p>
    <w:p>
      <w:pPr>
        <w:pStyle w:val="af1"/>
        <w:numPr>
          <w:ilvl w:val="0"/>
          <w:numId w:val="3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계좌등록</w:t>
      </w:r>
    </w:p>
    <w:p>
      <w:pPr>
        <w:pStyle w:val="af1"/>
        <w:numPr>
          <w:ilvl w:val="0"/>
          <w:numId w:val="4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등록하고자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업체를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ERP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계좌번호등록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메뉴를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통해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승인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신청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승인을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진행한다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4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등록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서류</w:t>
      </w:r>
    </w:p>
    <w:p>
      <w:pPr>
        <w:ind w:leftChars="500" w:left="10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수령용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계좌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통장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</w:t>
      </w:r>
    </w:p>
    <w:p>
      <w:pPr>
        <w:ind w:leftChars="500" w:left="1000"/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사업자등록증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</w:t>
      </w:r>
      <w:r>
        <w:rPr>
          <w:rFonts w:ascii="함초롬바탕" w:eastAsia="함초롬바탕" w:hAnsi="함초롬바탕" w:cs="함초롬바탕"/>
          <w:sz w:val="24"/>
          <w:szCs w:val="26"/>
        </w:rPr>
        <w:br/>
      </w:r>
    </w:p>
    <w:p>
      <w:pPr>
        <w:pStyle w:val="af1"/>
        <w:numPr>
          <w:ilvl w:val="0"/>
          <w:numId w:val="3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거래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사항을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월말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마감을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원칙으로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외상매입금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및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6"/>
        </w:rPr>
        <w:br/>
      </w:r>
      <w:r>
        <w:rPr>
          <w:rFonts w:ascii="함초롬바탕" w:eastAsia="함초롬바탕" w:hAnsi="함초롬바탕" w:cs="함초롬바탕" w:hint="eastAsia"/>
          <w:sz w:val="24"/>
          <w:szCs w:val="26"/>
        </w:rPr>
        <w:t>미지급금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등 매입채무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계상하여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관리한다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6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（고정거래업체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평가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및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등록）</w:t>
      </w:r>
    </w:p>
    <w:p>
      <w:pPr>
        <w:pStyle w:val="af1"/>
        <w:numPr>
          <w:ilvl w:val="0"/>
          <w:numId w:val="5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재무평가는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신규등록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평가하고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사후에는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매년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실시하는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것을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원칙으로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문제가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있을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경우에는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특별히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평가할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있다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ind w:left="851"/>
        <w:numPr>
          <w:ilvl w:val="0"/>
          <w:numId w:val="5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구매담당부서가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기준에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관련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서류를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작성한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사업자등록증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,</w:t>
      </w:r>
      <w:r>
        <w:rPr>
          <w:rFonts w:ascii="함초롬바탕" w:eastAsia="함초롬바탕" w:hAnsi="함초롬바탕" w:cs="함초롬바탕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법인인감증명서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재무제표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(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대차대조표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손익계산서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),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은행계좌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서류를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첨부하여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재무평가를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의뢰하고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팀으로부터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평가결과를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받아서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대표이사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승인을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득하여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거래업체로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  <w:r>
        <w:rPr>
          <w:rFonts w:ascii="함초롬바탕" w:eastAsia="함초롬바탕" w:hAnsi="함초롬바탕" w:cs="함초롬바탕"/>
          <w:sz w:val="24"/>
          <w:szCs w:val="26"/>
        </w:rPr>
        <w:br/>
      </w:r>
    </w:p>
    <w:p>
      <w:pPr>
        <w:spacing w:after="60" w:line="340" w:lineRule="exact"/>
        <w:rPr>
          <w:rFonts w:ascii="함초롬바탕" w:eastAsia="함초롬바탕" w:hAnsi="함초롬바탕" w:cs="함초롬바탕"/>
          <w:b/>
          <w:color w:val="0000FF"/>
          <w:sz w:val="26"/>
          <w:szCs w:val="26"/>
        </w:rPr>
      </w:pP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제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7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조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（대금지급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b/>
          <w:color w:val="0000FF"/>
          <w:sz w:val="26"/>
          <w:szCs w:val="26"/>
        </w:rPr>
        <w:t>방법）</w:t>
      </w:r>
    </w:p>
    <w:p>
      <w:pPr>
        <w:pStyle w:val="af1"/>
        <w:numPr>
          <w:ilvl w:val="0"/>
          <w:numId w:val="6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현금지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급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2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것을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원칙으로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초일에서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말일까지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매입분을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결산을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통해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익월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5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또는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말일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.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지급일이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공휴일인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경우는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익일에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6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계약서에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지불은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사전에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협조를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구한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경우에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한하여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계약조건에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의거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6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업무수행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상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긴급을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요하거나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특별한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사정이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있는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경우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관련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기안을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작성하여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담당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부서장의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결재를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득하여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제출하면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자금사정을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고려하여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지급여부를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팀장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검토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관리담당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임원에게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보고하여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결정한다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6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정하는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대금지급일이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법정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공휴일인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경우는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익일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pStyle w:val="af1"/>
        <w:numPr>
          <w:ilvl w:val="0"/>
          <w:numId w:val="6"/>
        </w:num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대금지급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방법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정기지급일에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지급하는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매입채무는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고정거래업체에서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등록한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물품대금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수령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은행으로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     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자금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팀에서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직접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ON-LINE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송금한다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/>
          <w:sz w:val="24"/>
          <w:szCs w:val="26"/>
        </w:rPr>
        <w:br/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>
      <w:pPr>
        <w:jc w:val="center"/>
        <w:spacing w:after="60" w:line="340" w:lineRule="exact"/>
        <w:rPr>
          <w:rFonts w:ascii="함초롬바탕" w:eastAsia="함초롬바탕" w:hAnsi="함초롬바탕" w:cs="함초롬바탕"/>
          <w:b/>
          <w:sz w:val="32"/>
          <w:szCs w:val="32"/>
        </w:rPr>
      </w:pP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부</w:t>
      </w:r>
      <w:r>
        <w:rPr>
          <w:lang w:eastAsia="ko-KR"/>
          <w:rFonts w:ascii="함초롬바탕" w:eastAsia="함초롬바탕" w:hAnsi="함초롬바탕" w:cs="함초롬바탕" w:hint="eastAsia"/>
          <w:b/>
          <w:sz w:val="32"/>
          <w:szCs w:val="32"/>
          <w:rtl w:val="off"/>
        </w:rPr>
        <w:t xml:space="preserve"> </w:t>
      </w:r>
      <w:r>
        <w:rPr>
          <w:rFonts w:ascii="함초롬바탕" w:eastAsia="함초롬바탕" w:hAnsi="함초롬바탕" w:cs="함초롬바탕" w:hint="eastAsia"/>
          <w:b/>
          <w:sz w:val="32"/>
          <w:szCs w:val="32"/>
        </w:rPr>
        <w:t>칙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제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（시행일）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2002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7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일부터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p>
      <w:pPr>
        <w:spacing w:after="60" w:line="340" w:lineRule="exact"/>
        <w:rPr>
          <w:rFonts w:ascii="함초롬바탕" w:eastAsia="함초롬바탕" w:hAnsi="함초롬바탕" w:cs="함초롬바탕"/>
          <w:sz w:val="24"/>
          <w:szCs w:val="26"/>
        </w:rPr>
      </w:pPr>
      <w:r>
        <w:rPr>
          <w:rFonts w:ascii="함초롬바탕" w:eastAsia="함초롬바탕" w:hAnsi="함초롬바탕" w:cs="함초롬바탕" w:hint="eastAsia"/>
          <w:sz w:val="24"/>
          <w:szCs w:val="26"/>
        </w:rPr>
        <w:t>본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규정은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2021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년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7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월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1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일부터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개정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시행한다</w:t>
      </w:r>
      <w:r>
        <w:rPr>
          <w:rFonts w:ascii="함초롬바탕" w:eastAsia="함초롬바탕" w:hAnsi="함초롬바탕" w:cs="함초롬바탕" w:hint="eastAsia"/>
          <w:sz w:val="24"/>
          <w:szCs w:val="26"/>
        </w:rPr>
        <w:t>.</w:t>
      </w:r>
    </w:p>
    <w:sectPr>
      <w:pgSz w:w="11906" w:h="16838"/>
      <w:pgMar w:top="794" w:right="964" w:bottom="567" w:left="964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modern"/>
    <w:charset w:val="81"/>
    <w:notTrueType w:val="false"/>
    <w:sig w:usb0="F70006FF" w:usb1="19DFFFFF" w:usb2="001BFDD7" w:usb3="00000001" w:csb0="001F01FF" w:csb1="00000001"/>
  </w:font>
  <w:font w:name="Arial Narrow">
    <w:panose1 w:val="020B0606020202030204"/>
    <w:family w:val="swiss"/>
    <w:charset w:val="00"/>
    <w:notTrueType w:val="false"/>
    <w:sig w:usb0="00000287" w:usb1="00000800" w:usb2="00000001" w:usb3="00000001" w:csb0="2000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한양신명조">
    <w:family w:val="roman"/>
    <w:altName w:val="바탕"/>
    <w:charset w:val="81"/>
    <w:notTrueType w:val="false"/>
    <w:sig w:usb0="00000001" w:usb1="09060000" w:usb2="00000010" w:usb3="00000000" w:csb0="00080000" w:csb1="0000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000" w:firstRow="0" w:lastRow="0" w:firstColumn="0" w:lastColumn="0" w:noHBand="0" w:noVBand="0"/>
      <w:tblLayout w:type="fixed"/>
      <w:tblCellMar>
        <w:left w:w="12" w:type="dxa"/>
        <w:right w:w="12" w:type="dxa"/>
      </w:tblCellMar>
    </w:tblPr>
    <w:tblGrid>
      <w:gridCol w:w="2393"/>
      <w:gridCol w:w="5277"/>
      <w:gridCol w:w="2268"/>
    </w:tblGrid>
    <w:tr>
      <w:trPr>
        <w:cantSplit/>
        <w:trHeight w:val="713" w:hRule="exact"/>
      </w:trPr>
      <w:tc>
        <w:tcPr>
          <w:tcW w:w="2393" w:type="dxa"/>
          <w:vAlign w:val="center"/>
        </w:tcPr>
        <w:p>
          <w:pPr>
            <w:pStyle w:val="af0"/>
            <w:wordWrap/>
            <w:jc w:val="center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noProof/>
            </w:rPr>
            <mc:AlternateContent>
              <mc:Choice Requires="wps">
                <w:drawing>
                  <wp:anchor distT="45720" distB="45720" distL="114300" distR="114300" behindDoc="0" locked="0" layoutInCell="1" simplePos="0" relativeHeight="251659264" allowOverlap="1" hidden="0">
                    <wp:simplePos x="0" y="0"/>
                    <wp:positionH relativeFrom="column">
                      <wp:posOffset>260350</wp:posOffset>
                    </wp:positionH>
                    <wp:positionV relativeFrom="paragraph">
                      <wp:posOffset>-429260</wp:posOffset>
                    </wp:positionV>
                    <wp:extent cx="1071245" cy="380365"/>
                    <wp:effectExtent l="0" t="0" r="0" b="0"/>
                    <wp:wrapSquare wrapText="bothSides"/>
                    <wp:docPr id="2049" name="shape2049" hidden="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071245" cy="380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660" w:lineRule="auto"/>
                                  <w:rPr>
                                    <w:rFonts w:ascii="Arial Narrow" w:eastAsia="함초롬바탕" w:hAnsi="Arial Narrow" w:cs="함초롬바탕"/>
                                  </w:rPr>
                                </w:pPr>
                                <w:r>
                                  <w:rPr>
                                    <w:rFonts w:ascii="Arial Narrow" w:eastAsia="함초롬바탕" w:hAnsi="Arial Narrow" w:cs="함초롬바탕"/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807085" cy="281305"/>
                                      <wp:effectExtent l="0" t="0" r="0" b="0"/>
                                      <wp:docPr id="2050" name="shape2050" hidden="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이미지"/>
                                              <pic:cNvPicPr preferRelativeResize="1"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807085" cy="281305"/>
                                              </a:xfrm>
                                              <a:prstGeom prst="rect"/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2049" style="position:absolute;margin-left:20.5pt;margin-top:-33.8pt;width:84.35pt;height:29.95pt;mso-position-horizontal-relative:column;mso-position-vertical-relative:line;v-text-anchor:top;mso-wrap-style:square;z-index:251659264" o:allowincell="t" filled="f" fillcolor="#ffffff" stroked="f">
                    <w10:wrap type="square"/>
                    <v:textbox inset="2.5mm,1.3mm,2.5mm,1.3mm">
                      <w:txbxContent>
                        <w:p>
                          <w:pPr>
                            <w:spacing w:line="660" w:lineRule="auto"/>
                            <w:rPr>
                              <w:rFonts w:ascii="Arial Narrow" w:eastAsia="함초롬바탕" w:hAnsi="Arial Narrow" w:cs="함초롬바탕"/>
                            </w:rPr>
                          </w:pPr>
                          <w:r>
                            <w:rPr>
                              <w:rFonts w:ascii="Arial Narrow" w:eastAsia="함초롬바탕" w:hAnsi="Arial Narrow" w:cs="함초롬바탕"/>
                              <w:noProof/>
                            </w:rPr>
                            <w:drawing>
                              <wp:inline distT="0" distB="0" distL="0" distR="0">
                                <wp:extent cx="807085" cy="281305"/>
                                <wp:effectExtent l="0" t="0" r="0" b="0"/>
                                <wp:docPr id="2050" name="shape2050" hidden="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이미지"/>
                                        <pic:cNvPicPr preferRelativeResize="1"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807085" cy="281305"/>
                                        </a:xfrm>
                                        <a:prstGeom prst="rect"/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v:stroke/>
                  </v:rect>
                </w:pict>
              </mc:Fallback>
            </mc:AlternateContent>
          </w:r>
        </w:p>
      </w:tc>
      <w:tc>
        <w:tcPr>
          <w:tcW w:w="5277" w:type="dxa"/>
          <w:vMerge w:val="restart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44"/>
              <w:szCs w:val="44"/>
            </w:rPr>
          </w:pPr>
          <w:r>
            <w:rPr>
              <w:rFonts w:ascii="Arial Narrow" w:eastAsia="함초롬바탕" w:hAnsi="Arial Narrow" w:cs="함초롬바탕" w:hint="eastAsia"/>
              <w:sz w:val="44"/>
              <w:szCs w:val="44"/>
            </w:rPr>
            <w:t>매입채무지급규정</w:t>
          </w:r>
        </w:p>
      </w:tc>
      <w:tc>
        <w:tcPr>
          <w:tcW w:w="2268" w:type="dxa"/>
          <w:vMerge w:val="restart"/>
          <w:vAlign w:val="center"/>
        </w:tcPr>
        <w:p>
          <w:pPr>
            <w:pStyle w:val="af0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 w:hint="eastAsia"/>
              <w:sz w:val="16"/>
            </w:rPr>
            <w:t>문서번호</w:t>
          </w:r>
          <w:r>
            <w:rPr>
              <w:rFonts w:ascii="Arial Narrow" w:eastAsia="함초롬바탕" w:hAnsi="Arial Narrow" w:cs="함초롬바탕" w:hint="eastAsia"/>
              <w:sz w:val="16"/>
            </w:rPr>
            <w:t>:</w:t>
          </w:r>
          <w:r>
            <w:rPr>
              <w:rFonts w:ascii="Arial Narrow" w:eastAsia="함초롬바탕" w:hAnsi="Arial Narrow" w:cs="함초롬바탕"/>
              <w:sz w:val="16"/>
            </w:rPr>
            <w:t xml:space="preserve">  </w:t>
          </w:r>
        </w:p>
        <w:p>
          <w:pPr>
            <w:pStyle w:val="af0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제정일자</w:t>
          </w:r>
          <w:r>
            <w:rPr>
              <w:rFonts w:ascii="Arial Narrow" w:eastAsia="함초롬바탕" w:hAnsi="Arial Narrow" w:cs="함초롬바탕"/>
              <w:sz w:val="16"/>
            </w:rPr>
            <w:t>: 2002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</w:p>
        <w:p>
          <w:pPr>
            <w:pStyle w:val="af0"/>
            <w:ind w:left="102"/>
            <w:wordWrap/>
            <w:spacing w:line="240" w:lineRule="auto"/>
            <w:rPr>
              <w:rFonts w:ascii="Arial Narrow" w:eastAsia="함초롬바탕" w:hAnsi="Arial Narrow" w:cs="함초롬바탕"/>
              <w:sz w:val="16"/>
            </w:rPr>
          </w:pPr>
          <w:r>
            <w:rPr>
              <w:rFonts w:ascii="Arial Narrow" w:eastAsia="함초롬바탕" w:hAnsi="Arial Narrow" w:cs="함초롬바탕"/>
              <w:sz w:val="16"/>
            </w:rPr>
            <w:t>개정일자</w:t>
          </w:r>
          <w:r>
            <w:rPr>
              <w:rFonts w:ascii="Arial Narrow" w:eastAsia="함초롬바탕" w:hAnsi="Arial Narrow" w:cs="함초롬바탕"/>
              <w:sz w:val="16"/>
            </w:rPr>
            <w:t xml:space="preserve">: </w:t>
          </w:r>
          <w:r>
            <w:rPr>
              <w:rFonts w:ascii="Arial Narrow" w:eastAsia="함초롬바탕" w:hAnsi="Arial Narrow" w:cs="함초롬바탕"/>
              <w:sz w:val="16"/>
            </w:rPr>
            <w:t>2021</w:t>
          </w:r>
          <w:r>
            <w:rPr>
              <w:rFonts w:ascii="Arial Narrow" w:eastAsia="함초롬바탕" w:hAnsi="Arial Narrow" w:cs="함초롬바탕"/>
              <w:sz w:val="16"/>
            </w:rPr>
            <w:t>년</w:t>
          </w:r>
          <w:r>
            <w:rPr>
              <w:rFonts w:ascii="Arial Narrow" w:eastAsia="함초롬바탕" w:hAnsi="Arial Narrow" w:cs="함초롬바탕"/>
              <w:sz w:val="16"/>
            </w:rPr>
            <w:t xml:space="preserve"> 7</w:t>
          </w:r>
          <w:r>
            <w:rPr>
              <w:rFonts w:ascii="Arial Narrow" w:eastAsia="함초롬바탕" w:hAnsi="Arial Narrow" w:cs="함초롬바탕"/>
              <w:sz w:val="16"/>
            </w:rPr>
            <w:t>월</w:t>
          </w:r>
          <w:r>
            <w:rPr>
              <w:rFonts w:ascii="Arial Narrow" w:eastAsia="함초롬바탕" w:hAnsi="Arial Narrow" w:cs="함초롬바탕"/>
              <w:sz w:val="16"/>
            </w:rPr>
            <w:t xml:space="preserve"> 1</w:t>
          </w:r>
          <w:r>
            <w:rPr>
              <w:rFonts w:ascii="Arial Narrow" w:eastAsia="함초롬바탕" w:hAnsi="Arial Narrow" w:cs="함초롬바탕"/>
              <w:sz w:val="16"/>
            </w:rPr>
            <w:t>일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</w:p>
        <w:p>
          <w:pPr>
            <w:pStyle w:val="af0"/>
            <w:ind w:left="102"/>
            <w:wordWrap/>
            <w:spacing w:line="240" w:lineRule="auto"/>
            <w:rPr>
              <w:rFonts w:ascii="Arial Narrow" w:eastAsia="함초롬바탕" w:hAnsi="Arial Narrow" w:cs="함초롬바탕"/>
            </w:rPr>
          </w:pPr>
          <w:r>
            <w:rPr>
              <w:rFonts w:ascii="Arial Narrow" w:eastAsia="함초롬바탕" w:hAnsi="Arial Narrow" w:cs="함초롬바탕"/>
              <w:sz w:val="16"/>
            </w:rPr>
            <w:t>페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이</w:t>
          </w:r>
          <w:r>
            <w:rPr>
              <w:rFonts w:ascii="Arial Narrow" w:eastAsia="함초롬바탕" w:hAnsi="Arial Narrow" w:cs="함초롬바탕"/>
              <w:sz w:val="16"/>
            </w:rPr>
            <w:t xml:space="preserve"> </w:t>
          </w:r>
          <w:r>
            <w:rPr>
              <w:rFonts w:ascii="Arial Narrow" w:eastAsia="함초롬바탕" w:hAnsi="Arial Narrow" w:cs="함초롬바탕"/>
              <w:sz w:val="16"/>
            </w:rPr>
            <w:t>지</w:t>
          </w:r>
          <w:r>
            <w:rPr>
              <w:rFonts w:ascii="Arial Narrow" w:eastAsia="함초롬바탕" w:hAnsi="Arial Narrow" w:cs="함초롬바탕"/>
              <w:sz w:val="16"/>
            </w:rPr>
            <w:t xml:space="preserve">:    </w:t>
          </w:r>
          <w:r>
            <w:rPr>
              <w:rFonts w:ascii="Arial Narrow" w:eastAsia="함초롬바탕" w:hAnsi="Arial Narrow" w:cs="함초롬바탕"/>
              <w:sz w:val="16"/>
            </w:rPr>
            <w:fldChar w:fldCharType="begin"/>
          </w:r>
          <w:r>
            <w:rPr>
              <w:rFonts w:ascii="Arial Narrow" w:eastAsia="함초롬바탕" w:hAnsi="Arial Narrow" w:cs="함초롬바탕"/>
              <w:sz w:val="16"/>
            </w:rPr>
            <w:instrText xml:space="preserve"> PAGE  \* MERGEFORMAT </w:instrText>
          </w:r>
          <w:r>
            <w:rPr>
              <w:rFonts w:ascii="Arial Narrow" w:eastAsia="함초롬바탕" w:hAnsi="Arial Narrow" w:cs="함초롬바탕"/>
              <w:sz w:val="16"/>
            </w:rPr>
            <w:fldChar w:fldCharType="separate"/>
          </w:r>
          <w:r>
            <w:rPr>
              <w:rFonts w:ascii="Arial Narrow" w:eastAsia="함초롬바탕" w:hAnsi="Arial Narrow" w:cs="함초롬바탕"/>
              <w:noProof/>
              <w:sz w:val="16"/>
            </w:rPr>
            <w:t>2</w:t>
          </w:r>
          <w:r>
            <w:rPr>
              <w:rFonts w:ascii="Arial Narrow" w:eastAsia="함초롬바탕" w:hAnsi="Arial Narrow" w:cs="함초롬바탕"/>
              <w:sz w:val="16"/>
            </w:rPr>
            <w:fldChar w:fldCharType="end"/>
          </w:r>
          <w:r>
            <w:rPr>
              <w:rFonts w:ascii="Arial Narrow" w:eastAsia="함초롬바탕" w:hAnsi="Arial Narrow" w:cs="함초롬바탕"/>
              <w:sz w:val="16"/>
            </w:rPr>
            <w:t xml:space="preserve"> / 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begin"/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instrText xml:space="preserve"> NUMPAGES </w:instrTex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separate"/>
          </w:r>
          <w:r>
            <w:rPr>
              <w:rStyle w:val="afff7"/>
              <w:rFonts w:ascii="Arial Narrow" w:eastAsia="함초롬바탕" w:hAnsi="Arial Narrow" w:cs="함초롬바탕"/>
              <w:noProof/>
              <w:color w:val="auto"/>
              <w:sz w:val="16"/>
              <w:szCs w:val="24"/>
              <w:kern w:val="2"/>
            </w:rPr>
            <w:t>2</w:t>
          </w:r>
          <w:r>
            <w:rPr>
              <w:rStyle w:val="afff7"/>
              <w:rFonts w:ascii="Arial Narrow" w:eastAsia="함초롬바탕" w:hAnsi="Arial Narrow" w:cs="함초롬바탕"/>
              <w:color w:val="auto"/>
              <w:sz w:val="16"/>
              <w:szCs w:val="24"/>
              <w:kern w:val="2"/>
            </w:rPr>
            <w:fldChar w:fldCharType="end"/>
          </w:r>
        </w:p>
      </w:tc>
    </w:tr>
    <w:tr>
      <w:trPr>
        <w:cantSplit/>
        <w:trHeight w:val="426" w:hRule="exact"/>
      </w:trPr>
      <w:tc>
        <w:tcPr>
          <w:tcW w:w="2393" w:type="dxa"/>
          <w:vAlign w:val="center"/>
        </w:tcPr>
        <w:p>
          <w:pPr>
            <w:pStyle w:val="af0"/>
            <w:wordWrap/>
            <w:jc w:val="center"/>
            <w:spacing w:line="185" w:lineRule="auto"/>
            <w:rPr>
              <w:rFonts w:ascii="Arial Narrow" w:eastAsia="함초롬바탕" w:hAnsi="Arial Narrow" w:cs="함초롬바탕"/>
              <w:b/>
              <w:sz w:val="24"/>
              <w:szCs w:val="24"/>
            </w:rPr>
          </w:pPr>
          <w:r>
            <w:rPr>
              <w:rFonts w:ascii="Arial Narrow" w:eastAsia="함초롬바탕" w:hAnsi="Arial Narrow" w:cs="함초롬바탕" w:hint="eastAsia"/>
              <w:b/>
              <w:sz w:val="24"/>
              <w:szCs w:val="24"/>
            </w:rPr>
            <w:t>재무관리실</w:t>
          </w:r>
        </w:p>
      </w:tc>
      <w:tc>
        <w:tcPr>
          <w:tcW w:w="5277" w:type="dxa"/>
          <w:vMerge w:val="continue"/>
          <w:shd w:val="clear" w:color="auto" w:fill="D9E2F3" w:themeFill="accent5" w:themeFillTint="33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  <w:tc>
        <w:tcPr>
          <w:tcW w:w="2268" w:type="dxa"/>
          <w:vMerge w:val="continue"/>
          <w:vAlign w:val="center"/>
        </w:tcPr>
        <w:p>
          <w:pPr>
            <w:pStyle w:val="a6"/>
            <w:rPr>
              <w:rFonts w:ascii="Arial Narrow" w:eastAsia="함초롬바탕" w:hAnsi="Arial Narrow" w:cs="함초롬바탕"/>
              <w:sz w:val="20"/>
            </w:rPr>
          </w:pP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7272d2b"/>
    <w:multiLevelType w:val="hybridMultilevel"/>
    <w:tmpl w:val="5aa25a84"/>
    <w:lvl w:ilvl="0" w:tplc="568d34c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00" w:hanging="400"/>
      </w:pPr>
    </w:lvl>
    <w:lvl w:ilvl="2" w:tentative="on" w:tplc="409001b">
      <w:start w:val="1"/>
      <w:numFmt w:val="lowerRoman"/>
      <w:lvlText w:val="%3."/>
      <w:lvlJc w:val="right"/>
      <w:pPr>
        <w:ind w:left="1400" w:hanging="400"/>
      </w:pPr>
    </w:lvl>
    <w:lvl w:ilvl="3" w:tentative="on" w:tplc="409000f">
      <w:start w:val="1"/>
      <w:lvlText w:val="%4."/>
      <w:lvlJc w:val="left"/>
      <w:pPr>
        <w:ind w:left="1800" w:hanging="400"/>
      </w:pPr>
    </w:lvl>
    <w:lvl w:ilvl="4" w:tentative="on" w:tplc="4090019">
      <w:start w:val="1"/>
      <w:numFmt w:val="upperLetter"/>
      <w:lvlText w:val="%5."/>
      <w:lvlJc w:val="left"/>
      <w:pPr>
        <w:ind w:left="2200" w:hanging="400"/>
      </w:pPr>
    </w:lvl>
    <w:lvl w:ilvl="5" w:tentative="on" w:tplc="409001b">
      <w:start w:val="1"/>
      <w:numFmt w:val="lowerRoman"/>
      <w:lvlText w:val="%6."/>
      <w:lvlJc w:val="right"/>
      <w:pPr>
        <w:ind w:left="2600" w:hanging="400"/>
      </w:pPr>
    </w:lvl>
    <w:lvl w:ilvl="6" w:tentative="on" w:tplc="409000f">
      <w:start w:val="1"/>
      <w:lvlText w:val="%7."/>
      <w:lvlJc w:val="left"/>
      <w:pPr>
        <w:ind w:left="3000" w:hanging="400"/>
      </w:pPr>
    </w:lvl>
    <w:lvl w:ilvl="7" w:tentative="on" w:tplc="4090019">
      <w:start w:val="1"/>
      <w:numFmt w:val="upperLetter"/>
      <w:lvlText w:val="%8."/>
      <w:lvlJc w:val="left"/>
      <w:pPr>
        <w:ind w:left="3400" w:hanging="400"/>
      </w:pPr>
    </w:lvl>
    <w:lvl w:ilvl="8" w:tentative="on" w:tplc="409001b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78c574ac"/>
    <w:multiLevelType w:val="hybridMultilevel"/>
    <w:tmpl w:val="5978cb28"/>
    <w:lvl w:ilvl="0" w:tplc="568d34c">
      <w:start w:val="1"/>
      <w:numFmt w:val="decimalEnclosedCircle"/>
      <w:lvlText w:val="%1"/>
      <w:lvlJc w:val="left"/>
      <w:pPr>
        <w:ind w:left="4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2a2e63f1"/>
    <w:multiLevelType w:val="hybridMultilevel"/>
    <w:tmpl w:val="1808603a"/>
    <w:lvl w:ilvl="0" w:tplc="568d34c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8de32b3"/>
    <w:multiLevelType w:val="hybridMultilevel"/>
    <w:tmpl w:val="77ec16f6"/>
    <w:lvl w:ilvl="0" w:tplc="1b9813e6">
      <w:start w:val="1"/>
      <w:lvlText w:val="%1."/>
      <w:lvlJc w:val="left"/>
      <w:pPr>
        <w:ind w:left="1200" w:hanging="40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600" w:hanging="400"/>
      </w:pPr>
    </w:lvl>
    <w:lvl w:ilvl="2" w:tentative="on" w:tplc="409001b">
      <w:start w:val="1"/>
      <w:numFmt w:val="lowerRoman"/>
      <w:lvlText w:val="%3."/>
      <w:lvlJc w:val="right"/>
      <w:pPr>
        <w:ind w:left="2000" w:hanging="400"/>
      </w:pPr>
    </w:lvl>
    <w:lvl w:ilvl="3" w:tentative="on" w:tplc="409000f">
      <w:start w:val="1"/>
      <w:lvlText w:val="%4."/>
      <w:lvlJc w:val="left"/>
      <w:pPr>
        <w:ind w:left="2400" w:hanging="400"/>
      </w:pPr>
    </w:lvl>
    <w:lvl w:ilvl="4" w:tentative="on" w:tplc="4090019">
      <w:start w:val="1"/>
      <w:numFmt w:val="upperLetter"/>
      <w:lvlText w:val="%5."/>
      <w:lvlJc w:val="left"/>
      <w:pPr>
        <w:ind w:left="2800" w:hanging="400"/>
      </w:pPr>
    </w:lvl>
    <w:lvl w:ilvl="5" w:tentative="on" w:tplc="409001b">
      <w:start w:val="1"/>
      <w:numFmt w:val="lowerRoman"/>
      <w:lvlText w:val="%6."/>
      <w:lvlJc w:val="right"/>
      <w:pPr>
        <w:ind w:left="3200" w:hanging="400"/>
      </w:pPr>
    </w:lvl>
    <w:lvl w:ilvl="6" w:tentative="on" w:tplc="409000f">
      <w:start w:val="1"/>
      <w:lvlText w:val="%7."/>
      <w:lvlJc w:val="left"/>
      <w:pPr>
        <w:ind w:left="3600" w:hanging="400"/>
      </w:pPr>
    </w:lvl>
    <w:lvl w:ilvl="7" w:tentative="on" w:tplc="4090019">
      <w:start w:val="1"/>
      <w:numFmt w:val="upperLetter"/>
      <w:lvlText w:val="%8."/>
      <w:lvlJc w:val="left"/>
      <w:pPr>
        <w:ind w:left="4000" w:hanging="400"/>
      </w:pPr>
    </w:lvl>
    <w:lvl w:ilvl="8" w:tentative="on" w:tplc="409001b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10391b2d"/>
    <w:multiLevelType w:val="hybridMultilevel"/>
    <w:tmpl w:val="aa10b78c"/>
    <w:lvl w:ilvl="0" w:tplc="93e65a90">
      <w:start w:val="1"/>
      <w:numFmt w:val="decimalEnclosedCircle"/>
      <w:lvlText w:val="%1"/>
      <w:lvlJc w:val="left"/>
      <w:pPr>
        <w:ind w:left="850" w:hanging="450"/>
      </w:pPr>
      <w:rPr>
        <w:rFonts w:hint="default"/>
      </w:rPr>
    </w:lvl>
    <w:lvl w:ilvl="1" w:tplc="2904eaaa">
      <w:start w:val="1"/>
      <w:lvlText w:val="%2."/>
      <w:lvlJc w:val="left"/>
      <w:pPr>
        <w:ind w:left="11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cbf05f3"/>
    <w:multiLevelType w:val="hybridMultilevel"/>
    <w:tmpl w:val="a9e669c6"/>
    <w:lvl w:ilvl="0" w:tplc="9a02d67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c5dc4660">
      <w:start w:val="1"/>
      <w:lvlText w:val="%2."/>
      <w:lvlJc w:val="left"/>
      <w:pPr>
        <w:ind w:left="1160" w:hanging="360"/>
      </w:pPr>
      <w:rPr>
        <w:rFonts w:hint="default"/>
      </w:r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111">
    <w:name w:val="1.1.1"/>
    <w:pPr>
      <w:ind w:left="1300" w:right="300" w:hanging="6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8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titterms">
    <w:name w:val="tit_terms"/>
    <w:basedOn w:val="a1"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paragraph" w:customStyle="1" w:styleId="6">
    <w:name w:val="개요 6"/>
    <w:pPr>
      <w:ind w:left="1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0">
    <w:name w:val="바탕글"/>
    <w:basedOn w:val="a1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sz w:val="26"/>
      <w:szCs w:val="26"/>
      <w:kern w:val="0"/>
    </w:rPr>
  </w:style>
  <w:style w:type="paragraph" w:customStyle="1" w:styleId="2">
    <w:name w:val="개요 2"/>
    <w:pPr>
      <w:ind w:left="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5">
    <w:name w:val="수식캡션"/>
    <w:pPr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1">
    <w:name w:val="그림캡션"/>
    <w:pPr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4">
    <w:name w:val="개요 4"/>
    <w:pPr>
      <w:ind w:left="7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3">
    <w:name w:val="쪽 번호"/>
    <w:pPr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f4">
    <w:name w:val="머리말"/>
    <w:pPr>
      <w:ind w:right="200"/>
      <w:autoSpaceDE w:val="off"/>
      <w:autoSpaceDN w:val="off"/>
      <w:widowControl w:val="off"/>
      <w:jc w:val="right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spacing w:after="0" w:line="277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">
    <w:name w:val="표캡션"/>
    <w:pPr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af2">
    <w:name w:val="각주"/>
    <w:pPr>
      <w:ind w:left="264" w:hanging="264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40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11">
    <w:name w:val="개요 1"/>
    <w:pPr>
      <w:ind w:left="1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7">
    <w:name w:val="개요 7"/>
    <w:pPr>
      <w:ind w:left="13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3">
    <w:name w:val="개요 3"/>
    <w:pPr>
      <w:ind w:left="5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ae">
    <w:name w:val="찾아보기"/>
    <w:pPr>
      <w:autoSpaceDE w:val="off"/>
      <w:autoSpaceDN w:val="off"/>
      <w:widowControl w:val="off"/>
      <w:wordWrap w:val="off"/>
      <w:tabs>
        <w:tab w:val="left" w:pos="321"/>
        <w:tab w:val="left" w:pos="3729" w:leader="dot"/>
      </w:tabs>
      <w:spacing w:after="0" w:line="296" w:lineRule="auto"/>
    </w:pPr>
    <w:rPr>
      <w:rFonts w:ascii="바탕" w:eastAsia="바탕" w:hAnsi="Times New Roman" w:cs="Times New Roman"/>
      <w:color w:val="000000"/>
      <w:sz w:val="18"/>
      <w:szCs w:val="18"/>
      <w:kern w:val="0"/>
    </w:rPr>
  </w:style>
  <w:style w:type="paragraph" w:customStyle="1" w:styleId="10">
    <w:name w:val="1)"/>
    <w:pPr>
      <w:ind w:left="1300" w:right="300" w:hanging="300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77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customStyle="1" w:styleId="hs1">
    <w:name w:val="hs1"/>
    <w:basedOn w:val="a1"/>
    <w:pPr>
      <w:autoSpaceDE/>
      <w:autoSpaceDN/>
      <w:widowControl/>
      <w:wordWrap/>
      <w:spacing w:line="320" w:lineRule="atLeast"/>
    </w:pPr>
    <w:rPr>
      <w:rFonts w:ascii="굴림체" w:eastAsia="굴림체" w:hAnsi="굴림체" w:cs="굴림"/>
      <w:color w:val="000000"/>
      <w:szCs w:val="20"/>
      <w:kern w:val="0"/>
    </w:rPr>
  </w:style>
  <w:style w:type="paragraph" w:customStyle="1" w:styleId="5">
    <w:name w:val="개요 5"/>
    <w:pPr>
      <w:ind w:left="948" w:hanging="148"/>
      <w:autoSpaceDE w:val="off"/>
      <w:autoSpaceDN w:val="off"/>
      <w:widowControl w:val="off"/>
      <w:wordWrap w:val="off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96" w:lineRule="auto"/>
    </w:pPr>
    <w:rPr>
      <w:rFonts w:ascii="바탕" w:eastAsia="바탕" w:hAnsi="Times New Roman" w:cs="Times New Roman"/>
      <w:color w:val="000000"/>
      <w:szCs w:val="20"/>
      <w:kern w:val="0"/>
    </w:rPr>
  </w:style>
  <w:style w:type="paragraph" w:styleId="a6">
    <w:name w:val="Title"/>
    <w:qFormat/>
    <w:pPr>
      <w:autoSpaceDE w:val="off"/>
      <w:autoSpaceDN w:val="off"/>
      <w:widowControl w:val="off"/>
      <w:jc w:val="center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0" w:line="222" w:lineRule="auto"/>
    </w:pPr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customStyle="1" w:styleId="Char">
    <w:name w:val="제목 Char"/>
    <w:basedOn w:val="a2"/>
    <w:rPr>
      <w:rFonts w:ascii="바탕" w:eastAsia="바탕" w:hAnsi="Times New Roman" w:cs="Times New Roman"/>
      <w:b/>
      <w:bCs/>
      <w:color w:val="000000"/>
      <w:sz w:val="32"/>
      <w:szCs w:val="32"/>
      <w:kern w:val="0"/>
    </w:rPr>
  </w:style>
  <w:style w:type="character" w:styleId="a9">
    <w:name w:val="Emphasis"/>
    <w:basedOn w:val="a2"/>
    <w:qFormat/>
    <w:rPr>
      <w:i/>
      <w:iCs/>
    </w:rPr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customStyle="1" w:styleId="1">
    <w:name w:val="제1조"/>
    <w:basedOn w:val="a1"/>
    <w:pPr>
      <w:snapToGrid w:val="0"/>
      <w:shd w:val="clear" w:color="auto" w:fill="FFFFFF"/>
      <w:spacing w:before="114" w:line="456" w:lineRule="auto"/>
      <w:textAlignment w:val="baseline"/>
    </w:pPr>
    <w:rPr>
      <w:rFonts w:ascii="굴림" w:eastAsia="굴림" w:hAnsi="굴림" w:cs="굴림"/>
      <w:color w:val="000000"/>
      <w:w w:val="93"/>
      <w:sz w:val="21"/>
      <w:szCs w:val="21"/>
      <w:kern w:val="0"/>
      <w:spacing w:val="-12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paragraph" w:styleId="afb">
    <w:name w:val="Date"/>
    <w:basedOn w:val="a1"/>
    <w:next w:val="a1"/>
    <w:semiHidden/>
    <w:unhideWhenUsed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character" w:customStyle="1" w:styleId="Char6">
    <w:name w:val="날짜 Char"/>
    <w:basedOn w:val="a2"/>
    <w:semiHidden/>
  </w:style>
  <w:style w:type="paragraph" w:styleId="affa">
    <w:name w:val="Body Text"/>
    <w:basedOn w:val="a1"/>
    <w:semiHidden/>
    <w:pPr>
      <w:ind w:left="350" w:right="35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after="84" w:before="84" w:line="305" w:lineRule="auto"/>
    </w:pPr>
    <w:rPr>
      <w:color w:val="000000"/>
      <w:szCs w:val="20"/>
      <w:kern w:val="0"/>
    </w:rPr>
  </w:style>
  <w:style w:type="character" w:customStyle="1" w:styleId="Charf">
    <w:name w:val="바닥글 Char"/>
    <w:basedOn w:val="a2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0">
    <w:name w:val="본문 Char"/>
    <w:basedOn w:val="a2"/>
    <w:semiHidden/>
    <w:rPr>
      <w:rFonts w:ascii="바탕" w:eastAsia="바탕" w:hAnsi="Times New Roman" w:cs="Times New Roman"/>
      <w:color w:val="000000"/>
      <w:szCs w:val="20"/>
      <w:kern w:val="0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kern w:val="0"/>
    </w:rPr>
  </w:style>
  <w:style w:type="character" w:styleId="afff7">
    <w:name w:val="page number"/>
    <w:basedOn w:val="a2"/>
    <w:semiHidden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2021-06-21T02:26:00Z</dcterms:created>
  <dcterms:modified xsi:type="dcterms:W3CDTF">2021-06-21T08:20:16Z</dcterms:modified>
  <cp:lastPrinted>2021-06-21T08:20:15Z</cp:lastPrinted>
  <cp:version>0900.0001.01</cp:version>
</cp:coreProperties>
</file>