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B6" w:rsidRDefault="008B1EB6" w:rsidP="00D071A6">
      <w:pPr>
        <w:pStyle w:val="af3"/>
        <w:wordWrap w:val="0"/>
        <w:spacing w:before="0" w:beforeAutospacing="0" w:after="60" w:afterAutospacing="0" w:line="340" w:lineRule="exact"/>
        <w:jc w:val="both"/>
        <w:rPr>
          <w:rFonts w:ascii="함초롬바탕" w:eastAsia="함초롬바탕" w:hAnsi="함초롬바탕" w:cs="함초롬바탕" w:hint="eastAsia"/>
          <w:color w:val="000000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목적</w:t>
      </w:r>
    </w:p>
    <w:p w:rsidR="008B1EB6" w:rsidRPr="00007AB4" w:rsidRDefault="00007AB4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이 규정은 회사의 문서를 효율적으로 관리하기 위하여 문서의 작성,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발송 및 접수,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보관,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폐기절차를 정하여 업무 생산성 향상을 도모하는데 목적이 있다.</w:t>
      </w:r>
    </w:p>
    <w:p w:rsidR="008B1EB6" w:rsidRPr="00007AB4" w:rsidRDefault="008B1EB6">
      <w:pPr>
        <w:spacing w:after="60" w:line="340" w:lineRule="exact"/>
        <w:rPr>
          <w:rFonts w:ascii="함초롬바탕" w:eastAsia="함초롬바탕" w:hAnsi="함초롬바탕" w:cs="함초롬바탕"/>
          <w:b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적용 범위</w:t>
      </w:r>
    </w:p>
    <w:p w:rsidR="008B1EB6" w:rsidRDefault="00007A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007AB4">
        <w:rPr>
          <w:rFonts w:ascii="함초롬바탕" w:eastAsia="함초롬바탕" w:hAnsi="함초롬바탕" w:cs="함초롬바탕" w:hint="eastAsia"/>
          <w:sz w:val="24"/>
          <w:szCs w:val="26"/>
        </w:rPr>
        <w:t>이 규정은 회사의 모든 문서에 적용한다. 단, 프로젝트 수행 결과 산출 (시스템 설계서, 설명서, 지침서, 소스 프로그램, 도면 등)은 담당개발부서 자료관리 절차에 따라 보관 관리한다.</w:t>
      </w:r>
    </w:p>
    <w:p w:rsidR="00D071A6" w:rsidRDefault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용어의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정의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spellStart"/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문서”라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업무활동의 기본적인 의사소통 매체로서 사내 또는 대외적으로 업무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수행상 작성 또는 시행되는 모든 서류(품의서, 보고서, 공문서, 장부, 전표 등)와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전자매체(USB, 외장형HDD, CD등)를 말하며 의사전달 기능과 의사보존 기능을 </w:t>
      </w:r>
    </w:p>
    <w:p w:rsidR="008B1EB6" w:rsidRDefault="00845C36" w:rsidP="00845C36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갖고있다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문서의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분류”라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문서를 쉽게 찾아 활용할 수 있도록 유사 기능끼리 서로 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관련지어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모으는 것을 말한다.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문서의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보관”이라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문서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처리완결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후부터 폐기 또는 이관되기 전까지 관리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하는 것을 말한다.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문서의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이관”이라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보존이 필요한 문서를 문서 관리 총괄부서에 인계하는 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것을 말한다.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문서의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보존”이라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문서를 지정된 기간동안 관리하는 것을 말한다.</w:t>
      </w:r>
    </w:p>
    <w:p w:rsidR="00845C3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⑥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spellStart"/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전자결재”라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사내 그룹웨어시스템을 통한 문서의 보고 및 기안 등 처리를 </w:t>
      </w:r>
    </w:p>
    <w:p w:rsidR="00845C36" w:rsidRDefault="00845C3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말한다.</w:t>
      </w:r>
    </w:p>
    <w:p w:rsidR="00D071A6" w:rsidRPr="00845C36" w:rsidRDefault="00D071A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책임과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권한</w:t>
      </w:r>
    </w:p>
    <w:p w:rsidR="008B1EB6" w:rsidRP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문서관리의</w:t>
      </w:r>
      <w:proofErr w:type="gram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총괄부서는 </w:t>
      </w:r>
      <w:proofErr w:type="spell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기획관리부문이며</w:t>
      </w:r>
      <w:proofErr w:type="spellEnd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다음과 같은 임무를 수행한다.</w:t>
      </w:r>
    </w:p>
    <w:p w:rsidR="00845C36" w:rsidRP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문서관리와 관련된 규정 제정 제안</w:t>
      </w:r>
    </w:p>
    <w:p w:rsidR="00845C36" w:rsidRP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대외문서 발송,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접수 및 배부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이관된 문서의 보존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>
        <w:rPr>
          <w:rFonts w:ascii="굴림" w:eastAsia="굴림" w:hAnsi="굴림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각</w:t>
      </w:r>
      <w:proofErr w:type="gramEnd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부서장의 다음과 같은 임무를 수행한다.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부서 내 문서관리 담당자 선임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부서 내 문서분류,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보관방안 설정 및 점검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-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문서관리 담당자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 w:rsidR="00D071A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가.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sz w:val="24"/>
          <w:szCs w:val="26"/>
        </w:rPr>
        <w:t>부서 내 문서의 접수,</w:t>
      </w:r>
      <w:r w:rsidR="00D071A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sz w:val="24"/>
          <w:szCs w:val="26"/>
        </w:rPr>
        <w:t>배부 및 발송에 대한 관리</w:t>
      </w:r>
    </w:p>
    <w:p w:rsidR="00D071A6" w:rsidRPr="00845C36" w:rsidRDefault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나.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부서 내 문서보관,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폐기,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이관</w:t>
      </w: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lastRenderedPageBreak/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문서의 성립과 효력 발생</w:t>
      </w:r>
    </w:p>
    <w:p w:rsidR="008B1EB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문서는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위임전결규정에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따라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최종결재권자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혹은 권한을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위임 받은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자의 서명 또는 날인 시에 성립되고 효력이 발생된다.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다만, 효력 발생시기를 따로 정한 때에는 그에 따르며, 수신자가 있는 문서의 효력 발생시기는 수신자에게 도달한 때로 한다.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6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문서의 분류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대외문서, 지시문서, 공고문서, 일반문서로 분류한다.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대외문서는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외부회사 로부터 발송되어 접수된 문서 또는 개인이 공식적으로 회사로</w:t>
      </w:r>
    </w:p>
    <w:p w:rsidR="00D071A6" w:rsidRDefault="00D071A6" w:rsidP="00D071A6">
      <w:pPr>
        <w:spacing w:after="60" w:line="340" w:lineRule="exact"/>
        <w:ind w:firstLineChars="300" w:firstLine="698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발송한 문서 또는 회사명의로 회사 외부로 발송되는 문서를 말한다.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지시문서는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훈령 ,지시, 통지, 명령 등 임원 또는 부서장이 일정한 사항을 지시하는</w:t>
      </w:r>
    </w:p>
    <w:p w:rsid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문서를 말한다.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공고문서는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공고, 광고 등 일정한 사항을 일반에게 알리기 위한 문서를 말한다.</w:t>
      </w:r>
    </w:p>
    <w:p w:rsidR="008B1EB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일반문서는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본조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제2항, 제3항, 제4항에 해당되지 않는 문서를 말한다.</w:t>
      </w:r>
      <w:r w:rsidR="009837ED" w:rsidRPr="00D071A6">
        <w:rPr>
          <w:rFonts w:ascii="함초롬바탕" w:eastAsia="함초롬바탕" w:hAnsi="함초롬바탕" w:cs="함초롬바탕"/>
          <w:sz w:val="24"/>
          <w:szCs w:val="26"/>
        </w:rPr>
        <w:br/>
      </w: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문서의 작성</w:t>
      </w:r>
    </w:p>
    <w:p w:rsidR="00D071A6" w:rsidRPr="00D071A6" w:rsidRDefault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문서의 작성은 지정된 양식에 작성하며, 전자결재의 경우 정해진 양식문서를 사용한다.</w:t>
      </w:r>
    </w:p>
    <w:p w:rsidR="00D071A6" w:rsidRDefault="009837ED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br/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8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문서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의 발송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사내문서는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각 부서에서 발송하고 대외문서는 문서총괄부서에서 발송함을 원칙으로</w:t>
      </w:r>
    </w:p>
    <w:p w:rsid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한다. 다만, 본사와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떨어져있는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원격지의 사업부서는 권한을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위임받은자가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발송할</w:t>
      </w:r>
    </w:p>
    <w:p w:rsidR="00D071A6" w:rsidRP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수 있다.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문서관리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담당자는 문서의 성격상 그 문서가 시행 후 보관할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필요없다고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판단되는</w:t>
      </w:r>
    </w:p>
    <w:p w:rsid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문서 또는 시행 후 문서의 기안, 처리, 결재 등 문서작성요령 및 절차는 별도로 </w:t>
      </w:r>
    </w:p>
    <w:p w:rsidR="00D071A6" w:rsidRP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정하는 문서작성지침에 따른다.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대외문서는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보통 우편으로 발송함을 원칙으로 한다. 다만, 내용이 중요하거나 권리</w:t>
      </w:r>
    </w:p>
    <w:p w:rsidR="00D071A6" w:rsidRPr="00D071A6" w:rsidRDefault="00D071A6" w:rsidP="00D071A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의무에 관계되는 문서는 등기우편으로 발송한다.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우편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발송 시 우편물은 문서총괄 부서의 확인 후 부서에서 발송한다.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⑤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긴급한</w:t>
      </w:r>
      <w:proofErr w:type="gram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내용으로 시간적 여유가 없을 경우에는 </w:t>
      </w:r>
      <w:proofErr w:type="spell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퀵배송으로</w:t>
      </w:r>
      <w:proofErr w:type="spellEnd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발송할 수 있다.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문서의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접수</w:t>
      </w:r>
    </w:p>
    <w:p w:rsidR="00D071A6" w:rsidRPr="00D2021B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대외문서는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문서총괄부서에서 일괄하여 접수함을 원칙으로 한다.</w:t>
      </w:r>
    </w:p>
    <w:p w:rsidR="00D2021B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문서총괄부서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이외의 부서에서 대외문서를 접수한 경우에는 해당 부서의 소관문서</w:t>
      </w:r>
    </w:p>
    <w:p w:rsidR="00D2021B" w:rsidRDefault="00D071A6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라 할지라도 일단 문서총괄부서에 넘겨야 한다. 다만, 본사와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떨어져있는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원격지 </w:t>
      </w:r>
    </w:p>
    <w:p w:rsidR="00D2021B" w:rsidRDefault="00D071A6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사업부서의 소관문서인 경우는 대외문서 내용을 문서총괄부서와 공유한 후 문서</w:t>
      </w:r>
    </w:p>
    <w:p w:rsidR="00D071A6" w:rsidRPr="00D2021B" w:rsidRDefault="00D071A6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인계는 생략한다.</w:t>
      </w:r>
    </w:p>
    <w:p w:rsidR="00D2021B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대외문서를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접수한 문서총괄부서는 적당한 여백에 “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문서처리인”또는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“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결재인”을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</w:p>
    <w:p w:rsidR="00D071A6" w:rsidRPr="00D2021B" w:rsidRDefault="00D071A6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날인하여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위임전결규정에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따라 보고하며, 해당부서에 내용을 전달한다.</w:t>
      </w:r>
    </w:p>
    <w:p w:rsidR="00D071A6" w:rsidRPr="00D2021B" w:rsidRDefault="00D071A6" w:rsidP="00D071A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10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문서의 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보관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 각 부서장은 접수된 문서의 사물화를 방지하고 필요한 때에 쉽게 찾을 수 있도록</w:t>
      </w:r>
    </w:p>
    <w:p w:rsid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부서특성에 맞는 문서분류 및 보관관리 단위인 문서화일을 설정하여야 한다. 문서</w:t>
      </w: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화일 설정은 담당자 또는 조직 변경시에도 일관성 및 계속성이 유지되어야 한다.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 각 문서는 해당 문서화일에 편철하고 보관 관리하여야 한다. 각 문서화일에는 문서</w:t>
      </w: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검색이 용이하도록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문서색인표를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작성하여 부착하여야 한다.</w:t>
      </w:r>
    </w:p>
    <w:p w:rsidR="00D2021B" w:rsidRDefault="00D2021B" w:rsidP="00D2021B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③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모든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문서의 보관은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시건장치가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되어 있는 곳에 보관함을 원칙으로 한다. 비밀문서</w:t>
      </w: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의 보관은 별도로 정하는 보안규정에 따라야 한다.</w:t>
      </w:r>
    </w:p>
    <w:p w:rsidR="00D2021B" w:rsidRDefault="00D2021B" w:rsidP="00D2021B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④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문서화일에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편철하기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곤란한 특수문서(인쇄물, 책자 또는 CD, FILM등 전자매체 등)</w:t>
      </w:r>
    </w:p>
    <w:p w:rsid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는 이를 분리하여 별도로 보관할 수 있다. 별도 보관하는 특수 문서는 따로 목록을</w:t>
      </w: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작성하여 유지하여야 한다.</w:t>
      </w:r>
    </w:p>
    <w:p w:rsidR="00D2021B" w:rsidRDefault="00D2021B" w:rsidP="00D2021B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각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부서의 컴퓨터에 수록된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전자화일은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문서관리 담당자가 일괄 관리하며 적절한</w:t>
      </w: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보안 및 안전장치를 하여 변조 및 유실을 방지하여야 한다.</w:t>
      </w:r>
    </w:p>
    <w:p w:rsidR="00D2021B" w:rsidRPr="00D2021B" w:rsidRDefault="00D2021B" w:rsidP="00D2021B">
      <w:pPr>
        <w:spacing w:after="60" w:line="340" w:lineRule="exact"/>
        <w:ind w:firstLineChars="200" w:firstLine="457"/>
        <w:rPr>
          <w:rFonts w:ascii="함초롬바탕" w:eastAsia="함초롬바탕" w:hAnsi="함초롬바탕" w:cs="함초롬바탕" w:hint="eastAsia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문서의 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보존 및 폐기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각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부서에서 문서를 보존하여야 하는 기간 및 적용 우선 순위는 다음과 같다.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해당 문서에서 명시하여 지정한 기간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회사의 각 규정에서 지정한 기간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이 규정의 문서 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6"/>
        </w:rPr>
        <w:t>보존년한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분류표(별첨)에서 정한 기간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기타 문서는 부서장이 필요하다고 판단한 기간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문서보존기간이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경과한 문서는 수시로 부서장의 승인 하에 자체 폐기함을 원칙</w:t>
      </w:r>
    </w:p>
    <w:p w:rsid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으로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한다. 필요시 문서총괄부서에 위임하여 폐기할 수 있다. 폐기일 산정은 문서</w:t>
      </w:r>
    </w:p>
    <w:p w:rsid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시행일을 기준으로 한다.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폐기 방법은 소각 또는 파쇄를 원칙으로 하며 비밀문서 또는 특수한 문서가</w:t>
      </w:r>
    </w:p>
    <w:p w:rsid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아닌 경우는 불용품으로 처리하거나 재생 활용할 수 있다.</w:t>
      </w:r>
    </w:p>
    <w:p w:rsidR="00D2021B" w:rsidRDefault="00D2021B" w:rsidP="00D071A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문서의 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이관</w:t>
      </w:r>
    </w:p>
    <w:p w:rsidR="007A42F6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문서보존기간이</w:t>
      </w:r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경과하지 아니하였거나 부서에서 이용빈도가 적은 문서는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문서총</w:t>
      </w:r>
      <w:proofErr w:type="spellEnd"/>
    </w:p>
    <w:p w:rsidR="00D2021B" w:rsidRDefault="00D2021B" w:rsidP="007A42F6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괄부서에</w:t>
      </w:r>
      <w:proofErr w:type="spell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이관하여 보존한다.</w:t>
      </w:r>
    </w:p>
    <w:p w:rsidR="007A42F6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문서이관은</w:t>
      </w:r>
      <w:proofErr w:type="spellEnd"/>
      <w:proofErr w:type="gramEnd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년 1회 정기이관(매년 1월∼3월)을 원칙으로 하고 필요시 </w:t>
      </w:r>
      <w:r w:rsidR="007A42F6">
        <w:rPr>
          <w:rFonts w:ascii="함초롬바탕" w:eastAsia="함초롬바탕" w:hAnsi="함초롬바탕" w:cs="함초롬바탕" w:hint="eastAsia"/>
          <w:sz w:val="24"/>
          <w:szCs w:val="26"/>
        </w:rPr>
        <w:t xml:space="preserve">수시 </w:t>
      </w: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이관</w:t>
      </w:r>
      <w:r w:rsidR="007A42F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</w:p>
    <w:p w:rsidR="00D2021B" w:rsidRDefault="00D2021B" w:rsidP="007A42F6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할 수 있다.</w:t>
      </w:r>
    </w:p>
    <w:p w:rsidR="00D2021B" w:rsidRDefault="00D2021B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</w:p>
    <w:p w:rsidR="007A42F6" w:rsidRDefault="007A42F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부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칙</w:t>
      </w:r>
    </w:p>
    <w:p w:rsidR="008B1EB6" w:rsidRDefault="008B1EB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일부터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4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30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8B1EB6" w:rsidRDefault="008B1EB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lastRenderedPageBreak/>
        <w:t>[별첨1]</w:t>
      </w: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tbl>
      <w:tblPr>
        <w:tblpPr w:leftFromText="187" w:rightFromText="187" w:vertAnchor="text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903"/>
      </w:tblGrid>
      <w:tr w:rsidR="007A42F6" w:rsidRPr="007A42F6" w:rsidTr="007A42F6">
        <w:trPr>
          <w:trHeight w:val="100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120" w:after="120"/>
              <w:jc w:val="center"/>
              <w:textAlignment w:val="baseline"/>
              <w:rPr>
                <w:rFonts w:hAnsi="바탕" w:cs="굴림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      분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120" w:after="1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spacing w:val="100"/>
                <w:kern w:val="0"/>
                <w:szCs w:val="20"/>
              </w:rPr>
              <w:t>문서의 종류</w:t>
            </w:r>
          </w:p>
        </w:tc>
      </w:tr>
      <w:tr w:rsidR="007A42F6" w:rsidRPr="007A42F6" w:rsidTr="007A42F6">
        <w:trPr>
          <w:trHeight w:val="2668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영구보존(원본)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.품질매뉴얼</w:t>
            </w:r>
            <w:proofErr w:type="gramEnd"/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.회사의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존속, 사사 관련문서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.이사회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 주주총회 의사록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.회사의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재산, 권리, 의무에 관한 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토지, 건물 관계서류(담보, 근저당 설정, 감정서류)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.효력이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영속되는 문서(임대차계약서, 각종 계약서 등)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.임직원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임명관련 중요문서(임직원 명부, 이력서 등)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.자본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 사채 관련문서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.중요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연구보고서 등</w:t>
            </w:r>
          </w:p>
        </w:tc>
      </w:tr>
      <w:tr w:rsidR="007A42F6" w:rsidRPr="007A42F6" w:rsidTr="007A42F6">
        <w:trPr>
          <w:trHeight w:val="1230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spacing w:val="40"/>
                <w:kern w:val="0"/>
                <w:szCs w:val="20"/>
              </w:rPr>
              <w:t>10년 보존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.회계증명서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 전산보조부(</w:t>
            </w:r>
            <w:proofErr w:type="spell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계정별</w:t>
            </w:r>
            <w:proofErr w:type="spell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집계표)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.주주명의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변경서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.간부회의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등의 경영관리 </w:t>
            </w:r>
            <w:bookmarkStart w:id="0" w:name="_GoBack"/>
            <w:bookmarkEnd w:id="0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 중요한 선례로 되는 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.사내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전반에 걸친 게시, 통달에 관한 문서</w:t>
            </w:r>
          </w:p>
        </w:tc>
      </w:tr>
      <w:tr w:rsidR="007A42F6" w:rsidRPr="007A42F6" w:rsidTr="007A42F6">
        <w:trPr>
          <w:trHeight w:val="1303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spacing w:val="40"/>
                <w:kern w:val="0"/>
                <w:szCs w:val="20"/>
              </w:rPr>
              <w:t>5년 보존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.세금계산서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 매출장, 거래명세표 등 세무관련 서류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.금전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지출에 관련한 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.단기간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설계로 되는 문서(사업계약, 실행품의서, 완료보고서, 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중요회의록, 사고관계서류 등)</w:t>
            </w:r>
          </w:p>
        </w:tc>
      </w:tr>
      <w:tr w:rsidR="007A42F6" w:rsidRPr="007A42F6" w:rsidTr="007A42F6">
        <w:trPr>
          <w:trHeight w:val="1958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spacing w:val="40"/>
                <w:kern w:val="0"/>
                <w:szCs w:val="20"/>
              </w:rPr>
              <w:t>3년 보존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.개발기술에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관한 경미한 서류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.관련법규에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의해 점검문서로 요구된 문서(안전, 환경,소방 등) 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.통상의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회의록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.시정조치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선전 등의 기획관계 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.경리에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관한 보조서류, 통계서류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.일반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품의서(해외출장, 교육 등), 주문서,문서 </w:t>
            </w:r>
            <w:proofErr w:type="spell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수발신</w:t>
            </w:r>
            <w:proofErr w:type="spell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대장 등</w:t>
            </w:r>
          </w:p>
        </w:tc>
      </w:tr>
      <w:tr w:rsidR="007A42F6" w:rsidRPr="007A42F6" w:rsidTr="007A42F6">
        <w:trPr>
          <w:trHeight w:val="1898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보존 불필요 문서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center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(처리된 후 폐기)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.주무부서가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보관하고 있는 부본문서 (단,활용이 빈번한 경우 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시행년도</w:t>
            </w:r>
            <w:proofErr w:type="spell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+ 1년 범위 내에서 보관 활용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.참고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정도로 받은 보고서 및 통지(회람문서)  등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.각종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자료, 법령, 사규, 지침 중 효력이 상실 됨으로써 활용가치가  상실된 것</w:t>
            </w:r>
          </w:p>
          <w:p w:rsidR="007A42F6" w:rsidRPr="007A42F6" w:rsidRDefault="007A42F6" w:rsidP="007A42F6">
            <w:pPr>
              <w:widowControl/>
              <w:wordWrap/>
              <w:autoSpaceDE/>
              <w:autoSpaceDN/>
              <w:snapToGrid w:val="0"/>
              <w:spacing w:before="20" w:after="20"/>
              <w:jc w:val="left"/>
              <w:textAlignment w:val="baseline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.상급</w:t>
            </w:r>
            <w:proofErr w:type="gramEnd"/>
            <w:r w:rsidRPr="007A42F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혹은 담당부서의 결정을 받은 사항으로 경유 문서를 단순히 보관한 부본</w:t>
            </w:r>
          </w:p>
        </w:tc>
      </w:tr>
    </w:tbl>
    <w:p w:rsidR="007A42F6" w:rsidRPr="007A42F6" w:rsidRDefault="007A42F6" w:rsidP="007A42F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sectPr w:rsidR="007A42F6" w:rsidRPr="007A42F6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7ED" w:rsidRDefault="009837ED">
      <w:r>
        <w:separator/>
      </w:r>
    </w:p>
  </w:endnote>
  <w:endnote w:type="continuationSeparator" w:id="0">
    <w:p w:rsidR="009837ED" w:rsidRDefault="0098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7ED" w:rsidRDefault="009837ED">
      <w:r>
        <w:separator/>
      </w:r>
    </w:p>
  </w:footnote>
  <w:footnote w:type="continuationSeparator" w:id="0">
    <w:p w:rsidR="009837ED" w:rsidRDefault="0098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8B1EB6">
      <w:trPr>
        <w:cantSplit/>
        <w:trHeight w:hRule="exact" w:val="713"/>
      </w:trPr>
      <w:tc>
        <w:tcPr>
          <w:tcW w:w="2393" w:type="dxa"/>
          <w:vAlign w:val="center"/>
        </w:tcPr>
        <w:p w:rsidR="008B1EB6" w:rsidRDefault="009837ED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B1EB6" w:rsidRDefault="009837ED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" filled="f" stroked="f">
                    <v:textbox>
                      <w:txbxContent>
                        <w:p w:rsidR="008B1EB6" w:rsidRDefault="009837ED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8B1EB6" w:rsidRDefault="00007AB4">
          <w:pPr>
            <w:pStyle w:val="ab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문서관리</w:t>
          </w:r>
          <w:r w:rsidR="009837ED">
            <w:rPr>
              <w:rFonts w:ascii="Arial Narrow" w:eastAsia="함초롬바탕" w:hAnsi="Arial Narrow" w:cs="함초롬바탕" w:hint="eastAsia"/>
              <w:sz w:val="44"/>
              <w:szCs w:val="44"/>
            </w:rPr>
            <w:t>규정</w:t>
          </w:r>
        </w:p>
      </w:tc>
      <w:tc>
        <w:tcPr>
          <w:tcW w:w="2268" w:type="dxa"/>
          <w:vMerge w:val="restart"/>
          <w:vAlign w:val="center"/>
        </w:tcPr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</w:t>
          </w:r>
          <w:r w:rsidR="00007AB4"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 2021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6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30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>
            <w:rPr>
              <w:rStyle w:val="af4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8B1EB6">
      <w:trPr>
        <w:cantSplit/>
        <w:trHeight w:hRule="exact" w:val="426"/>
      </w:trPr>
      <w:tc>
        <w:tcPr>
          <w:tcW w:w="2393" w:type="dxa"/>
          <w:vAlign w:val="center"/>
        </w:tcPr>
        <w:p w:rsidR="008B1EB6" w:rsidRDefault="00007AB4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총무구매실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8B1EB6" w:rsidRDefault="008B1EB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B2D"/>
    <w:multiLevelType w:val="hybridMultilevel"/>
    <w:tmpl w:val="AA10B78C"/>
    <w:lvl w:ilvl="0" w:tplc="93E65A90">
      <w:start w:val="1"/>
      <w:numFmt w:val="decimalEnclosedCircle"/>
      <w:lvlText w:val="%1"/>
      <w:lvlJc w:val="left"/>
      <w:pPr>
        <w:ind w:left="850" w:hanging="450"/>
      </w:pPr>
      <w:rPr>
        <w:rFonts w:hint="default"/>
      </w:rPr>
    </w:lvl>
    <w:lvl w:ilvl="1" w:tplc="2904EAA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E63F1"/>
    <w:multiLevelType w:val="hybridMultilevel"/>
    <w:tmpl w:val="1808603A"/>
    <w:lvl w:ilvl="0" w:tplc="0568D34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72D2B"/>
    <w:multiLevelType w:val="hybridMultilevel"/>
    <w:tmpl w:val="5AA25A84"/>
    <w:lvl w:ilvl="0" w:tplc="0568D34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574AC"/>
    <w:multiLevelType w:val="hybridMultilevel"/>
    <w:tmpl w:val="5978CB28"/>
    <w:lvl w:ilvl="0" w:tplc="0568D34C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8DE32B3"/>
    <w:multiLevelType w:val="hybridMultilevel"/>
    <w:tmpl w:val="77EC16F6"/>
    <w:lvl w:ilvl="0" w:tplc="1B9813E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BF05F3"/>
    <w:multiLevelType w:val="hybridMultilevel"/>
    <w:tmpl w:val="A9E669C6"/>
    <w:lvl w:ilvl="0" w:tplc="9A02D6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5DC466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01255"/>
    <w:multiLevelType w:val="hybridMultilevel"/>
    <w:tmpl w:val="0862E3FE"/>
    <w:lvl w:ilvl="0" w:tplc="AC2A6D00">
      <w:start w:val="1"/>
      <w:numFmt w:val="decimal"/>
      <w:lvlText w:val="%1."/>
      <w:lvlJc w:val="left"/>
      <w:pPr>
        <w:ind w:left="126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B6"/>
    <w:rsid w:val="00007AB4"/>
    <w:rsid w:val="007A42F6"/>
    <w:rsid w:val="00813CBE"/>
    <w:rsid w:val="00845C36"/>
    <w:rsid w:val="008B1EB6"/>
    <w:rsid w:val="009837ED"/>
    <w:rsid w:val="00D071A6"/>
    <w:rsid w:val="00D2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4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.1.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3">
    <w:name w:val="바탕글"/>
    <w:basedOn w:val="a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5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6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9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a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0">
    <w:name w:val="1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hs1">
    <w:name w:val="hs1"/>
    <w:basedOn w:val="a"/>
    <w:pPr>
      <w:widowControl/>
      <w:wordWrap/>
      <w:autoSpaceDE/>
      <w:autoSpaceDN/>
      <w:spacing w:line="320" w:lineRule="atLeast"/>
    </w:pPr>
    <w:rPr>
      <w:rFonts w:ascii="굴림체" w:eastAsia="굴림체" w:hAnsi="굴림체" w:cs="굴림"/>
      <w:color w:val="000000"/>
      <w:kern w:val="0"/>
      <w:szCs w:val="2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b">
    <w:name w:val="Title"/>
    <w:uiPriority w:val="1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c">
    <w:name w:val="Emphasis"/>
    <w:basedOn w:val="a0"/>
    <w:qFormat/>
    <w:rPr>
      <w:i/>
      <w:iCs/>
    </w:rPr>
  </w:style>
  <w:style w:type="paragraph" w:customStyle="1" w:styleId="11">
    <w:name w:val="제1조"/>
    <w:basedOn w:val="a"/>
    <w:pPr>
      <w:shd w:val="clear" w:color="auto" w:fill="FFFFFF"/>
      <w:snapToGrid w:val="0"/>
      <w:spacing w:before="114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styleId="ad">
    <w:name w:val="List Paragraph"/>
    <w:basedOn w:val="a"/>
    <w:qFormat/>
    <w:pPr>
      <w:ind w:leftChars="400" w:left="800"/>
    </w:pPr>
  </w:style>
  <w:style w:type="paragraph" w:styleId="ae">
    <w:name w:val="Date"/>
    <w:basedOn w:val="a"/>
    <w:next w:val="a"/>
    <w:semiHidden/>
    <w:unhideWhenUsed/>
  </w:style>
  <w:style w:type="paragraph" w:styleId="af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character" w:customStyle="1" w:styleId="Char1">
    <w:name w:val="날짜 Char"/>
    <w:basedOn w:val="a0"/>
    <w:semiHidden/>
  </w:style>
  <w:style w:type="paragraph" w:styleId="af0">
    <w:name w:val="Body Text"/>
    <w:basedOn w:val="a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84" w:after="84" w:line="305" w:lineRule="auto"/>
      <w:ind w:left="350" w:right="350"/>
    </w:pPr>
    <w:rPr>
      <w:color w:val="000000"/>
      <w:kern w:val="0"/>
      <w:szCs w:val="20"/>
    </w:rPr>
  </w:style>
  <w:style w:type="character" w:customStyle="1" w:styleId="Char2">
    <w:name w:val="바닥글 Char"/>
    <w:basedOn w:val="a0"/>
  </w:style>
  <w:style w:type="paragraph" w:styleId="af1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본문 Char"/>
    <w:basedOn w:val="a0"/>
    <w:semiHidden/>
    <w:rPr>
      <w:rFonts w:ascii="바탕" w:eastAsia="바탕" w:hAnsi="Times New Roman" w:cs="Times New Roman"/>
      <w:color w:val="000000"/>
      <w:kern w:val="0"/>
      <w:szCs w:val="20"/>
    </w:rPr>
  </w:style>
  <w:style w:type="paragraph" w:styleId="af2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page number"/>
    <w:basedOn w:val="a0"/>
    <w:semiHidden/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rsid w:val="007A42F6"/>
    <w:pPr>
      <w:widowControl/>
      <w:wordWrap/>
      <w:autoSpaceDE/>
      <w:autoSpaceDN/>
      <w:snapToGrid w:val="0"/>
      <w:spacing w:before="100" w:beforeAutospacing="1" w:after="100" w:afterAutospacing="1"/>
      <w:jc w:val="left"/>
      <w:textAlignment w:val="baseline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2021-06-21T08:20:00Z</cp:lastPrinted>
  <dcterms:created xsi:type="dcterms:W3CDTF">2021-07-02T01:08:00Z</dcterms:created>
  <dcterms:modified xsi:type="dcterms:W3CDTF">2021-07-02T01:53:00Z</dcterms:modified>
  <cp:version>0900.0001.01</cp:version>
</cp:coreProperties>
</file>