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
      </w:pPr>
      <w:r>
        <w:t>HawkSpan Queue, Network, and Release-Control Review</w:t>
      </w:r>
    </w:p>
    <w:p>
      <w:pPr>
        <w:pStyle w:val="Subtitle"/>
      </w:pPr>
      <w:r>
        <w:t>Implementation fidelity, test coverage, and current queue-management research</w:t>
      </w:r>
    </w:p>
    <w:p>
      <w:pPr>
        <w:spacing w:after="40"/>
      </w:pPr>
      <w:r>
        <w:rPr>
          <w:rFonts w:ascii="Calibri" w:hAnsi="Calibri"/>
          <w:b/>
          <w:i w:val="0"/>
          <w:color w:val="182330"/>
          <w:sz w:val="22"/>
        </w:rPr>
        <w:t xml:space="preserve">Prepared for: </w:t>
      </w:r>
      <w:r>
        <w:rPr>
          <w:rFonts w:ascii="Calibri" w:hAnsi="Calibri"/>
          <w:b w:val="0"/>
          <w:i w:val="0"/>
          <w:color w:val="182330"/>
          <w:sz w:val="22"/>
        </w:rPr>
        <w:t>Harry Hawk</w:t>
      </w:r>
    </w:p>
    <w:p>
      <w:pPr>
        <w:spacing w:after="40"/>
      </w:pPr>
      <w:r>
        <w:rPr>
          <w:rFonts w:ascii="Calibri" w:hAnsi="Calibri"/>
          <w:b/>
          <w:i w:val="0"/>
          <w:color w:val="182330"/>
          <w:sz w:val="22"/>
        </w:rPr>
        <w:t xml:space="preserve">Candidate: </w:t>
      </w:r>
      <w:r>
        <w:rPr>
          <w:rFonts w:ascii="Calibri" w:hAnsi="Calibri"/>
          <w:b w:val="0"/>
          <w:i w:val="0"/>
          <w:color w:val="182330"/>
          <w:sz w:val="22"/>
        </w:rPr>
        <w:t>HawkSpan-D working tree</w:t>
      </w:r>
    </w:p>
    <w:p>
      <w:pPr>
        <w:spacing w:after="40"/>
      </w:pPr>
      <w:r>
        <w:t>Review date: August 6, 2026</w:t>
      </w:r>
    </w:p>
    <w:p>
      <w:pPr>
        <w:spacing w:after="40"/>
      </w:pPr>
      <w:r>
        <w:rPr>
          <w:rFonts w:ascii="Calibri" w:hAnsi="Calibri"/>
          <w:b/>
          <w:i w:val="0"/>
          <w:color w:val="182330"/>
          <w:sz w:val="22"/>
        </w:rPr>
        <w:t xml:space="preserve">Verification state: </w:t>
      </w:r>
      <w:r>
        <w:rPr>
          <w:rFonts w:ascii="Calibri" w:hAnsi="Calibri"/>
          <w:b w:val="0"/>
          <w:i w:val="0"/>
          <w:color w:val="182330"/>
          <w:sz w:val="22"/>
        </w:rPr>
        <w:t>Local candidate verified; clean M2/M4 deployment proof pending</w:t>
      </w:r>
    </w:p>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FF5D6"/>
          </w:tcPr>
          <w:p>
            <w:r>
              <w:t>Decision: The local candidate now represents the requested architecture: one immutable SimpleTuner lifecycle queue, user-created generic queues, application-level primary-route retries that reserve a complete Ethernet fallback attempt, receipt-confirmed automatic package return, and transport-only packet verification. The 27-program release gate passes. This is not yet final live-release proof because this exact revision has not been clean-installed and exercised on both Macs.</w:t>
            </w:r>
          </w:p>
        </w:tc>
      </w:tr>
    </w:tbl>
    <w:p>
      <w:pPr>
        <w:spacing w:after="0"/>
      </w:pPr>
    </w:p>
    <w:p>
      <w:pPr>
        <w:pStyle w:val="Heading1"/>
      </w:pPr>
      <w:r>
        <w:t>Executive Findings</w:t>
      </w:r>
    </w:p>
    <w:p>
      <w:pPr>
        <w:pStyle w:val="ListBullet"/>
      </w:pPr>
      <w:r>
        <w:t>The earlier test strategy was too positive-path oriented. It could prove that individual commands worked while missing contradictory documentation, stale environment controls, package-content inspection, and product coupling.</w:t>
      </w:r>
    </w:p>
    <w:p>
      <w:pPr>
        <w:pStyle w:val="ListBullet"/>
      </w:pPr>
      <w:r>
        <w:t>The release gate now begins with negative architectural invariants. It rejects predecessor runtime identifiers and dependencies, symbolic or hard links, rejected SimpleTuner REST/time-window paths, and incorrect HawkSpan plugin or MCP identity before running functional tests.</w:t>
      </w:r>
    </w:p>
    <w:p>
      <w:pPr>
        <w:pStyle w:val="ListBullet"/>
      </w:pPr>
      <w:r>
        <w:t>Queue durability and recovery are appropriate for a two-Mac trusted system: transactional claims, at-least-once delivery, idempotent identifiers, fenced renewable leases, bounded jittered retries, admission limits, owner-aware cross-process locks, and durable operator controls are implemented.</w:t>
      </w:r>
    </w:p>
    <w:p>
      <w:pPr>
        <w:pStyle w:val="ListBullet"/>
      </w:pPr>
      <w:r>
        <w:t>The research comparison identifies global resource budgeting, retention automation, aggregate alarms, and dead-letter quarantine as possible considerations for larger systems. They are explicitly out of scope for HawkSpan's requested two-Mac workflows and are not release requirements or reasons to add queue architecture.</w:t>
      </w:r>
    </w:p>
    <w:p>
      <w:r>
        <w:br w:type="page"/>
      </w:r>
    </w:p>
    <w:p>
      <w:pPr>
        <w:pStyle w:val="Heading1"/>
      </w:pPr>
      <w:r>
        <w:t>Requested Architecture</w:t>
      </w:r>
    </w:p>
    <w:p>
      <w:pPr>
        <w:pStyle w:val="Heading2"/>
      </w:pPr>
      <w:r>
        <w:t>SimpleTuner</w:t>
      </w:r>
    </w:p>
    <w:p>
      <w:r>
        <w:t>HawkSpan provides exactly one built-in SimpleTuner lifecycle authority: scripts/lora-scheduler.py. One durable item remains the same item through queued, training, packaging, returning, receipt-confirmed, and completed. Packaging and transport are phases, not additional SimpleTuner queues. Generic queue tools cannot create, rename, configure, clear, archive, or delete this built-in queue.</w:t>
      </w:r>
    </w:p>
    <w:p>
      <w:pPr>
        <w:pStyle w:val="Heading2"/>
      </w:pPr>
      <w:r>
        <w:t>Generic queues</w:t>
      </w:r>
    </w:p>
    <w:p>
      <w:r>
        <w:t>End users can create independent durable queues for HawkSpan messages, artifacts, audited commands, and registered application tools. Each queue has immutable identity and adapter ownership plus configurable name, concurrency, priority, ordering, attempts, retry delays, admission limits, and metadata.</w:t>
      </w:r>
    </w:p>
    <w:p>
      <w:pPr>
        <w:pStyle w:val="Heading2"/>
      </w:pPr>
      <w:r>
        <w:t>Network behavior</w:t>
      </w:r>
    </w:p>
    <w:p>
      <w:r>
        <w:t>For each HawkSpan operation, the primary route receives bounded retries with configured backoff. HawkSpan stops primary retries when necessary to reserve one complete Ethernet attempt inside the same cycle deadline. Connect timeout, per-attempt timeout, cycle timeout, SSH keepalive, primary reprobe, readiness-layer timeouts, and retry delays are controlled through ~/.hawkspan/hawkspan.env.</w:t>
      </w:r>
    </w:p>
    <w:p>
      <w:pPr>
        <w:pStyle w:val="Heading2"/>
      </w:pPr>
      <w:r>
        <w:t>Artifact return</w:t>
      </w:r>
    </w:p>
    <w:p>
      <w:r>
        <w:t>Successful SimpleTuner completion automatically registers and sends the return packet. Transport verifies the file, byte size, SHA-256 digest, destination copy, and receipt. The receiver does not open the package or judge its internal contents. Content evaluation remains a separate explicit LoRA validation activity.</w:t>
      </w:r>
    </w:p>
    <w:p>
      <w:pPr>
        <w:pStyle w:val="Heading2"/>
      </w:pPr>
      <w:r>
        <w:t>Release identity</w:t>
      </w:r>
    </w:p>
    <w:p>
      <w:r>
        <w:t>~/.hawkspan/installed-revision.json is the sole authority for the active release. Peer operations read the peer authority dynamically. Static peer release paths are unsupported. Activation validates and publishes configuration plus all five launchd plists before committing authority; startup binds local control, link agent, queue supervisor, LoRA scheduler, and packet receiver to the stable release root, enabling only the services appropriate to that machine's configured role.</w:t>
      </w:r>
    </w:p>
    <w:p>
      <w:r>
        <w:br w:type="page"/>
      </w:r>
    </w:p>
    <w:p>
      <w:pPr>
        <w:pStyle w:val="Heading1"/>
      </w:pPr>
      <w:r>
        <w:t>Requirement Evidence</w:t>
      </w:r>
    </w:p>
    <w:tbl>
      <w:tblPr>
        <w:tblStyle w:val="TableGrid"/>
        <w:tblW w:type="dxa" w:w="9360"/>
        <w:jc w:val="left"/>
        <w:tblLayout w:type="fixed"/>
        <w:tblLook w:firstColumn="1" w:firstRow="1" w:lastColumn="0" w:lastRow="0" w:noHBand="0" w:noVBand="1" w:val="04A0"/>
        <w:tblInd w:w="120" w:type="dxa"/>
      </w:tblPr>
      <w:tblGrid>
        <w:gridCol w:w="2500"/>
        <w:gridCol w:w="5160"/>
        <w:gridCol w:w="1700"/>
      </w:tblGrid>
      <w:tr>
        <w:tc>
          <w:tcPr>
            <w:tcW w:type="dxa" w:w="2500"/>
            <w:shd w:fill="E8EEF5"/>
            <w:vAlign w:val="center"/>
            <w:tcMar>
              <w:top w:w="90" w:type="dxa"/>
              <w:start w:w="120" w:type="dxa"/>
              <w:bottom w:w="90" w:type="dxa"/>
              <w:end w:w="120" w:type="dxa"/>
            </w:tcMar>
          </w:tcPr>
          <w:p>
            <w:r>
              <w:rPr>
                <w:rFonts w:ascii="Calibri" w:hAnsi="Calibri"/>
                <w:b/>
                <w:i w:val="0"/>
                <w:color w:val="1F4D78"/>
                <w:sz w:val="19"/>
              </w:rPr>
              <w:t>Requested behavior</w:t>
            </w:r>
          </w:p>
        </w:tc>
        <w:tc>
          <w:tcPr>
            <w:tcW w:type="dxa" w:w="5160"/>
            <w:shd w:fill="E8EEF5"/>
            <w:vAlign w:val="center"/>
            <w:tcMar>
              <w:top w:w="90" w:type="dxa"/>
              <w:start w:w="120" w:type="dxa"/>
              <w:bottom w:w="90" w:type="dxa"/>
              <w:end w:w="120" w:type="dxa"/>
            </w:tcMar>
          </w:tcPr>
          <w:p>
            <w:r>
              <w:rPr>
                <w:rFonts w:ascii="Calibri" w:hAnsi="Calibri"/>
                <w:b/>
                <w:i w:val="0"/>
                <w:color w:val="1F4D78"/>
                <w:sz w:val="19"/>
              </w:rPr>
              <w:t>Current implementation and evidence</w:t>
            </w:r>
          </w:p>
        </w:tc>
        <w:tc>
          <w:tcPr>
            <w:tcW w:type="dxa" w:w="1700"/>
            <w:shd w:fill="E8EEF5"/>
            <w:vAlign w:val="center"/>
            <w:tcMar>
              <w:top w:w="90" w:type="dxa"/>
              <w:start w:w="120" w:type="dxa"/>
              <w:bottom w:w="90" w:type="dxa"/>
              <w:end w:w="120" w:type="dxa"/>
            </w:tcMar>
          </w:tcPr>
          <w:p>
            <w:r>
              <w:rPr>
                <w:rFonts w:ascii="Calibri" w:hAnsi="Calibri"/>
                <w:b/>
                <w:i w:val="0"/>
                <w:color w:val="1F4D78"/>
                <w:sz w:val="19"/>
              </w:rPr>
              <w:t>Result</w:t>
            </w:r>
          </w:p>
        </w:tc>
      </w:tr>
      <w:tr>
        <w:tc>
          <w:tcPr>
            <w:tcW w:type="dxa" w:w="2500"/>
            <w:vAlign w:val="center"/>
            <w:tcMar>
              <w:top w:w="90" w:type="dxa"/>
              <w:start w:w="120" w:type="dxa"/>
              <w:bottom w:w="90" w:type="dxa"/>
              <w:end w:w="120" w:type="dxa"/>
            </w:tcMar>
          </w:tcPr>
          <w:p>
            <w:r>
              <w:rPr>
                <w:rFonts w:ascii="Calibri" w:hAnsi="Calibri"/>
                <w:b w:val="0"/>
                <w:i w:val="0"/>
                <w:color w:val="182330"/>
                <w:sz w:val="18"/>
              </w:rPr>
              <w:t>One immutable SimpleTuner lifecycle queue</w:t>
            </w:r>
          </w:p>
        </w:tc>
        <w:tc>
          <w:tcPr>
            <w:tcW w:type="dxa" w:w="5160"/>
            <w:vAlign w:val="center"/>
            <w:tcMar>
              <w:top w:w="90" w:type="dxa"/>
              <w:start w:w="120" w:type="dxa"/>
              <w:bottom w:w="90" w:type="dxa"/>
              <w:end w:w="120" w:type="dxa"/>
            </w:tcMar>
          </w:tcPr>
          <w:p>
            <w:r>
              <w:rPr>
                <w:rFonts w:ascii="Calibri" w:hAnsi="Calibri"/>
                <w:b w:val="0"/>
                <w:i w:val="0"/>
                <w:color w:val="182330"/>
                <w:sz w:val="18"/>
              </w:rPr>
              <w:t>lora-scheduler.py; test-simpletuner-single-queue.mjs; generic queue tools reject trainer lifecycle adapters</w:t>
            </w:r>
          </w:p>
        </w:tc>
        <w:tc>
          <w:tcPr>
            <w:tcW w:type="dxa" w:w="1700"/>
            <w:shd w:fill="EAF4EA"/>
            <w:vAlign w:val="center"/>
            <w:tcMar>
              <w:top w:w="90" w:type="dxa"/>
              <w:start w:w="120" w:type="dxa"/>
              <w:bottom w:w="90" w:type="dxa"/>
              <w:end w:w="120" w:type="dxa"/>
            </w:tcMar>
          </w:tcPr>
          <w:p>
            <w:r>
              <w:rPr>
                <w:rFonts w:ascii="Calibri" w:hAnsi="Calibri"/>
                <w:b/>
                <w:i w:val="0"/>
                <w:color w:val="182330"/>
                <w:sz w:val="18"/>
              </w:rPr>
              <w:t>Verified locally</w:t>
            </w:r>
          </w:p>
        </w:tc>
      </w:tr>
      <w:tr>
        <w:tc>
          <w:tcPr>
            <w:tcW w:type="dxa" w:w="2500"/>
            <w:vAlign w:val="center"/>
            <w:tcMar>
              <w:top w:w="90" w:type="dxa"/>
              <w:start w:w="120" w:type="dxa"/>
              <w:bottom w:w="90" w:type="dxa"/>
              <w:end w:w="120" w:type="dxa"/>
            </w:tcMar>
          </w:tcPr>
          <w:p>
            <w:r>
              <w:rPr>
                <w:rFonts w:ascii="Calibri" w:hAnsi="Calibri"/>
                <w:b w:val="0"/>
                <w:i w:val="0"/>
                <w:color w:val="182330"/>
                <w:sz w:val="18"/>
              </w:rPr>
              <w:t>User-created application-neutral queues</w:t>
            </w:r>
          </w:p>
        </w:tc>
        <w:tc>
          <w:tcPr>
            <w:tcW w:type="dxa" w:w="5160"/>
            <w:vAlign w:val="center"/>
            <w:tcMar>
              <w:top w:w="90" w:type="dxa"/>
              <w:start w:w="120" w:type="dxa"/>
              <w:bottom w:w="90" w:type="dxa"/>
              <w:end w:w="120" w:type="dxa"/>
            </w:tcMar>
          </w:tcPr>
          <w:p>
            <w:r>
              <w:rPr>
                <w:rFonts w:ascii="Calibri" w:hAnsi="Calibri"/>
                <w:b w:val="0"/>
                <w:i w:val="0"/>
                <w:color w:val="182330"/>
                <w:sz w:val="18"/>
              </w:rPr>
              <w:t>create/configure/delete/list/enqueue/batch/control/supervise MCP tools; test-mcp.mjs and test-queue-registry.mjs</w:t>
            </w:r>
          </w:p>
        </w:tc>
        <w:tc>
          <w:tcPr>
            <w:tcW w:type="dxa" w:w="1700"/>
            <w:shd w:fill="EAF4EA"/>
            <w:vAlign w:val="center"/>
            <w:tcMar>
              <w:top w:w="90" w:type="dxa"/>
              <w:start w:w="120" w:type="dxa"/>
              <w:bottom w:w="90" w:type="dxa"/>
              <w:end w:w="120" w:type="dxa"/>
            </w:tcMar>
          </w:tcPr>
          <w:p>
            <w:r>
              <w:rPr>
                <w:rFonts w:ascii="Calibri" w:hAnsi="Calibri"/>
                <w:b/>
                <w:i w:val="0"/>
                <w:color w:val="182330"/>
                <w:sz w:val="18"/>
              </w:rPr>
              <w:t>Verified locally</w:t>
            </w:r>
          </w:p>
        </w:tc>
      </w:tr>
      <w:tr>
        <w:tc>
          <w:tcPr>
            <w:tcW w:type="dxa" w:w="2500"/>
            <w:vAlign w:val="center"/>
            <w:tcMar>
              <w:top w:w="90" w:type="dxa"/>
              <w:start w:w="120" w:type="dxa"/>
              <w:bottom w:w="90" w:type="dxa"/>
              <w:end w:w="120" w:type="dxa"/>
            </w:tcMar>
          </w:tcPr>
          <w:p>
            <w:r>
              <w:rPr>
                <w:rFonts w:ascii="Calibri" w:hAnsi="Calibri"/>
                <w:b w:val="0"/>
                <w:i w:val="0"/>
                <w:color w:val="182330"/>
                <w:sz w:val="18"/>
              </w:rPr>
              <w:t>Pause, resume, skip, retry, clear, archive, delete</w:t>
            </w:r>
          </w:p>
        </w:tc>
        <w:tc>
          <w:tcPr>
            <w:tcW w:type="dxa" w:w="5160"/>
            <w:vAlign w:val="center"/>
            <w:tcMar>
              <w:top w:w="90" w:type="dxa"/>
              <w:start w:w="120" w:type="dxa"/>
              <w:bottom w:w="90" w:type="dxa"/>
              <w:end w:w="120" w:type="dxa"/>
            </w:tcMar>
          </w:tcPr>
          <w:p>
            <w:r>
              <w:rPr>
                <w:rFonts w:ascii="Calibri" w:hAnsi="Calibri"/>
                <w:b w:val="0"/>
                <w:i w:val="0"/>
                <w:color w:val="182330"/>
                <w:sz w:val="18"/>
              </w:rPr>
              <w:t>Durable queue and item transitions; running work cannot be stolen; empty-only queue deletion</w:t>
            </w:r>
          </w:p>
        </w:tc>
        <w:tc>
          <w:tcPr>
            <w:tcW w:type="dxa" w:w="1700"/>
            <w:shd w:fill="EAF4EA"/>
            <w:vAlign w:val="center"/>
            <w:tcMar>
              <w:top w:w="90" w:type="dxa"/>
              <w:start w:w="120" w:type="dxa"/>
              <w:bottom w:w="90" w:type="dxa"/>
              <w:end w:w="120" w:type="dxa"/>
            </w:tcMar>
          </w:tcPr>
          <w:p>
            <w:r>
              <w:rPr>
                <w:rFonts w:ascii="Calibri" w:hAnsi="Calibri"/>
                <w:b/>
                <w:i w:val="0"/>
                <w:color w:val="182330"/>
                <w:sz w:val="18"/>
              </w:rPr>
              <w:t>Verified locally</w:t>
            </w:r>
          </w:p>
        </w:tc>
      </w:tr>
      <w:tr>
        <w:tc>
          <w:tcPr>
            <w:tcW w:type="dxa" w:w="2500"/>
            <w:vAlign w:val="center"/>
            <w:tcMar>
              <w:top w:w="90" w:type="dxa"/>
              <w:start w:w="120" w:type="dxa"/>
              <w:bottom w:w="90" w:type="dxa"/>
              <w:end w:w="120" w:type="dxa"/>
            </w:tcMar>
          </w:tcPr>
          <w:p>
            <w:r>
              <w:rPr>
                <w:rFonts w:ascii="Calibri" w:hAnsi="Calibri"/>
                <w:b w:val="0"/>
                <w:i w:val="0"/>
                <w:color w:val="182330"/>
                <w:sz w:val="18"/>
              </w:rPr>
              <w:t>Queue state survives process or code restart</w:t>
            </w:r>
          </w:p>
        </w:tc>
        <w:tc>
          <w:tcPr>
            <w:tcW w:type="dxa" w:w="5160"/>
            <w:vAlign w:val="center"/>
            <w:tcMar>
              <w:top w:w="90" w:type="dxa"/>
              <w:start w:w="120" w:type="dxa"/>
              <w:bottom w:w="90" w:type="dxa"/>
              <w:end w:w="120" w:type="dxa"/>
            </w:tcMar>
          </w:tcPr>
          <w:p>
            <w:r>
              <w:t>SQLite and scheduler state live outside the release root; revision activation preserves them; expired leases and dead-owner locks recover; test-reboot-reconciliation.mjs and test-scheduler-state-lock.mjs</w:t>
            </w:r>
          </w:p>
        </w:tc>
        <w:tc>
          <w:tcPr>
            <w:tcW w:type="dxa" w:w="1700"/>
            <w:shd w:fill="EAF4EA"/>
            <w:vAlign w:val="center"/>
            <w:tcMar>
              <w:top w:w="90" w:type="dxa"/>
              <w:start w:w="120" w:type="dxa"/>
              <w:bottom w:w="90" w:type="dxa"/>
              <w:end w:w="120" w:type="dxa"/>
            </w:tcMar>
          </w:tcPr>
          <w:p>
            <w:r>
              <w:rPr>
                <w:rFonts w:ascii="Calibri" w:hAnsi="Calibri"/>
                <w:b/>
                <w:i w:val="0"/>
                <w:color w:val="182330"/>
                <w:sz w:val="18"/>
              </w:rPr>
              <w:t>Verified locally</w:t>
            </w:r>
          </w:p>
        </w:tc>
      </w:tr>
      <w:tr>
        <w:tc>
          <w:tcPr>
            <w:tcW w:type="dxa" w:w="2500"/>
            <w:vAlign w:val="center"/>
            <w:tcMar>
              <w:top w:w="90" w:type="dxa"/>
              <w:start w:w="120" w:type="dxa"/>
              <w:bottom w:w="90" w:type="dxa"/>
              <w:end w:w="120" w:type="dxa"/>
            </w:tcMar>
          </w:tcPr>
          <w:p>
            <w:r>
              <w:rPr>
                <w:rFonts w:ascii="Calibri" w:hAnsi="Calibri"/>
                <w:b w:val="0"/>
                <w:i w:val="0"/>
                <w:color w:val="182330"/>
                <w:sz w:val="18"/>
              </w:rPr>
              <w:t>Automatic package return</w:t>
            </w:r>
          </w:p>
        </w:tc>
        <w:tc>
          <w:tcPr>
            <w:tcW w:type="dxa" w:w="5160"/>
            <w:vAlign w:val="center"/>
            <w:tcMar>
              <w:top w:w="90" w:type="dxa"/>
              <w:start w:w="120" w:type="dxa"/>
              <w:bottom w:w="90" w:type="dxa"/>
              <w:end w:w="120" w:type="dxa"/>
            </w:tcMar>
          </w:tcPr>
          <w:p>
            <w:r>
              <w:t>automatic-package-return.mjs registers and stages once, then completes only after a receiver-generated digest-matched receipt; live locks are preserved and dead locks recover</w:t>
            </w:r>
          </w:p>
        </w:tc>
        <w:tc>
          <w:tcPr>
            <w:tcW w:type="dxa" w:w="1700"/>
            <w:shd w:fill="EAF4EA"/>
            <w:vAlign w:val="center"/>
            <w:tcMar>
              <w:top w:w="90" w:type="dxa"/>
              <w:start w:w="120" w:type="dxa"/>
              <w:bottom w:w="90" w:type="dxa"/>
              <w:end w:w="120" w:type="dxa"/>
            </w:tcMar>
          </w:tcPr>
          <w:p>
            <w:r>
              <w:rPr>
                <w:rFonts w:ascii="Calibri" w:hAnsi="Calibri"/>
                <w:b/>
                <w:i w:val="0"/>
                <w:color w:val="182330"/>
                <w:sz w:val="18"/>
              </w:rPr>
              <w:t>Verified locally</w:t>
            </w:r>
          </w:p>
        </w:tc>
      </w:tr>
      <w:tr>
        <w:tc>
          <w:tcPr>
            <w:tcW w:type="dxa" w:w="2500"/>
            <w:vAlign w:val="center"/>
            <w:tcMar>
              <w:top w:w="90" w:type="dxa"/>
              <w:start w:w="120" w:type="dxa"/>
              <w:bottom w:w="90" w:type="dxa"/>
              <w:end w:w="120" w:type="dxa"/>
            </w:tcMar>
          </w:tcPr>
          <w:p>
            <w:r>
              <w:rPr>
                <w:rFonts w:ascii="Calibri" w:hAnsi="Calibri"/>
                <w:b w:val="0"/>
                <w:i w:val="0"/>
                <w:color w:val="182330"/>
                <w:sz w:val="18"/>
              </w:rPr>
              <w:t>Transport does not audit package contents</w:t>
            </w:r>
          </w:p>
        </w:tc>
        <w:tc>
          <w:tcPr>
            <w:tcW w:type="dxa" w:w="5160"/>
            <w:vAlign w:val="center"/>
            <w:tcMar>
              <w:top w:w="90" w:type="dxa"/>
              <w:start w:w="120" w:type="dxa"/>
              <w:bottom w:w="90" w:type="dxa"/>
              <w:end w:w="120" w:type="dxa"/>
            </w:tcMar>
          </w:tcPr>
          <w:p>
            <w:r>
              <w:rPr>
                <w:rFonts w:ascii="Calibri" w:hAnsi="Calibri"/>
                <w:b w:val="0"/>
                <w:i w:val="0"/>
                <w:color w:val="182330"/>
                <w:sz w:val="18"/>
              </w:rPr>
              <w:t>m2-packet-receiver.mjs accepts opaque transport fixture and records contents_inspected=false</w:t>
            </w:r>
          </w:p>
        </w:tc>
        <w:tc>
          <w:tcPr>
            <w:tcW w:type="dxa" w:w="1700"/>
            <w:shd w:fill="EAF4EA"/>
            <w:vAlign w:val="center"/>
            <w:tcMar>
              <w:top w:w="90" w:type="dxa"/>
              <w:start w:w="120" w:type="dxa"/>
              <w:bottom w:w="90" w:type="dxa"/>
              <w:end w:w="120" w:type="dxa"/>
            </w:tcMar>
          </w:tcPr>
          <w:p>
            <w:r>
              <w:rPr>
                <w:rFonts w:ascii="Calibri" w:hAnsi="Calibri"/>
                <w:b/>
                <w:i w:val="0"/>
                <w:color w:val="182330"/>
                <w:sz w:val="18"/>
              </w:rPr>
              <w:t>Verified locally</w:t>
            </w:r>
          </w:p>
        </w:tc>
      </w:tr>
      <w:tr>
        <w:tc>
          <w:tcPr>
            <w:tcW w:type="dxa" w:w="2500"/>
            <w:vAlign w:val="center"/>
            <w:tcMar>
              <w:top w:w="90" w:type="dxa"/>
              <w:start w:w="120" w:type="dxa"/>
              <w:bottom w:w="90" w:type="dxa"/>
              <w:end w:w="120" w:type="dxa"/>
            </w:tcMar>
          </w:tcPr>
          <w:p>
            <w:r>
              <w:rPr>
                <w:rFonts w:ascii="Calibri" w:hAnsi="Calibri"/>
                <w:b w:val="0"/>
                <w:i w:val="0"/>
                <w:color w:val="182330"/>
                <w:sz w:val="18"/>
              </w:rPr>
              <w:t>Primary application retries precede fallback</w:t>
            </w:r>
          </w:p>
        </w:tc>
        <w:tc>
          <w:tcPr>
            <w:tcW w:type="dxa" w:w="5160"/>
            <w:vAlign w:val="center"/>
            <w:tcMar>
              <w:top w:w="90" w:type="dxa"/>
              <w:start w:w="120" w:type="dxa"/>
              <w:bottom w:w="90" w:type="dxa"/>
              <w:end w:w="120" w:type="dxa"/>
            </w:tcMar>
          </w:tcPr>
          <w:p>
            <w:r>
              <w:t>Each primary retry is bounded and backed off; budget checks stop primary retries early when needed to reserve one complete fallback attempt</w:t>
            </w:r>
          </w:p>
        </w:tc>
        <w:tc>
          <w:tcPr>
            <w:tcW w:type="dxa" w:w="1700"/>
            <w:shd w:fill="EAF4EA"/>
            <w:vAlign w:val="center"/>
            <w:tcMar>
              <w:top w:w="90" w:type="dxa"/>
              <w:start w:w="120" w:type="dxa"/>
              <w:bottom w:w="90" w:type="dxa"/>
              <w:end w:w="120" w:type="dxa"/>
            </w:tcMar>
          </w:tcPr>
          <w:p>
            <w:r>
              <w:rPr>
                <w:rFonts w:ascii="Calibri" w:hAnsi="Calibri"/>
                <w:b/>
                <w:i w:val="0"/>
                <w:color w:val="182330"/>
                <w:sz w:val="18"/>
              </w:rPr>
              <w:t>Verified locally</w:t>
            </w:r>
          </w:p>
        </w:tc>
      </w:tr>
      <w:tr>
        <w:tc>
          <w:tcPr>
            <w:tcW w:type="dxa" w:w="2500"/>
            <w:vAlign w:val="center"/>
            <w:tcMar>
              <w:top w:w="90" w:type="dxa"/>
              <w:start w:w="120" w:type="dxa"/>
              <w:bottom w:w="90" w:type="dxa"/>
              <w:end w:w="120" w:type="dxa"/>
            </w:tcMar>
          </w:tcPr>
          <w:p>
            <w:r>
              <w:rPr>
                <w:rFonts w:ascii="Calibri" w:hAnsi="Calibri"/>
                <w:b w:val="0"/>
                <w:i w:val="0"/>
                <w:color w:val="182330"/>
                <w:sz w:val="18"/>
              </w:rPr>
              <w:t>All link controls live in .env</w:t>
            </w:r>
          </w:p>
        </w:tc>
        <w:tc>
          <w:tcPr>
            <w:tcW w:type="dxa" w:w="5160"/>
            <w:vAlign w:val="center"/>
            <w:tcMar>
              <w:top w:w="90" w:type="dxa"/>
              <w:start w:w="120" w:type="dxa"/>
              <w:bottom w:w="90" w:type="dxa"/>
              <w:end w:w="120" w:type="dxa"/>
            </w:tcMar>
          </w:tcPr>
          <w:p>
            <w:r>
              <w:t>hawkspan-env parser maps operation retry, attempt, connect, cycle, keepalive, reprobe, readiness, queue, and lock values</w:t>
            </w:r>
          </w:p>
        </w:tc>
        <w:tc>
          <w:tcPr>
            <w:tcW w:type="dxa" w:w="1700"/>
            <w:shd w:fill="EAF4EA"/>
            <w:vAlign w:val="center"/>
            <w:tcMar>
              <w:top w:w="90" w:type="dxa"/>
              <w:start w:w="120" w:type="dxa"/>
              <w:bottom w:w="90" w:type="dxa"/>
              <w:end w:w="120" w:type="dxa"/>
            </w:tcMar>
          </w:tcPr>
          <w:p>
            <w:r>
              <w:rPr>
                <w:rFonts w:ascii="Calibri" w:hAnsi="Calibri"/>
                <w:b/>
                <w:i w:val="0"/>
                <w:color w:val="182330"/>
                <w:sz w:val="18"/>
              </w:rPr>
              <w:t>Verified locally</w:t>
            </w:r>
          </w:p>
        </w:tc>
      </w:tr>
      <w:tr>
        <w:tc>
          <w:tcPr>
            <w:tcW w:type="dxa" w:w="2500"/>
            <w:vAlign w:val="center"/>
            <w:tcMar>
              <w:top w:w="90" w:type="dxa"/>
              <w:start w:w="120" w:type="dxa"/>
              <w:bottom w:w="90" w:type="dxa"/>
              <w:end w:w="120" w:type="dxa"/>
            </w:tcMar>
          </w:tcPr>
          <w:p>
            <w:r>
              <w:rPr>
                <w:rFonts w:ascii="Calibri" w:hAnsi="Calibri"/>
                <w:b w:val="0"/>
                <w:i w:val="0"/>
                <w:color w:val="182330"/>
                <w:sz w:val="18"/>
              </w:rPr>
              <w:t>Layered startup/readiness</w:t>
            </w:r>
          </w:p>
        </w:tc>
        <w:tc>
          <w:tcPr>
            <w:tcW w:type="dxa" w:w="5160"/>
            <w:vAlign w:val="center"/>
            <w:tcMar>
              <w:top w:w="90" w:type="dxa"/>
              <w:start w:w="120" w:type="dxa"/>
              <w:bottom w:w="90" w:type="dxa"/>
              <w:end w:w="120" w:type="dxa"/>
            </w:tcMar>
          </w:tcPr>
          <w:p>
            <w:r>
              <w:t>Local interface, ping, TCP 22, SSH login, HawkSpan agent, and trainer layers use bounded deadlines; all five services are rendered and audited against installed authority</w:t>
            </w:r>
          </w:p>
        </w:tc>
        <w:tc>
          <w:tcPr>
            <w:tcW w:type="dxa" w:w="1700"/>
            <w:shd w:fill="EAF4EA"/>
            <w:vAlign w:val="center"/>
            <w:tcMar>
              <w:top w:w="90" w:type="dxa"/>
              <w:start w:w="120" w:type="dxa"/>
              <w:bottom w:w="90" w:type="dxa"/>
              <w:end w:w="120" w:type="dxa"/>
            </w:tcMar>
          </w:tcPr>
          <w:p>
            <w:r>
              <w:rPr>
                <w:rFonts w:ascii="Calibri" w:hAnsi="Calibri"/>
                <w:b/>
                <w:i w:val="0"/>
                <w:color w:val="182330"/>
                <w:sz w:val="18"/>
              </w:rPr>
              <w:t>Verified locally</w:t>
            </w:r>
          </w:p>
        </w:tc>
      </w:tr>
      <w:tr>
        <w:tc>
          <w:tcPr>
            <w:tcW w:type="dxa" w:w="2500"/>
            <w:vAlign w:val="center"/>
            <w:tcMar>
              <w:top w:w="90" w:type="dxa"/>
              <w:start w:w="120" w:type="dxa"/>
              <w:bottom w:w="90" w:type="dxa"/>
              <w:end w:w="120" w:type="dxa"/>
            </w:tcMar>
          </w:tcPr>
          <w:p>
            <w:r>
              <w:rPr>
                <w:rFonts w:ascii="Calibri" w:hAnsi="Calibri"/>
                <w:b w:val="0"/>
                <w:i w:val="0"/>
                <w:color w:val="182330"/>
                <w:sz w:val="18"/>
              </w:rPr>
              <w:t>No predecessor runtime coupling</w:t>
            </w:r>
          </w:p>
        </w:tc>
        <w:tc>
          <w:tcPr>
            <w:tcW w:type="dxa" w:w="5160"/>
            <w:vAlign w:val="center"/>
            <w:tcMar>
              <w:top w:w="90" w:type="dxa"/>
              <w:start w:w="120" w:type="dxa"/>
              <w:bottom w:w="90" w:type="dxa"/>
              <w:end w:w="120" w:type="dxa"/>
            </w:tcMar>
          </w:tcPr>
          <w:p>
            <w:r>
              <w:rPr>
                <w:rFonts w:ascii="Calibri" w:hAnsi="Calibri"/>
                <w:b w:val="0"/>
                <w:i w:val="0"/>
                <w:color w:val="182330"/>
                <w:sz w:val="18"/>
              </w:rPr>
              <w:t>Whole-release separation scan plus contaminated candidate and release-gate rejection</w:t>
            </w:r>
          </w:p>
        </w:tc>
        <w:tc>
          <w:tcPr>
            <w:tcW w:type="dxa" w:w="1700"/>
            <w:shd w:fill="EAF4EA"/>
            <w:vAlign w:val="center"/>
            <w:tcMar>
              <w:top w:w="90" w:type="dxa"/>
              <w:start w:w="120" w:type="dxa"/>
              <w:bottom w:w="90" w:type="dxa"/>
              <w:end w:w="120" w:type="dxa"/>
            </w:tcMar>
          </w:tcPr>
          <w:p>
            <w:r>
              <w:rPr>
                <w:rFonts w:ascii="Calibri" w:hAnsi="Calibri"/>
                <w:b/>
                <w:i w:val="0"/>
                <w:color w:val="182330"/>
                <w:sz w:val="18"/>
              </w:rPr>
              <w:t>Verified locally</w:t>
            </w:r>
          </w:p>
        </w:tc>
      </w:tr>
      <w:tr>
        <w:tc>
          <w:tcPr>
            <w:tcW w:type="dxa" w:w="2500"/>
            <w:vAlign w:val="center"/>
            <w:tcMar>
              <w:top w:w="90" w:type="dxa"/>
              <w:start w:w="120" w:type="dxa"/>
              <w:bottom w:w="90" w:type="dxa"/>
              <w:end w:w="120" w:type="dxa"/>
            </w:tcMar>
          </w:tcPr>
          <w:p>
            <w:r>
              <w:rPr>
                <w:rFonts w:ascii="Calibri" w:hAnsi="Calibri"/>
                <w:b w:val="0"/>
                <w:i w:val="0"/>
                <w:color w:val="182330"/>
                <w:sz w:val="18"/>
              </w:rPr>
              <w:t>Fresh install on both Macs</w:t>
            </w:r>
          </w:p>
        </w:tc>
        <w:tc>
          <w:tcPr>
            <w:tcW w:type="dxa" w:w="5160"/>
            <w:vAlign w:val="center"/>
            <w:tcMar>
              <w:top w:w="90" w:type="dxa"/>
              <w:start w:w="120" w:type="dxa"/>
              <w:bottom w:w="90" w:type="dxa"/>
              <w:end w:w="120" w:type="dxa"/>
            </w:tcMar>
          </w:tcPr>
          <w:p>
            <w:r>
              <w:rPr>
                <w:rFonts w:ascii="Calibri" w:hAnsi="Calibri"/>
                <w:b w:val="0"/>
                <w:i w:val="0"/>
                <w:color w:val="182330"/>
                <w:sz w:val="18"/>
              </w:rPr>
              <w:t>This exact working-tree revision is not the currently installed revision</w:t>
            </w:r>
          </w:p>
        </w:tc>
        <w:tc>
          <w:tcPr>
            <w:tcW w:type="dxa" w:w="1700"/>
            <w:shd w:fill="FFF5D6"/>
            <w:vAlign w:val="center"/>
            <w:tcMar>
              <w:top w:w="90" w:type="dxa"/>
              <w:start w:w="120" w:type="dxa"/>
              <w:bottom w:w="90" w:type="dxa"/>
              <w:end w:w="120" w:type="dxa"/>
            </w:tcMar>
          </w:tcPr>
          <w:p>
            <w:r>
              <w:rPr>
                <w:rFonts w:ascii="Calibri" w:hAnsi="Calibri"/>
                <w:b/>
                <w:i w:val="0"/>
                <w:color w:val="182330"/>
                <w:sz w:val="18"/>
              </w:rPr>
              <w:t>Live proof pending</w:t>
            </w:r>
          </w:p>
        </w:tc>
      </w:tr>
      <w:tr>
        <w:tc>
          <w:tcPr>
            <w:tcW w:type="dxa" w:w="2500"/>
            <w:vAlign w:val="center"/>
            <w:tcMar>
              <w:top w:w="90" w:type="dxa"/>
              <w:start w:w="120" w:type="dxa"/>
              <w:bottom w:w="90" w:type="dxa"/>
              <w:end w:w="120" w:type="dxa"/>
            </w:tcMar>
          </w:tcPr>
          <w:p>
            <w:r>
              <w:rPr>
                <w:rFonts w:ascii="Calibri" w:hAnsi="Calibri"/>
                <w:b w:val="0"/>
                <w:i w:val="0"/>
                <w:color w:val="182330"/>
                <w:sz w:val="18"/>
              </w:rPr>
              <w:t>Real Thunderbolt recovery and Ethernet fallback</w:t>
            </w:r>
          </w:p>
        </w:tc>
        <w:tc>
          <w:tcPr>
            <w:tcW w:type="dxa" w:w="5160"/>
            <w:vAlign w:val="center"/>
            <w:tcMar>
              <w:top w:w="90" w:type="dxa"/>
              <w:start w:w="120" w:type="dxa"/>
              <w:bottom w:w="90" w:type="dxa"/>
              <w:end w:w="120" w:type="dxa"/>
            </w:tcMar>
          </w:tcPr>
          <w:p>
            <w:r>
              <w:rPr>
                <w:rFonts w:ascii="Calibri" w:hAnsi="Calibri"/>
                <w:b w:val="0"/>
                <w:i w:val="0"/>
                <w:color w:val="182330"/>
                <w:sz w:val="18"/>
              </w:rPr>
              <w:t>Planning logic is verified; live route disruption/recovery must be repeated after clean install</w:t>
            </w:r>
          </w:p>
        </w:tc>
        <w:tc>
          <w:tcPr>
            <w:tcW w:type="dxa" w:w="1700"/>
            <w:shd w:fill="FFF5D6"/>
            <w:vAlign w:val="center"/>
            <w:tcMar>
              <w:top w:w="90" w:type="dxa"/>
              <w:start w:w="120" w:type="dxa"/>
              <w:bottom w:w="90" w:type="dxa"/>
              <w:end w:w="120" w:type="dxa"/>
            </w:tcMar>
          </w:tcPr>
          <w:p>
            <w:r>
              <w:rPr>
                <w:rFonts w:ascii="Calibri" w:hAnsi="Calibri"/>
                <w:b/>
                <w:i w:val="0"/>
                <w:color w:val="182330"/>
                <w:sz w:val="18"/>
              </w:rPr>
              <w:t>Live proof pending</w:t>
            </w:r>
          </w:p>
        </w:tc>
      </w:tr>
      <w:tr>
        <w:tc>
          <w:tcPr>
            <w:tcW w:type="dxa" w:w="2500"/>
            <w:vAlign w:val="center"/>
            <w:tcMar>
              <w:top w:w="90" w:type="dxa"/>
              <w:start w:w="120" w:type="dxa"/>
              <w:bottom w:w="90" w:type="dxa"/>
              <w:end w:w="120" w:type="dxa"/>
            </w:tcMar>
          </w:tcPr>
          <w:p>
            <w:r>
              <w:rPr>
                <w:rFonts w:ascii="Calibri" w:hAnsi="Calibri"/>
                <w:b w:val="0"/>
                <w:i w:val="0"/>
                <w:color w:val="182330"/>
                <w:sz w:val="18"/>
              </w:rPr>
              <w:t>Real SimpleTuner run, return, receipt, and evaluation</w:t>
            </w:r>
          </w:p>
        </w:tc>
        <w:tc>
          <w:tcPr>
            <w:tcW w:type="dxa" w:w="5160"/>
            <w:vAlign w:val="center"/>
            <w:tcMar>
              <w:top w:w="90" w:type="dxa"/>
              <w:start w:w="120" w:type="dxa"/>
              <w:bottom w:w="90" w:type="dxa"/>
              <w:end w:w="120" w:type="dxa"/>
            </w:tcMar>
          </w:tcPr>
          <w:p>
            <w:r>
              <w:rPr>
                <w:rFonts w:ascii="Calibri" w:hAnsi="Calibri"/>
                <w:b w:val="0"/>
                <w:i w:val="0"/>
                <w:color w:val="182330"/>
                <w:sz w:val="18"/>
              </w:rPr>
              <w:t>Synthetic/local lifecycle tests pass; exact revised candidate still needs one bounded real run</w:t>
            </w:r>
          </w:p>
        </w:tc>
        <w:tc>
          <w:tcPr>
            <w:tcW w:type="dxa" w:w="1700"/>
            <w:shd w:fill="FFF5D6"/>
            <w:vAlign w:val="center"/>
            <w:tcMar>
              <w:top w:w="90" w:type="dxa"/>
              <w:start w:w="120" w:type="dxa"/>
              <w:bottom w:w="90" w:type="dxa"/>
              <w:end w:w="120" w:type="dxa"/>
            </w:tcMar>
          </w:tcPr>
          <w:p>
            <w:r>
              <w:rPr>
                <w:rFonts w:ascii="Calibri" w:hAnsi="Calibri"/>
                <w:b/>
                <w:i w:val="0"/>
                <w:color w:val="182330"/>
                <w:sz w:val="18"/>
              </w:rPr>
              <w:t>Live proof pending</w:t>
            </w:r>
          </w:p>
        </w:tc>
      </w:tr>
    </w:tbl>
    <w:p>
      <w:pPr>
        <w:pStyle w:val="Heading1"/>
      </w:pPr>
      <w:r>
        <w:t>Queue-Control Review</w:t>
      </w:r>
    </w:p>
    <w:p>
      <w:pPr>
        <w:pStyle w:val="Heading2"/>
      </w:pPr>
      <w:r>
        <w:t>Implemented safety properties</w:t>
      </w:r>
    </w:p>
    <w:p>
      <w:pPr>
        <w:pStyle w:val="ListBullet"/>
      </w:pPr>
      <w:r>
        <w:t>Atomic claim: BEGIN IMMEDIATE encloses lease recovery, concurrency evaluation, selection, and transition to running.</w:t>
      </w:r>
    </w:p>
    <w:p>
      <w:pPr>
        <w:pStyle w:val="ListBullet"/>
      </w:pPr>
      <w:r>
        <w:t>Idempotency: stable queue and item IDs return the existing record only when immutable intent matches; conflicting reuse is rejected.</w:t>
      </w:r>
    </w:p>
    <w:p>
      <w:pPr>
        <w:pStyle w:val="ListBullet"/>
      </w:pPr>
      <w:r>
        <w:t>At-least-once recovery: expired worker leases return work to eligibility and increment the next execution attempt.</w:t>
      </w:r>
    </w:p>
    <w:p>
      <w:pPr>
        <w:pStyle w:val="ListBullet"/>
      </w:pPr>
      <w:r>
        <w:t>Fencing: every claim has a new cryptographic lease token and increasing generation; stale workers cannot settle reclaimed work.</w:t>
      </w:r>
    </w:p>
    <w:p>
      <w:pPr>
        <w:pStyle w:val="ListBullet"/>
      </w:pPr>
      <w:r>
        <w:t>Bounded retries: configurable maximum attempts and full-jitter delay end exhausted items in an inspectable terminal failed state.</w:t>
      </w:r>
    </w:p>
    <w:p>
      <w:pPr>
        <w:pStyle w:val="ListBullet"/>
      </w:pPr>
      <w:r>
        <w:t>Backpressure: every queue limits pending record count and serialized payload bytes; concurrency is enforced inside the claim transaction.</w:t>
      </w:r>
    </w:p>
    <w:p>
      <w:pPr>
        <w:pStyle w:val="ListBullet"/>
      </w:pPr>
      <w:r>
        <w:t>Evidence preservation: clear-pending changes eligible items to cancelled rather than deleting them; running, completed, output, checkpoint, package, and receipt evidence remain.</w:t>
      </w:r>
    </w:p>
    <w:p>
      <w:pPr>
        <w:pStyle w:val="Heading2"/>
      </w:pPr>
      <w:r>
        <w:t>SimpleTuner-specific controls</w:t>
      </w:r>
    </w:p>
    <w:tbl>
      <w:tblPr>
        <w:tblStyle w:val="TableGrid"/>
        <w:tblW w:type="dxa" w:w="9360"/>
        <w:jc w:val="left"/>
        <w:tblLayout w:type="fixed"/>
        <w:tblLook w:firstColumn="1" w:firstRow="1" w:lastColumn="0" w:lastRow="0" w:noHBand="0" w:noVBand="1" w:val="04A0"/>
        <w:tblInd w:w="120" w:type="dxa"/>
      </w:tblPr>
      <w:tblGrid>
        <w:gridCol w:w="2500"/>
        <w:gridCol w:w="5160"/>
        <w:gridCol w:w="1700"/>
      </w:tblGrid>
      <w:tr>
        <w:tc>
          <w:tcPr>
            <w:tcW w:type="dxa" w:w="2500"/>
            <w:shd w:fill="E8EEF5"/>
            <w:vAlign w:val="center"/>
            <w:tcMar>
              <w:top w:w="90" w:type="dxa"/>
              <w:start w:w="120" w:type="dxa"/>
              <w:bottom w:w="90" w:type="dxa"/>
              <w:end w:w="120" w:type="dxa"/>
            </w:tcMar>
          </w:tcPr>
          <w:p>
            <w:r>
              <w:rPr>
                <w:rFonts w:ascii="Calibri" w:hAnsi="Calibri"/>
                <w:b/>
                <w:i w:val="0"/>
                <w:color w:val="1F4D78"/>
                <w:sz w:val="19"/>
              </w:rPr>
              <w:t>Requested behavior</w:t>
            </w:r>
          </w:p>
        </w:tc>
        <w:tc>
          <w:tcPr>
            <w:tcW w:type="dxa" w:w="5160"/>
            <w:shd w:fill="E8EEF5"/>
            <w:vAlign w:val="center"/>
            <w:tcMar>
              <w:top w:w="90" w:type="dxa"/>
              <w:start w:w="120" w:type="dxa"/>
              <w:bottom w:w="90" w:type="dxa"/>
              <w:end w:w="120" w:type="dxa"/>
            </w:tcMar>
          </w:tcPr>
          <w:p>
            <w:r>
              <w:rPr>
                <w:rFonts w:ascii="Calibri" w:hAnsi="Calibri"/>
                <w:b/>
                <w:i w:val="0"/>
                <w:color w:val="1F4D78"/>
                <w:sz w:val="19"/>
              </w:rPr>
              <w:t>Current implementation and evidence</w:t>
            </w:r>
          </w:p>
        </w:tc>
        <w:tc>
          <w:tcPr>
            <w:tcW w:type="dxa" w:w="1700"/>
            <w:shd w:fill="E8EEF5"/>
            <w:vAlign w:val="center"/>
            <w:tcMar>
              <w:top w:w="90" w:type="dxa"/>
              <w:start w:w="120" w:type="dxa"/>
              <w:bottom w:w="90" w:type="dxa"/>
              <w:end w:w="120" w:type="dxa"/>
            </w:tcMar>
          </w:tcPr>
          <w:p>
            <w:r>
              <w:rPr>
                <w:rFonts w:ascii="Calibri" w:hAnsi="Calibri"/>
                <w:b/>
                <w:i w:val="0"/>
                <w:color w:val="1F4D78"/>
                <w:sz w:val="19"/>
              </w:rPr>
              <w:t>Result</w:t>
            </w:r>
          </w:p>
        </w:tc>
      </w:tr>
      <w:tr>
        <w:tc>
          <w:tcPr>
            <w:tcW w:type="dxa" w:w="2500"/>
            <w:vAlign w:val="center"/>
            <w:tcMar>
              <w:top w:w="90" w:type="dxa"/>
              <w:start w:w="120" w:type="dxa"/>
              <w:bottom w:w="90" w:type="dxa"/>
              <w:end w:w="120" w:type="dxa"/>
            </w:tcMar>
          </w:tcPr>
          <w:p>
            <w:r>
              <w:rPr>
                <w:rFonts w:ascii="Calibri" w:hAnsi="Calibri"/>
                <w:b w:val="0"/>
                <w:i w:val="0"/>
                <w:color w:val="182330"/>
                <w:sz w:val="18"/>
              </w:rPr>
              <w:t>Stop one live job</w:t>
            </w:r>
          </w:p>
        </w:tc>
        <w:tc>
          <w:tcPr>
            <w:tcW w:type="dxa" w:w="5160"/>
            <w:vAlign w:val="center"/>
            <w:tcMar>
              <w:top w:w="90" w:type="dxa"/>
              <w:start w:w="120" w:type="dxa"/>
              <w:bottom w:w="90" w:type="dxa"/>
              <w:end w:w="120" w:type="dxa"/>
            </w:tcMar>
          </w:tcPr>
          <w:p>
            <w:r>
              <w:rPr>
                <w:rFonts w:ascii="Calibri" w:hAnsi="Calibri"/>
                <w:b w:val="0"/>
                <w:i w:val="0"/>
                <w:color w:val="182330"/>
                <w:sz w:val="18"/>
              </w:rPr>
              <w:t>Signals only the process tree recorded for the exact authorized target; queue remains open</w:t>
            </w:r>
          </w:p>
        </w:tc>
        <w:tc>
          <w:tcPr>
            <w:tcW w:type="dxa" w:w="1700"/>
            <w:shd w:fill="EAF4EA"/>
            <w:vAlign w:val="center"/>
            <w:tcMar>
              <w:top w:w="90" w:type="dxa"/>
              <w:start w:w="120" w:type="dxa"/>
              <w:bottom w:w="90" w:type="dxa"/>
              <w:end w:w="120" w:type="dxa"/>
            </w:tcMar>
          </w:tcPr>
          <w:p>
            <w:r>
              <w:rPr>
                <w:rFonts w:ascii="Calibri" w:hAnsi="Calibri"/>
                <w:b/>
                <w:i w:val="0"/>
                <w:color w:val="182330"/>
                <w:sz w:val="18"/>
              </w:rPr>
              <w:t>Verified locally</w:t>
            </w:r>
          </w:p>
        </w:tc>
      </w:tr>
      <w:tr>
        <w:tc>
          <w:tcPr>
            <w:tcW w:type="dxa" w:w="2500"/>
            <w:vAlign w:val="center"/>
            <w:tcMar>
              <w:top w:w="90" w:type="dxa"/>
              <w:start w:w="120" w:type="dxa"/>
              <w:bottom w:w="90" w:type="dxa"/>
              <w:end w:w="120" w:type="dxa"/>
            </w:tcMar>
          </w:tcPr>
          <w:p>
            <w:r>
              <w:rPr>
                <w:rFonts w:ascii="Calibri" w:hAnsi="Calibri"/>
                <w:b w:val="0"/>
                <w:i w:val="0"/>
                <w:color w:val="182330"/>
                <w:sz w:val="18"/>
              </w:rPr>
              <w:t>Pause whole live queue</w:t>
            </w:r>
          </w:p>
        </w:tc>
        <w:tc>
          <w:tcPr>
            <w:tcW w:type="dxa" w:w="5160"/>
            <w:vAlign w:val="center"/>
            <w:tcMar>
              <w:top w:w="90" w:type="dxa"/>
              <w:start w:w="120" w:type="dxa"/>
              <w:bottom w:w="90" w:type="dxa"/>
              <w:end w:w="120" w:type="dxa"/>
            </w:tcMar>
          </w:tcPr>
          <w:p>
            <w:r>
              <w:rPr>
                <w:rFonts w:ascii="Calibri" w:hAnsi="Calibri"/>
                <w:b w:val="0"/>
                <w:i w:val="0"/>
                <w:color w:val="182330"/>
                <w:sz w:val="18"/>
              </w:rPr>
              <w:t>Closes admission and stops the exact active managed target while preserving checkpoints</w:t>
            </w:r>
          </w:p>
        </w:tc>
        <w:tc>
          <w:tcPr>
            <w:tcW w:type="dxa" w:w="1700"/>
            <w:shd w:fill="EAF4EA"/>
            <w:vAlign w:val="center"/>
            <w:tcMar>
              <w:top w:w="90" w:type="dxa"/>
              <w:start w:w="120" w:type="dxa"/>
              <w:bottom w:w="90" w:type="dxa"/>
              <w:end w:w="120" w:type="dxa"/>
            </w:tcMar>
          </w:tcPr>
          <w:p>
            <w:r>
              <w:rPr>
                <w:rFonts w:ascii="Calibri" w:hAnsi="Calibri"/>
                <w:b/>
                <w:i w:val="0"/>
                <w:color w:val="182330"/>
                <w:sz w:val="18"/>
              </w:rPr>
              <w:t>Verified locally</w:t>
            </w:r>
          </w:p>
        </w:tc>
      </w:tr>
      <w:tr>
        <w:tc>
          <w:tcPr>
            <w:tcW w:type="dxa" w:w="2500"/>
            <w:vAlign w:val="center"/>
            <w:tcMar>
              <w:top w:w="90" w:type="dxa"/>
              <w:start w:w="120" w:type="dxa"/>
              <w:bottom w:w="90" w:type="dxa"/>
              <w:end w:w="120" w:type="dxa"/>
            </w:tcMar>
          </w:tcPr>
          <w:p>
            <w:r>
              <w:rPr>
                <w:rFonts w:ascii="Calibri" w:hAnsi="Calibri"/>
                <w:b w:val="0"/>
                <w:i w:val="0"/>
                <w:color w:val="182330"/>
                <w:sz w:val="18"/>
              </w:rPr>
              <w:t>Resume after unchanged checkpoint</w:t>
            </w:r>
          </w:p>
        </w:tc>
        <w:tc>
          <w:tcPr>
            <w:tcW w:type="dxa" w:w="5160"/>
            <w:vAlign w:val="center"/>
            <w:tcMar>
              <w:top w:w="90" w:type="dxa"/>
              <w:start w:w="120" w:type="dxa"/>
              <w:bottom w:w="90" w:type="dxa"/>
              <w:end w:w="120" w:type="dxa"/>
            </w:tcMar>
          </w:tcPr>
          <w:p>
            <w:r>
              <w:t>Start rejects paused or failed jobs; explicit resume control requeues only a linked paused job, and checkpoint resume requires an unchanged revision-bound fingerprint</w:t>
            </w:r>
          </w:p>
        </w:tc>
        <w:tc>
          <w:tcPr>
            <w:tcW w:type="dxa" w:w="1700"/>
            <w:shd w:fill="EAF4EA"/>
            <w:vAlign w:val="center"/>
            <w:tcMar>
              <w:top w:w="90" w:type="dxa"/>
              <w:start w:w="120" w:type="dxa"/>
              <w:bottom w:w="90" w:type="dxa"/>
              <w:end w:w="120" w:type="dxa"/>
            </w:tcMar>
          </w:tcPr>
          <w:p>
            <w:r>
              <w:rPr>
                <w:rFonts w:ascii="Calibri" w:hAnsi="Calibri"/>
                <w:b/>
                <w:i w:val="0"/>
                <w:color w:val="182330"/>
                <w:sz w:val="18"/>
              </w:rPr>
              <w:t>Verified locally</w:t>
            </w:r>
          </w:p>
        </w:tc>
      </w:tr>
      <w:tr>
        <w:tc>
          <w:tcPr>
            <w:tcW w:type="dxa" w:w="2500"/>
            <w:vAlign w:val="center"/>
            <w:tcMar>
              <w:top w:w="90" w:type="dxa"/>
              <w:start w:w="120" w:type="dxa"/>
              <w:bottom w:w="90" w:type="dxa"/>
              <w:end w:w="120" w:type="dxa"/>
            </w:tcMar>
          </w:tcPr>
          <w:p>
            <w:r>
              <w:rPr>
                <w:rFonts w:ascii="Calibri" w:hAnsi="Calibri"/>
                <w:b w:val="0"/>
                <w:i w:val="0"/>
                <w:color w:val="182330"/>
                <w:sz w:val="18"/>
              </w:rPr>
              <w:t>Refuse changed revision</w:t>
            </w:r>
          </w:p>
        </w:tc>
        <w:tc>
          <w:tcPr>
            <w:tcW w:type="dxa" w:w="5160"/>
            <w:vAlign w:val="center"/>
            <w:tcMar>
              <w:top w:w="90" w:type="dxa"/>
              <w:start w:w="120" w:type="dxa"/>
              <w:bottom w:w="90" w:type="dxa"/>
              <w:end w:w="120" w:type="dxa"/>
            </w:tcMar>
          </w:tcPr>
          <w:p>
            <w:r>
              <w:rPr>
                <w:rFonts w:ascii="Calibri" w:hAnsi="Calibri"/>
                <w:b w:val="0"/>
                <w:i w:val="0"/>
                <w:color w:val="182330"/>
                <w:sz w:val="18"/>
              </w:rPr>
              <w:t>Readiness fingerprint binds dataset, captions, controls, recipe, policy, prompts, and selected checkpoint tree</w:t>
            </w:r>
          </w:p>
        </w:tc>
        <w:tc>
          <w:tcPr>
            <w:tcW w:type="dxa" w:w="1700"/>
            <w:shd w:fill="EAF4EA"/>
            <w:vAlign w:val="center"/>
            <w:tcMar>
              <w:top w:w="90" w:type="dxa"/>
              <w:start w:w="120" w:type="dxa"/>
              <w:bottom w:w="90" w:type="dxa"/>
              <w:end w:w="120" w:type="dxa"/>
            </w:tcMar>
          </w:tcPr>
          <w:p>
            <w:r>
              <w:rPr>
                <w:rFonts w:ascii="Calibri" w:hAnsi="Calibri"/>
                <w:b/>
                <w:i w:val="0"/>
                <w:color w:val="182330"/>
                <w:sz w:val="18"/>
              </w:rPr>
              <w:t>Verified locally</w:t>
            </w:r>
          </w:p>
        </w:tc>
      </w:tr>
    </w:tbl>
    <w:p>
      <w:pPr>
        <w:pStyle w:val="Heading2"/>
      </w:pPr>
      <w:r>
        <w:t>Out-of-scope scaling considerations</w:t>
      </w:r>
    </w:p>
    <w:p>
      <w:pPr>
        <w:pStyle w:val="ListBullet"/>
      </w:pPr>
      <w:r>
        <w:t>No global concurrency or memory budget spans all user-created queues. Per-queue limits can collectively overcommit a host.</w:t>
      </w:r>
    </w:p>
    <w:p>
      <w:pPr>
        <w:pStyle w:val="ListBullet"/>
      </w:pPr>
      <w:r>
        <w:t>Exhausted items remain failed in their source queue. There is manual redrive but no separate dead-letter quarantine queue.</w:t>
      </w:r>
    </w:p>
    <w:p>
      <w:pPr>
        <w:pStyle w:val="ListBullet"/>
      </w:pPr>
      <w:r>
        <w:t>Terminal records have no automated retention policy. This preserves evidence but permits indefinite database growth.</w:t>
      </w:r>
    </w:p>
    <w:p>
      <w:pPr>
        <w:pStyle w:val="ListBullet"/>
      </w:pPr>
      <w:r>
        <w:t>Status exposes counts and oldest pending age, but there are no aggregate arrival/completion rates or threshold alarms.</w:t>
      </w:r>
    </w:p>
    <w:p>
      <w:pPr>
        <w:pStyle w:val="ListBullet"/>
      </w:pPr>
      <w:r>
        <w:t>Every queue adapter runs in a child process, allowing the supervisor to renew its fenced lease. A registered application tool must still define its own bounded operation timeout so a hung external application cannot retain a renewable claim indefinitely.</w:t>
      </w:r>
    </w:p>
    <w:p>
      <w:pPr>
        <w:pStyle w:val="Heading1"/>
      </w:pPr>
      <w:r>
        <w:t>Network-Control Review</w:t>
      </w:r>
    </w:p>
    <w:p>
      <w:pPr>
        <w:pStyle w:val="Heading2"/>
      </w:pPr>
      <w:r>
        <w:t>Application-level retry sequence</w:t>
      </w:r>
    </w:p>
    <w:p>
      <w:r>
        <w:t>With retry delays 2s, 5s, 10s, and 20s, an operation attempts the primary immediately and then backs off between bounded retries. Before each retry, HawkSpan verifies that the cycle still has enough budget for that attempt plus one complete fallback attempt; otherwise it advances to Ethernet. A primary failure starts a reprobe timer so later operations do not immediately stampede the unavailable route.</w:t>
      </w:r>
    </w:p>
    <w:p>
      <w:pPr>
        <w:pStyle w:val="Heading2"/>
      </w:pPr>
      <w:r>
        <w:t>Layered readiness</w:t>
      </w:r>
    </w:p>
    <w:p>
      <w:pPr>
        <w:pStyle w:val="ListBullet"/>
      </w:pPr>
      <w:r>
        <w:t>Local route configuration: expected local address exists.</w:t>
      </w:r>
    </w:p>
    <w:p>
      <w:pPr>
        <w:pStyle w:val="ListBullet"/>
      </w:pPr>
      <w:r>
        <w:t>Peer reachability: ICMP response is observed.</w:t>
      </w:r>
    </w:p>
    <w:p>
      <w:pPr>
        <w:pStyle w:val="ListBullet"/>
      </w:pPr>
      <w:r>
        <w:t>Transport availability: TCP port 22 accepts a connection.</w:t>
      </w:r>
    </w:p>
    <w:p>
      <w:pPr>
        <w:pStyle w:val="ListBullet"/>
      </w:pPr>
      <w:r>
        <w:t>Authentication: a batch-mode SSH command succeeds.</w:t>
      </w:r>
    </w:p>
    <w:p>
      <w:pPr>
        <w:pStyle w:val="ListBullet"/>
      </w:pPr>
      <w:r>
        <w:t>Application readiness: the peer authority, exact HawkSpan scripts, and HawkSpan processes are present.</w:t>
      </w:r>
    </w:p>
    <w:p>
      <w:pPr>
        <w:pStyle w:val="ListBullet"/>
      </w:pPr>
      <w:r>
        <w:t>Trainer readiness: the expected HawkSpan trainer state roots exist on the worker.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EAF4EA"/>
          </w:tcPr>
          <w:p>
            <w:pPr>
              <w:spacing w:after="0"/>
            </w:pPr>
            <w:r>
              <w:rPr>
                <w:rFonts w:ascii="Calibri" w:hAnsi="Calibri"/>
                <w:b/>
                <w:i w:val="0"/>
                <w:color w:val="1F4D78"/>
                <w:sz w:val="22"/>
              </w:rPr>
              <w:t xml:space="preserve">Bound: </w:t>
            </w:r>
            <w:r>
              <w:rPr>
                <w:rFonts w:ascii="Calibri" w:hAnsi="Calibri"/>
                <w:b w:val="0"/>
                <w:i w:val="0"/>
                <w:color w:val="182330"/>
                <w:sz w:val="22"/>
              </w:rPr>
              <w:t>Every layer has its own timeout and shared retry delays, and all layers share a total deadline. SSH attempt timeout is derived from the configured connect timeout and keepalive budget, then capped by the remaining layer budget.</w:t>
            </w:r>
          </w:p>
        </w:tc>
      </w:tr>
    </w:tbl>
    <w:p>
      <w:pPr>
        <w:spacing w:after="0"/>
      </w:pPr>
    </w:p>
    <w:p>
      <w:pPr>
        <w:pStyle w:val="Heading2"/>
      </w:pPr>
      <w:r>
        <w:t>What remains unproven</w:t>
      </w:r>
    </w:p>
    <w:p>
      <w:r>
        <w:t>The route planner and readiness monitor are deterministically tested, but this exact source revision has not yet been installed on both Macs and subjected to a real Thunderbolt outage, recovery during backoff, Ethernet fallback, primary reprobe, and successful resumed application operation. Those are live acceptance requirements, not claims supported by local fixtures.</w:t>
      </w:r>
    </w:p>
    <w:p>
      <w:r>
        <w:br w:type="page"/>
      </w:r>
    </w:p>
    <w:p>
      <w:pPr>
        <w:pStyle w:val="Heading1"/>
      </w:pPr>
      <w:r>
        <w:t>Research Comparison</w:t>
      </w:r>
    </w:p>
    <w:p>
      <w:r>
        <w:t>This comparison uses foundational queue and recovery work, current production guidance, and recent peer-reviewed systems research. A very recent 2026 preprint is included only as an emerging direction; it is not treated as established release criteria.</w:t>
      </w:r>
    </w:p>
    <w:tbl>
      <w:tblPr>
        <w:tblStyle w:val="TableGrid"/>
        <w:tblW w:type="dxa" w:w="9360"/>
        <w:jc w:val="left"/>
        <w:tblLayout w:type="fixed"/>
        <w:tblLook w:firstColumn="1" w:firstRow="1" w:lastColumn="0" w:lastRow="0" w:noHBand="0" w:noVBand="1" w:val="04A0"/>
        <w:tblInd w:w="120" w:type="dxa"/>
      </w:tblPr>
      <w:tblGrid>
        <w:gridCol w:w="1850"/>
        <w:gridCol w:w="2850"/>
        <w:gridCol w:w="3160"/>
        <w:gridCol w:w="1500"/>
      </w:tblGrid>
      <w:tr>
        <w:tc>
          <w:tcPr>
            <w:tcW w:type="dxa" w:w="1850"/>
            <w:shd w:fill="E8EEF5"/>
            <w:vAlign w:val="center"/>
            <w:tcMar>
              <w:top w:w="90" w:type="dxa"/>
              <w:start w:w="120" w:type="dxa"/>
              <w:bottom w:w="90" w:type="dxa"/>
              <w:end w:w="120" w:type="dxa"/>
            </w:tcMar>
          </w:tcPr>
          <w:p>
            <w:r>
              <w:rPr>
                <w:rFonts w:ascii="Calibri" w:hAnsi="Calibri"/>
                <w:b/>
                <w:i w:val="0"/>
                <w:color w:val="1F4D78"/>
                <w:sz w:val="18"/>
              </w:rPr>
              <w:t>Practice</w:t>
            </w:r>
          </w:p>
        </w:tc>
        <w:tc>
          <w:tcPr>
            <w:tcW w:type="dxa" w:w="2850"/>
            <w:shd w:fill="E8EEF5"/>
            <w:vAlign w:val="center"/>
            <w:tcMar>
              <w:top w:w="90" w:type="dxa"/>
              <w:start w:w="120" w:type="dxa"/>
              <w:bottom w:w="90" w:type="dxa"/>
              <w:end w:w="120" w:type="dxa"/>
            </w:tcMar>
          </w:tcPr>
          <w:p>
            <w:r>
              <w:rPr>
                <w:rFonts w:ascii="Calibri" w:hAnsi="Calibri"/>
                <w:b/>
                <w:i w:val="0"/>
                <w:color w:val="1F4D78"/>
                <w:sz w:val="18"/>
              </w:rPr>
              <w:t>HawkSpan</w:t>
            </w:r>
          </w:p>
        </w:tc>
        <w:tc>
          <w:tcPr>
            <w:tcW w:type="dxa" w:w="3160"/>
            <w:shd w:fill="E8EEF5"/>
            <w:vAlign w:val="center"/>
            <w:tcMar>
              <w:top w:w="90" w:type="dxa"/>
              <w:start w:w="120" w:type="dxa"/>
              <w:bottom w:w="90" w:type="dxa"/>
              <w:end w:w="120" w:type="dxa"/>
            </w:tcMar>
          </w:tcPr>
          <w:p>
            <w:r>
              <w:rPr>
                <w:rFonts w:ascii="Calibri" w:hAnsi="Calibri"/>
                <w:b/>
                <w:i w:val="0"/>
                <w:color w:val="1F4D78"/>
                <w:sz w:val="18"/>
              </w:rPr>
              <w:t>Evidence</w:t>
            </w:r>
          </w:p>
        </w:tc>
        <w:tc>
          <w:tcPr>
            <w:tcW w:type="dxa" w:w="1500"/>
            <w:shd w:fill="E8EEF5"/>
            <w:vAlign w:val="center"/>
            <w:tcMar>
              <w:top w:w="90" w:type="dxa"/>
              <w:start w:w="120" w:type="dxa"/>
              <w:bottom w:w="90" w:type="dxa"/>
              <w:end w:w="120" w:type="dxa"/>
            </w:tcMar>
          </w:tcPr>
          <w:p>
            <w:r>
              <w:rPr>
                <w:rFonts w:ascii="Calibri" w:hAnsi="Calibri"/>
                <w:b/>
                <w:i w:val="0"/>
                <w:color w:val="1F4D78"/>
                <w:sz w:val="18"/>
              </w:rPr>
              <w:t>Assessment</w:t>
            </w:r>
          </w:p>
        </w:tc>
      </w:tr>
      <w:tr>
        <w:tc>
          <w:tcPr>
            <w:tcW w:type="dxa" w:w="1850"/>
            <w:vAlign w:val="center"/>
            <w:tcMar>
              <w:top w:w="90" w:type="dxa"/>
              <w:start w:w="120" w:type="dxa"/>
              <w:bottom w:w="90" w:type="dxa"/>
              <w:end w:w="120" w:type="dxa"/>
            </w:tcMar>
          </w:tcPr>
          <w:p>
            <w:r>
              <w:rPr>
                <w:rFonts w:ascii="Calibri" w:hAnsi="Calibri"/>
                <w:b w:val="0"/>
                <w:i w:val="0"/>
                <w:color w:val="182330"/>
                <w:sz w:val="17"/>
              </w:rPr>
              <w:t>Write-ahead durability</w:t>
            </w:r>
          </w:p>
        </w:tc>
        <w:tc>
          <w:tcPr>
            <w:tcW w:type="dxa" w:w="2850"/>
            <w:vAlign w:val="center"/>
            <w:tcMar>
              <w:top w:w="90" w:type="dxa"/>
              <w:start w:w="120" w:type="dxa"/>
              <w:bottom w:w="90" w:type="dxa"/>
              <w:end w:w="120" w:type="dxa"/>
            </w:tcMar>
          </w:tcPr>
          <w:p>
            <w:r>
              <w:rPr>
                <w:rFonts w:ascii="Calibri" w:hAnsi="Calibri"/>
                <w:b w:val="0"/>
                <w:i w:val="0"/>
                <w:color w:val="182330"/>
                <w:sz w:val="17"/>
              </w:rPr>
              <w:t>SQLite WAL and FULL synchronous mode</w:t>
            </w:r>
          </w:p>
        </w:tc>
        <w:tc>
          <w:tcPr>
            <w:tcW w:type="dxa" w:w="3160"/>
            <w:vAlign w:val="center"/>
            <w:tcMar>
              <w:top w:w="90" w:type="dxa"/>
              <w:start w:w="120" w:type="dxa"/>
              <w:bottom w:w="90" w:type="dxa"/>
              <w:end w:w="120" w:type="dxa"/>
            </w:tcMar>
          </w:tcPr>
          <w:p>
            <w:r>
              <w:rPr>
                <w:rFonts w:ascii="Calibri" w:hAnsi="Calibri"/>
                <w:b w:val="0"/>
                <w:i w:val="0"/>
                <w:color w:val="182330"/>
                <w:sz w:val="17"/>
              </w:rPr>
              <w:t>SQLite WAL; ARIES recovery principles</w:t>
            </w:r>
          </w:p>
        </w:tc>
        <w:tc>
          <w:tcPr>
            <w:tcW w:type="dxa" w:w="1500"/>
            <w:shd w:fill="EAF4EA"/>
            <w:vAlign w:val="center"/>
            <w:tcMar>
              <w:top w:w="90" w:type="dxa"/>
              <w:start w:w="120" w:type="dxa"/>
              <w:bottom w:w="90" w:type="dxa"/>
              <w:end w:w="120" w:type="dxa"/>
            </w:tcMar>
          </w:tcPr>
          <w:p>
            <w:r>
              <w:rPr>
                <w:rFonts w:ascii="Calibri" w:hAnsi="Calibri"/>
                <w:b/>
                <w:i w:val="0"/>
                <w:color w:val="182330"/>
                <w:sz w:val="17"/>
              </w:rPr>
              <w:t>Aligned</w:t>
            </w:r>
          </w:p>
        </w:tc>
      </w:tr>
      <w:tr>
        <w:tc>
          <w:tcPr>
            <w:tcW w:type="dxa" w:w="1850"/>
            <w:vAlign w:val="center"/>
            <w:tcMar>
              <w:top w:w="90" w:type="dxa"/>
              <w:start w:w="120" w:type="dxa"/>
              <w:bottom w:w="90" w:type="dxa"/>
              <w:end w:w="120" w:type="dxa"/>
            </w:tcMar>
          </w:tcPr>
          <w:p>
            <w:r>
              <w:rPr>
                <w:rFonts w:ascii="Calibri" w:hAnsi="Calibri"/>
                <w:b w:val="0"/>
                <w:i w:val="0"/>
                <w:color w:val="182330"/>
                <w:sz w:val="17"/>
              </w:rPr>
              <w:t>Idempotent retries</w:t>
            </w:r>
          </w:p>
        </w:tc>
        <w:tc>
          <w:tcPr>
            <w:tcW w:type="dxa" w:w="2850"/>
            <w:vAlign w:val="center"/>
            <w:tcMar>
              <w:top w:w="90" w:type="dxa"/>
              <w:start w:w="120" w:type="dxa"/>
              <w:bottom w:w="90" w:type="dxa"/>
              <w:end w:w="120" w:type="dxa"/>
            </w:tcMar>
          </w:tcPr>
          <w:p>
            <w:r>
              <w:rPr>
                <w:rFonts w:ascii="Calibri" w:hAnsi="Calibri"/>
                <w:b w:val="0"/>
                <w:i w:val="0"/>
                <w:color w:val="182330"/>
                <w:sz w:val="17"/>
              </w:rPr>
              <w:t>Stable IDs reject changed intent</w:t>
            </w:r>
          </w:p>
        </w:tc>
        <w:tc>
          <w:tcPr>
            <w:tcW w:type="dxa" w:w="3160"/>
            <w:vAlign w:val="center"/>
            <w:tcMar>
              <w:top w:w="90" w:type="dxa"/>
              <w:start w:w="120" w:type="dxa"/>
              <w:bottom w:w="90" w:type="dxa"/>
              <w:end w:w="120" w:type="dxa"/>
            </w:tcMar>
          </w:tcPr>
          <w:p>
            <w:r>
              <w:rPr>
                <w:rFonts w:ascii="Calibri" w:hAnsi="Calibri"/>
                <w:b w:val="0"/>
                <w:i w:val="0"/>
                <w:color w:val="182330"/>
                <w:sz w:val="17"/>
              </w:rPr>
              <w:t>Helland; AWS idempotent APIs</w:t>
            </w:r>
          </w:p>
        </w:tc>
        <w:tc>
          <w:tcPr>
            <w:tcW w:type="dxa" w:w="1500"/>
            <w:shd w:fill="EAF4EA"/>
            <w:vAlign w:val="center"/>
            <w:tcMar>
              <w:top w:w="90" w:type="dxa"/>
              <w:start w:w="120" w:type="dxa"/>
              <w:bottom w:w="90" w:type="dxa"/>
              <w:end w:w="120" w:type="dxa"/>
            </w:tcMar>
          </w:tcPr>
          <w:p>
            <w:r>
              <w:rPr>
                <w:rFonts w:ascii="Calibri" w:hAnsi="Calibri"/>
                <w:b/>
                <w:i w:val="0"/>
                <w:color w:val="182330"/>
                <w:sz w:val="17"/>
              </w:rPr>
              <w:t>Aligned</w:t>
            </w:r>
          </w:p>
        </w:tc>
      </w:tr>
      <w:tr>
        <w:tc>
          <w:tcPr>
            <w:tcW w:type="dxa" w:w="1850"/>
            <w:vAlign w:val="center"/>
            <w:tcMar>
              <w:top w:w="90" w:type="dxa"/>
              <w:start w:w="120" w:type="dxa"/>
              <w:bottom w:w="90" w:type="dxa"/>
              <w:end w:w="120" w:type="dxa"/>
            </w:tcMar>
          </w:tcPr>
          <w:p>
            <w:r>
              <w:rPr>
                <w:rFonts w:ascii="Calibri" w:hAnsi="Calibri"/>
                <w:b w:val="0"/>
                <w:i w:val="0"/>
                <w:color w:val="182330"/>
                <w:sz w:val="17"/>
              </w:rPr>
              <w:t>Lease fencing</w:t>
            </w:r>
          </w:p>
        </w:tc>
        <w:tc>
          <w:tcPr>
            <w:tcW w:type="dxa" w:w="2850"/>
            <w:vAlign w:val="center"/>
            <w:tcMar>
              <w:top w:w="90" w:type="dxa"/>
              <w:start w:w="120" w:type="dxa"/>
              <w:bottom w:w="90" w:type="dxa"/>
              <w:end w:w="120" w:type="dxa"/>
            </w:tcMar>
          </w:tcPr>
          <w:p>
            <w:r>
              <w:t>Token plus monotonic generation; parent heartbeat while adapters run in child processes</w:t>
            </w:r>
          </w:p>
        </w:tc>
        <w:tc>
          <w:tcPr>
            <w:tcW w:type="dxa" w:w="3160"/>
            <w:vAlign w:val="center"/>
            <w:tcMar>
              <w:top w:w="90" w:type="dxa"/>
              <w:start w:w="120" w:type="dxa"/>
              <w:bottom w:w="90" w:type="dxa"/>
              <w:end w:w="120" w:type="dxa"/>
            </w:tcMar>
          </w:tcPr>
          <w:p>
            <w:r>
              <w:rPr>
                <w:rFonts w:ascii="Calibri" w:hAnsi="Calibri"/>
                <w:b w:val="0"/>
                <w:i w:val="0"/>
                <w:color w:val="182330"/>
                <w:sz w:val="17"/>
              </w:rPr>
              <w:t>Gray/Cheriton leases; Chubby fencing</w:t>
            </w:r>
          </w:p>
        </w:tc>
        <w:tc>
          <w:tcPr>
            <w:tcW w:type="dxa" w:w="1500"/>
            <w:shd w:fill="EAF4EA"/>
            <w:vAlign w:val="center"/>
            <w:tcMar>
              <w:top w:w="90" w:type="dxa"/>
              <w:start w:w="120" w:type="dxa"/>
              <w:bottom w:w="90" w:type="dxa"/>
              <w:end w:w="120" w:type="dxa"/>
            </w:tcMar>
          </w:tcPr>
          <w:p>
            <w:r>
              <w:rPr>
                <w:rFonts w:ascii="Calibri" w:hAnsi="Calibri"/>
                <w:b/>
                <w:i w:val="0"/>
                <w:color w:val="182330"/>
                <w:sz w:val="17"/>
              </w:rPr>
              <w:t>Aligned</w:t>
            </w:r>
          </w:p>
        </w:tc>
      </w:tr>
      <w:tr>
        <w:tc>
          <w:tcPr>
            <w:tcW w:type="dxa" w:w="1850"/>
            <w:vAlign w:val="center"/>
            <w:tcMar>
              <w:top w:w="90" w:type="dxa"/>
              <w:start w:w="120" w:type="dxa"/>
              <w:bottom w:w="90" w:type="dxa"/>
              <w:end w:w="120" w:type="dxa"/>
            </w:tcMar>
          </w:tcPr>
          <w:p>
            <w:r>
              <w:rPr>
                <w:rFonts w:ascii="Calibri" w:hAnsi="Calibri"/>
                <w:b w:val="0"/>
                <w:i w:val="0"/>
                <w:color w:val="182330"/>
                <w:sz w:val="17"/>
              </w:rPr>
              <w:t>Retry control</w:t>
            </w:r>
          </w:p>
        </w:tc>
        <w:tc>
          <w:tcPr>
            <w:tcW w:type="dxa" w:w="2850"/>
            <w:vAlign w:val="center"/>
            <w:tcMar>
              <w:top w:w="90" w:type="dxa"/>
              <w:start w:w="120" w:type="dxa"/>
              <w:bottom w:w="90" w:type="dxa"/>
              <w:end w:w="120" w:type="dxa"/>
            </w:tcMar>
          </w:tcPr>
          <w:p>
            <w:r>
              <w:rPr>
                <w:rFonts w:ascii="Calibri" w:hAnsi="Calibri"/>
                <w:b w:val="0"/>
                <w:i w:val="0"/>
                <w:color w:val="182330"/>
                <w:sz w:val="17"/>
              </w:rPr>
              <w:t>Bounded full jitter and terminal failure</w:t>
            </w:r>
          </w:p>
        </w:tc>
        <w:tc>
          <w:tcPr>
            <w:tcW w:type="dxa" w:w="3160"/>
            <w:vAlign w:val="center"/>
            <w:tcMar>
              <w:top w:w="90" w:type="dxa"/>
              <w:start w:w="120" w:type="dxa"/>
              <w:bottom w:w="90" w:type="dxa"/>
              <w:end w:w="120" w:type="dxa"/>
            </w:tcMar>
          </w:tcPr>
          <w:p>
            <w:r>
              <w:rPr>
                <w:rFonts w:ascii="Calibri" w:hAnsi="Calibri"/>
                <w:b w:val="0"/>
                <w:i w:val="0"/>
                <w:color w:val="182330"/>
                <w:sz w:val="17"/>
              </w:rPr>
              <w:t>AWS retry/backoff; SRECon 2025 retry budgeting</w:t>
            </w:r>
          </w:p>
        </w:tc>
        <w:tc>
          <w:tcPr>
            <w:tcW w:type="dxa" w:w="1500"/>
            <w:shd w:fill="EAF4EA"/>
            <w:vAlign w:val="center"/>
            <w:tcMar>
              <w:top w:w="90" w:type="dxa"/>
              <w:start w:w="120" w:type="dxa"/>
              <w:bottom w:w="90" w:type="dxa"/>
              <w:end w:w="120" w:type="dxa"/>
            </w:tcMar>
          </w:tcPr>
          <w:p>
            <w:r>
              <w:rPr>
                <w:rFonts w:ascii="Calibri" w:hAnsi="Calibri"/>
                <w:b/>
                <w:i w:val="0"/>
                <w:color w:val="182330"/>
                <w:sz w:val="17"/>
              </w:rPr>
              <w:t>Aligned</w:t>
            </w:r>
          </w:p>
        </w:tc>
      </w:tr>
      <w:tr>
        <w:tc>
          <w:tcPr>
            <w:tcW w:type="dxa" w:w="1850"/>
            <w:vAlign w:val="center"/>
            <w:tcMar>
              <w:top w:w="90" w:type="dxa"/>
              <w:start w:w="120" w:type="dxa"/>
              <w:bottom w:w="90" w:type="dxa"/>
              <w:end w:w="120" w:type="dxa"/>
            </w:tcMar>
          </w:tcPr>
          <w:p>
            <w:r>
              <w:rPr>
                <w:rFonts w:ascii="Calibri" w:hAnsi="Calibri"/>
                <w:b w:val="0"/>
                <w:i w:val="0"/>
                <w:color w:val="182330"/>
                <w:sz w:val="17"/>
              </w:rPr>
              <w:t>Admission control</w:t>
            </w:r>
          </w:p>
        </w:tc>
        <w:tc>
          <w:tcPr>
            <w:tcW w:type="dxa" w:w="2850"/>
            <w:vAlign w:val="center"/>
            <w:tcMar>
              <w:top w:w="90" w:type="dxa"/>
              <w:start w:w="120" w:type="dxa"/>
              <w:bottom w:w="90" w:type="dxa"/>
              <w:end w:w="120" w:type="dxa"/>
            </w:tcMar>
          </w:tcPr>
          <w:p>
            <w:r>
              <w:rPr>
                <w:rFonts w:ascii="Calibri" w:hAnsi="Calibri"/>
                <w:b w:val="0"/>
                <w:i w:val="0"/>
                <w:color w:val="182330"/>
                <w:sz w:val="17"/>
              </w:rPr>
              <w:t>Pending-count and payload-byte bounds</w:t>
            </w:r>
          </w:p>
        </w:tc>
        <w:tc>
          <w:tcPr>
            <w:tcW w:type="dxa" w:w="3160"/>
            <w:vAlign w:val="center"/>
            <w:tcMar>
              <w:top w:w="90" w:type="dxa"/>
              <w:start w:w="120" w:type="dxa"/>
              <w:bottom w:w="90" w:type="dxa"/>
              <w:end w:w="120" w:type="dxa"/>
            </w:tcMar>
          </w:tcPr>
          <w:p>
            <w:r>
              <w:rPr>
                <w:rFonts w:ascii="Calibri" w:hAnsi="Calibri"/>
                <w:b w:val="0"/>
                <w:i w:val="0"/>
                <w:color w:val="182330"/>
                <w:sz w:val="17"/>
              </w:rPr>
              <w:t>Little's Law; queue shedding guidance</w:t>
            </w:r>
          </w:p>
        </w:tc>
        <w:tc>
          <w:tcPr>
            <w:tcW w:type="dxa" w:w="1500"/>
            <w:shd w:fill="EAF4EA"/>
            <w:vAlign w:val="center"/>
            <w:tcMar>
              <w:top w:w="90" w:type="dxa"/>
              <w:start w:w="120" w:type="dxa"/>
              <w:bottom w:w="90" w:type="dxa"/>
              <w:end w:w="120" w:type="dxa"/>
            </w:tcMar>
          </w:tcPr>
          <w:p>
            <w:r>
              <w:rPr>
                <w:rFonts w:ascii="Calibri" w:hAnsi="Calibri"/>
                <w:b/>
                <w:i w:val="0"/>
                <w:color w:val="182330"/>
                <w:sz w:val="17"/>
              </w:rPr>
              <w:t>Aligned</w:t>
            </w:r>
          </w:p>
        </w:tc>
      </w:tr>
      <w:tr>
        <w:tc>
          <w:tcPr>
            <w:tcW w:type="dxa" w:w="1850"/>
            <w:vAlign w:val="center"/>
            <w:tcMar>
              <w:top w:w="90" w:type="dxa"/>
              <w:start w:w="120" w:type="dxa"/>
              <w:bottom w:w="90" w:type="dxa"/>
              <w:end w:w="120" w:type="dxa"/>
            </w:tcMar>
          </w:tcPr>
          <w:p>
            <w:r>
              <w:rPr>
                <w:rFonts w:ascii="Calibri" w:hAnsi="Calibri"/>
                <w:b w:val="0"/>
                <w:i w:val="0"/>
                <w:color w:val="182330"/>
                <w:sz w:val="17"/>
              </w:rPr>
              <w:t>Liveness reconciliation</w:t>
            </w:r>
          </w:p>
        </w:tc>
        <w:tc>
          <w:tcPr>
            <w:tcW w:type="dxa" w:w="2850"/>
            <w:vAlign w:val="center"/>
            <w:tcMar>
              <w:top w:w="90" w:type="dxa"/>
              <w:start w:w="120" w:type="dxa"/>
              <w:bottom w:w="90" w:type="dxa"/>
              <w:end w:w="120" w:type="dxa"/>
            </w:tcMar>
          </w:tcPr>
          <w:p>
            <w:r>
              <w:t>Reboot reconciliation, expired-lease recovery, and owner-aware cross-process lock recovery</w:t>
            </w:r>
          </w:p>
        </w:tc>
        <w:tc>
          <w:tcPr>
            <w:tcW w:type="dxa" w:w="3160"/>
            <w:vAlign w:val="center"/>
            <w:tcMar>
              <w:top w:w="90" w:type="dxa"/>
              <w:start w:w="120" w:type="dxa"/>
              <w:bottom w:w="90" w:type="dxa"/>
              <w:end w:w="120" w:type="dxa"/>
            </w:tcMar>
          </w:tcPr>
          <w:p>
            <w:r>
              <w:rPr>
                <w:rFonts w:ascii="Calibri" w:hAnsi="Calibri"/>
                <w:b w:val="0"/>
                <w:i w:val="0"/>
                <w:color w:val="182330"/>
                <w:sz w:val="17"/>
              </w:rPr>
              <w:t>Anvil's eventually stable reconciliation</w:t>
            </w:r>
          </w:p>
        </w:tc>
        <w:tc>
          <w:tcPr>
            <w:tcW w:type="dxa" w:w="1500"/>
            <w:vAlign w:val="center"/>
            <w:tcMar>
              <w:top w:w="90" w:type="dxa"/>
              <w:start w:w="120" w:type="dxa"/>
              <w:bottom w:w="90" w:type="dxa"/>
              <w:end w:w="120" w:type="dxa"/>
            </w:tcMar>
          </w:tcPr>
          <w:p>
            <w:r>
              <w:rPr>
                <w:rFonts w:ascii="Calibri" w:hAnsi="Calibri"/>
                <w:b/>
                <w:i w:val="0"/>
                <w:color w:val="182330"/>
                <w:sz w:val="17"/>
              </w:rPr>
              <w:t>Partially aligned</w:t>
            </w:r>
          </w:p>
        </w:tc>
      </w:tr>
      <w:tr>
        <w:tc>
          <w:tcPr>
            <w:tcW w:type="dxa" w:w="1850"/>
            <w:vAlign w:val="center"/>
            <w:tcMar>
              <w:top w:w="90" w:type="dxa"/>
              <w:start w:w="120" w:type="dxa"/>
              <w:bottom w:w="90" w:type="dxa"/>
              <w:end w:w="120" w:type="dxa"/>
            </w:tcMar>
          </w:tcPr>
          <w:p>
            <w:r>
              <w:rPr>
                <w:rFonts w:ascii="Calibri" w:hAnsi="Calibri"/>
                <w:b w:val="0"/>
                <w:i w:val="0"/>
                <w:color w:val="182330"/>
                <w:sz w:val="17"/>
              </w:rPr>
              <w:t>Load signal</w:t>
            </w:r>
          </w:p>
        </w:tc>
        <w:tc>
          <w:tcPr>
            <w:tcW w:type="dxa" w:w="2850"/>
            <w:vAlign w:val="center"/>
            <w:tcMar>
              <w:top w:w="90" w:type="dxa"/>
              <w:start w:w="120" w:type="dxa"/>
              <w:bottom w:w="90" w:type="dxa"/>
              <w:end w:w="120" w:type="dxa"/>
            </w:tcMar>
          </w:tcPr>
          <w:p>
            <w:r>
              <w:rPr>
                <w:rFonts w:ascii="Calibri" w:hAnsi="Calibri"/>
                <w:b w:val="0"/>
                <w:i w:val="0"/>
                <w:color w:val="182330"/>
                <w:sz w:val="17"/>
              </w:rPr>
              <w:t>Queue concurrency and oldest age</w:t>
            </w:r>
          </w:p>
        </w:tc>
        <w:tc>
          <w:tcPr>
            <w:tcW w:type="dxa" w:w="3160"/>
            <w:vAlign w:val="center"/>
            <w:tcMar>
              <w:top w:w="90" w:type="dxa"/>
              <w:start w:w="120" w:type="dxa"/>
              <w:bottom w:w="90" w:type="dxa"/>
              <w:end w:w="120" w:type="dxa"/>
            </w:tcMar>
          </w:tcPr>
          <w:p>
            <w:r>
              <w:rPr>
                <w:rFonts w:ascii="Calibri" w:hAnsi="Calibri"/>
                <w:b w:val="0"/>
                <w:i w:val="0"/>
                <w:color w:val="182330"/>
                <w:sz w:val="17"/>
              </w:rPr>
              <w:t>PReQuaL favors active requests/latency over CPU load</w:t>
            </w:r>
          </w:p>
        </w:tc>
        <w:tc>
          <w:tcPr>
            <w:tcW w:type="dxa" w:w="1500"/>
            <w:vAlign w:val="center"/>
            <w:tcMar>
              <w:top w:w="90" w:type="dxa"/>
              <w:start w:w="120" w:type="dxa"/>
              <w:bottom w:w="90" w:type="dxa"/>
              <w:end w:w="120" w:type="dxa"/>
            </w:tcMar>
          </w:tcPr>
          <w:p>
            <w:r>
              <w:rPr>
                <w:rFonts w:ascii="Calibri" w:hAnsi="Calibri"/>
                <w:b/>
                <w:i w:val="0"/>
                <w:color w:val="182330"/>
                <w:sz w:val="17"/>
              </w:rPr>
              <w:t>Partially aligned</w:t>
            </w:r>
          </w:p>
        </w:tc>
      </w:tr>
      <w:tr>
        <w:tc>
          <w:tcPr>
            <w:tcW w:type="dxa" w:w="1850"/>
            <w:vAlign w:val="center"/>
            <w:tcMar>
              <w:top w:w="90" w:type="dxa"/>
              <w:start w:w="120" w:type="dxa"/>
              <w:bottom w:w="90" w:type="dxa"/>
              <w:end w:w="120" w:type="dxa"/>
            </w:tcMar>
          </w:tcPr>
          <w:p>
            <w:r>
              <w:rPr>
                <w:rFonts w:ascii="Calibri" w:hAnsi="Calibri"/>
                <w:b w:val="0"/>
                <w:i w:val="0"/>
                <w:color w:val="182330"/>
                <w:sz w:val="17"/>
              </w:rPr>
              <w:t>Global resource control</w:t>
            </w:r>
          </w:p>
        </w:tc>
        <w:tc>
          <w:tcPr>
            <w:tcW w:type="dxa" w:w="2850"/>
            <w:vAlign w:val="center"/>
            <w:tcMar>
              <w:top w:w="90" w:type="dxa"/>
              <w:start w:w="120" w:type="dxa"/>
              <w:bottom w:w="90" w:type="dxa"/>
              <w:end w:w="120" w:type="dxa"/>
            </w:tcMar>
          </w:tcPr>
          <w:p>
            <w:r>
              <w:rPr>
                <w:rFonts w:ascii="Calibri" w:hAnsi="Calibri"/>
                <w:b w:val="0"/>
                <w:i w:val="0"/>
                <w:color w:val="182330"/>
                <w:sz w:val="17"/>
              </w:rPr>
              <w:t>Only per-queue limits</w:t>
            </w:r>
          </w:p>
        </w:tc>
        <w:tc>
          <w:tcPr>
            <w:tcW w:type="dxa" w:w="3160"/>
            <w:vAlign w:val="center"/>
            <w:tcMar>
              <w:top w:w="90" w:type="dxa"/>
              <w:start w:w="120" w:type="dxa"/>
              <w:bottom w:w="90" w:type="dxa"/>
              <w:end w:w="120" w:type="dxa"/>
            </w:tcMar>
          </w:tcPr>
          <w:p>
            <w:r>
              <w:rPr>
                <w:rFonts w:ascii="Calibri" w:hAnsi="Calibri"/>
                <w:b w:val="0"/>
                <w:i w:val="0"/>
                <w:color w:val="182330"/>
                <w:sz w:val="17"/>
              </w:rPr>
              <w:t>Backpressure research uses shared capacity constraints</w:t>
            </w:r>
          </w:p>
        </w:tc>
        <w:tc>
          <w:tcPr>
            <w:tcW w:type="dxa" w:w="1500"/>
            <w:shd w:fill="FFF5D6"/>
            <w:vAlign w:val="center"/>
            <w:tcMar>
              <w:top w:w="90" w:type="dxa"/>
              <w:start w:w="120" w:type="dxa"/>
              <w:bottom w:w="90" w:type="dxa"/>
              <w:end w:w="120" w:type="dxa"/>
            </w:tcMar>
          </w:tcPr>
          <w:p>
            <w:r>
              <w:t>Out of scope</w:t>
            </w:r>
          </w:p>
        </w:tc>
      </w:tr>
      <w:tr>
        <w:tc>
          <w:tcPr>
            <w:tcW w:type="dxa" w:w="1850"/>
            <w:vAlign w:val="center"/>
            <w:tcMar>
              <w:top w:w="90" w:type="dxa"/>
              <w:start w:w="120" w:type="dxa"/>
              <w:bottom w:w="90" w:type="dxa"/>
              <w:end w:w="120" w:type="dxa"/>
            </w:tcMar>
          </w:tcPr>
          <w:p>
            <w:r>
              <w:rPr>
                <w:rFonts w:ascii="Calibri" w:hAnsi="Calibri"/>
                <w:b w:val="0"/>
                <w:i w:val="0"/>
                <w:color w:val="182330"/>
                <w:sz w:val="17"/>
              </w:rPr>
              <w:t>Poison work isolation</w:t>
            </w:r>
          </w:p>
        </w:tc>
        <w:tc>
          <w:tcPr>
            <w:tcW w:type="dxa" w:w="2850"/>
            <w:vAlign w:val="center"/>
            <w:tcMar>
              <w:top w:w="90" w:type="dxa"/>
              <w:start w:w="120" w:type="dxa"/>
              <w:bottom w:w="90" w:type="dxa"/>
              <w:end w:w="120" w:type="dxa"/>
            </w:tcMar>
          </w:tcPr>
          <w:p>
            <w:r>
              <w:rPr>
                <w:rFonts w:ascii="Calibri" w:hAnsi="Calibri"/>
                <w:b w:val="0"/>
                <w:i w:val="0"/>
                <w:color w:val="182330"/>
                <w:sz w:val="17"/>
              </w:rPr>
              <w:t>Terminal failed state and manual redrive</w:t>
            </w:r>
          </w:p>
        </w:tc>
        <w:tc>
          <w:tcPr>
            <w:tcW w:type="dxa" w:w="3160"/>
            <w:vAlign w:val="center"/>
            <w:tcMar>
              <w:top w:w="90" w:type="dxa"/>
              <w:start w:w="120" w:type="dxa"/>
              <w:bottom w:w="90" w:type="dxa"/>
              <w:end w:w="120" w:type="dxa"/>
            </w:tcMar>
          </w:tcPr>
          <w:p>
            <w:r>
              <w:rPr>
                <w:rFonts w:ascii="Calibri" w:hAnsi="Calibri"/>
                <w:b w:val="0"/>
                <w:i w:val="0"/>
                <w:color w:val="182330"/>
                <w:sz w:val="17"/>
              </w:rPr>
              <w:t>Operational systems commonly provide DLQ quarantine</w:t>
            </w:r>
          </w:p>
        </w:tc>
        <w:tc>
          <w:tcPr>
            <w:tcW w:type="dxa" w:w="1500"/>
            <w:shd w:fill="FFF5D6"/>
            <w:vAlign w:val="center"/>
            <w:tcMar>
              <w:top w:w="90" w:type="dxa"/>
              <w:start w:w="120" w:type="dxa"/>
              <w:bottom w:w="90" w:type="dxa"/>
              <w:end w:w="120" w:type="dxa"/>
            </w:tcMar>
          </w:tcPr>
          <w:p>
            <w:r>
              <w:t>Out of scope</w:t>
            </w:r>
          </w:p>
        </w:tc>
      </w:tr>
      <w:tr>
        <w:tc>
          <w:tcPr>
            <w:tcW w:type="dxa" w:w="1850"/>
            <w:vAlign w:val="center"/>
            <w:tcMar>
              <w:top w:w="90" w:type="dxa"/>
              <w:start w:w="120" w:type="dxa"/>
              <w:bottom w:w="90" w:type="dxa"/>
              <w:end w:w="120" w:type="dxa"/>
            </w:tcMar>
          </w:tcPr>
          <w:p>
            <w:r>
              <w:rPr>
                <w:rFonts w:ascii="Calibri" w:hAnsi="Calibri"/>
                <w:b w:val="0"/>
                <w:i w:val="0"/>
                <w:color w:val="182330"/>
                <w:sz w:val="17"/>
              </w:rPr>
              <w:t>Aggregate telemetry</w:t>
            </w:r>
          </w:p>
        </w:tc>
        <w:tc>
          <w:tcPr>
            <w:tcW w:type="dxa" w:w="2850"/>
            <w:vAlign w:val="center"/>
            <w:tcMar>
              <w:top w:w="90" w:type="dxa"/>
              <w:start w:w="120" w:type="dxa"/>
              <w:bottom w:w="90" w:type="dxa"/>
              <w:end w:w="120" w:type="dxa"/>
            </w:tcMar>
          </w:tcPr>
          <w:p>
            <w:r>
              <w:rPr>
                <w:rFonts w:ascii="Calibri" w:hAnsi="Calibri"/>
                <w:b w:val="0"/>
                <w:i w:val="0"/>
                <w:color w:val="182330"/>
                <w:sz w:val="17"/>
              </w:rPr>
              <w:t>Per-item and queue snapshots</w:t>
            </w:r>
          </w:p>
        </w:tc>
        <w:tc>
          <w:tcPr>
            <w:tcW w:type="dxa" w:w="3160"/>
            <w:vAlign w:val="center"/>
            <w:tcMar>
              <w:top w:w="90" w:type="dxa"/>
              <w:start w:w="120" w:type="dxa"/>
              <w:bottom w:w="90" w:type="dxa"/>
              <w:end w:w="120" w:type="dxa"/>
            </w:tcMar>
          </w:tcPr>
          <w:p>
            <w:r>
              <w:rPr>
                <w:rFonts w:ascii="Calibri" w:hAnsi="Calibri"/>
                <w:b w:val="0"/>
                <w:i w:val="0"/>
                <w:color w:val="182330"/>
                <w:sz w:val="17"/>
              </w:rPr>
              <w:t>OpenTelemetry messaging and queue-age monitoring</w:t>
            </w:r>
          </w:p>
        </w:tc>
        <w:tc>
          <w:tcPr>
            <w:tcW w:type="dxa" w:w="1500"/>
            <w:shd w:fill="FFF5D6"/>
            <w:vAlign w:val="center"/>
            <w:tcMar>
              <w:top w:w="90" w:type="dxa"/>
              <w:start w:w="120" w:type="dxa"/>
              <w:bottom w:w="90" w:type="dxa"/>
              <w:end w:w="120" w:type="dxa"/>
            </w:tcMar>
          </w:tcPr>
          <w:p>
            <w:r>
              <w:t>Out of scope</w:t>
            </w:r>
          </w:p>
        </w:tc>
      </w:tr>
    </w:tbl>
    <w:p>
      <w:pPr>
        <w:pStyle w:val="Heading2"/>
      </w:pPr>
      <w:r>
        <w:t>Interpretation</w:t>
      </w:r>
    </w:p>
    <w:p>
      <w:r>
        <w:t>HawkSpan's design is appropriate for durable coordination between two trusted Macs and a small number of queues. It should not adopt datacenter scheduling complexity merely because that research exists. The practical lessons that transfer are bounded admission, retry budgets, idempotency, fencing, explicit liveness reconciliation, and queue-age telemetry. Global resource arbitration and alerting become necessary if users create many concurrent application queues.</w:t>
      </w:r>
    </w:p>
    <w:p>
      <w:pPr>
        <w:pStyle w:val="Heading1"/>
      </w:pPr>
      <w:r>
        <w:t>Test Architecture</w:t>
      </w:r>
    </w:p>
    <w:p>
      <w:pPr>
        <w:pStyle w:val="Heading2"/>
      </w:pPr>
      <w:r>
        <w:t>What changed</w:t>
      </w:r>
    </w:p>
    <w:p>
      <w:r>
        <w:t>The test strategy now includes negative invariants, not only successful command execution. scripts/check-release.mjs first audits the entire candidate and refuses release before running tests. scripts/check-release.sh then discovers and runs every scripts/test-*.mjs and scripts/test-*.py program. The current gate reports 27 passing test programs.</w:t>
      </w:r>
    </w:p>
    <w:p>
      <w:pPr>
        <w:pStyle w:val="Heading2"/>
      </w:pPr>
      <w:r>
        <w:t>Negative release invariants</w:t>
      </w:r>
    </w:p>
    <w:p>
      <w:pPr>
        <w:pStyle w:val="ListBullet"/>
      </w:pPr>
      <w:r>
        <w:t>No predecessor environment names, state paths, launch labels, product slug/name, plugin path, or runtime dependency.</w:t>
      </w:r>
    </w:p>
    <w:p>
      <w:pPr>
        <w:pStyle w:val="ListBullet"/>
      </w:pPr>
      <w:r>
        <w:t>No symbolic links or hard-linked files in the distributable candidate.</w:t>
      </w:r>
    </w:p>
    <w:p>
      <w:pPr>
        <w:pStyle w:val="ListBullet"/>
      </w:pPr>
      <w:r>
        <w:t>Plugin identity is exactly hawkspan / HawkSpan and MCP registration is exactly hawkspan.</w:t>
      </w:r>
    </w:p>
    <w:p>
      <w:pPr>
        <w:pStyle w:val="ListBullet"/>
      </w:pPr>
      <w:r>
        <w:t>No SimpleTuner REST control path, alternate trainer queue policy, or time-window/idle runtime gate.</w:t>
      </w:r>
    </w:p>
    <w:p>
      <w:pPr>
        <w:pStyle w:val="ListBullet"/>
      </w:pPr>
      <w:r>
        <w:t>A deliberately contaminated candidate must fail the public release command.</w:t>
      </w:r>
    </w:p>
    <w:p>
      <w:pPr>
        <w:pStyle w:val="ListBullet"/>
      </w:pPr>
      <w:r>
        <w:t>Activation enforces the same invariant before writing installed state.</w:t>
      </w:r>
    </w:p>
    <w:p>
      <w:pPr>
        <w:pStyle w:val="Heading2"/>
      </w:pPr>
      <w:r>
        <w:t>Limits of the green gate</w:t>
      </w:r>
    </w:p>
    <w:p>
      <w:pPr>
        <w:pStyle w:val="ListBullet"/>
      </w:pPr>
      <w:r>
        <w:t>The Gherkin files are precise behavior specifications, but there is no Cucumber runner; they are not themselves executable evidence.</w:t>
      </w:r>
    </w:p>
    <w:p>
      <w:pPr>
        <w:pStyle w:val="ListBullet"/>
      </w:pPr>
      <w:r>
        <w:t>Synthetic process, network, packet, and LoRA fixtures prove contracts and failure handling but do not replace the final real two-Mac acceptance run.</w:t>
      </w:r>
    </w:p>
    <w:p>
      <w:pPr>
        <w:pStyle w:val="ListBullet"/>
      </w:pPr>
      <w:r>
        <w:t>The installed revisions on both Macs have not yet been revalidated after these source changes. Clean activation of one immutable candidate revision is required before live acceptance.</w:t>
      </w:r>
    </w:p>
    <w:p>
      <w:pPr>
        <w:pStyle w:val="ListBullet"/>
      </w:pPr>
      <w:r>
        <w:t>The four explicit hard-fork provenance artifacts are allowed to mention the predecessor for historical comparison; operational code and configuration may not.</w:t>
      </w:r>
    </w:p>
    <w:p>
      <w:r>
        <w:br w:type="page"/>
      </w:r>
    </w:p>
    <w:p>
      <w:pPr>
        <w:pStyle w:val="Heading1"/>
      </w:pPr>
      <w:r>
        <w:t>Acceptance Before Immutable Commit</w:t>
      </w:r>
    </w:p>
    <w:p>
      <w:pPr>
        <w:pStyle w:val="ListNumber"/>
      </w:pPr>
      <w:r>
        <w:t>Run ./scripts/check-release.sh again after the Word artifact and final source audit are complete.</w:t>
      </w:r>
    </w:p>
    <w:p>
      <w:pPr>
        <w:pStyle w:val="ListNumber"/>
      </w:pPr>
      <w:r>
        <w:t>Confirm the only predecessor references are the four allowlisted provenance artifacts.</w:t>
      </w:r>
    </w:p>
    <w:p>
      <w:pPr>
        <w:pStyle w:val="ListNumber"/>
      </w:pPr>
      <w:r>
        <w:t>Confirm no rejected REST, time-window, idle, or alternate SimpleTuner queue identifiers appear outside the audit's test fixture and negative documentation statements.</w:t>
      </w:r>
    </w:p>
    <w:p>
      <w:pPr>
        <w:pStyle w:val="ListNumber"/>
      </w:pPr>
      <w:r>
        <w:t>Review the complete staged diff and commit the HawkSpan candidate as one immutable baseline.</w:t>
      </w:r>
    </w:p>
    <w:p>
      <w:pPr>
        <w:pStyle w:val="ListNumber"/>
      </w:pPr>
      <w:r>
        <w:t>Clean-remove the prior HawkSpan installation from M2 and M4, install the exact immutable commit, start services, and audit both authorities and live process paths.</w:t>
      </w:r>
    </w:p>
    <w:p>
      <w:pPr>
        <w:pStyle w:val="ListNumber"/>
      </w:pPr>
      <w:r>
        <w:t>Run one bounded real SimpleTuner job and prove start/status/stop or completion/package/return/receipt on that exact revision.</w:t>
      </w:r>
    </w:p>
    <w:p>
      <w:pPr>
        <w:pStyle w:val="ListNumber"/>
      </w:pPr>
      <w:r>
        <w:t>During a HawkSpan application operation, make Thunderbolt unavailable long enough to observe configured primary application retries, then Ethernet fallback; restore Thunderbolt and prove primary reprobe.</w:t>
      </w:r>
    </w:p>
    <w:p>
      <w:pPr>
        <w:pStyle w:val="ListNumber"/>
      </w:pPr>
      <w:r>
        <w:t>Power-cycle and confirm queue identity, item state, stale-process reconciliation, services, and package-return recovery without any predecessor runtime.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FF5D6"/>
          </w:tcPr>
          <w:p>
            <w:pPr>
              <w:spacing w:after="0"/>
            </w:pPr>
            <w:r>
              <w:rPr>
                <w:rFonts w:ascii="Calibri" w:hAnsi="Calibri"/>
                <w:b/>
                <w:i w:val="0"/>
                <w:color w:val="1F4D78"/>
                <w:sz w:val="22"/>
              </w:rPr>
              <w:t xml:space="preserve">Release rule: </w:t>
            </w:r>
            <w:r>
              <w:rPr>
                <w:rFonts w:ascii="Calibri" w:hAnsi="Calibri"/>
                <w:b w:val="0"/>
                <w:i w:val="0"/>
                <w:color w:val="182330"/>
                <w:sz w:val="22"/>
              </w:rPr>
              <w:t>Local green tests authorize an immutable candidate commit. They do not authorize a public release claim until the exact commit passes clean two-machine installation and live acceptance.</w:t>
            </w:r>
          </w:p>
        </w:tc>
      </w:tr>
    </w:tbl>
    <w:p>
      <w:pPr>
        <w:spacing w:after="0"/>
      </w:pPr>
    </w:p>
    <w:p>
      <w:r>
        <w:br w:type="page"/>
      </w:r>
    </w:p>
    <w:p>
      <w:pPr>
        <w:pStyle w:val="Heading1"/>
      </w:pPr>
      <w:r>
        <w:t>References</w:t>
      </w:r>
    </w:p>
    <w:p>
      <w:pPr>
        <w:pStyle w:val="ListBullet"/>
        <w:keepLines/>
      </w:pPr>
      <w:r>
        <w:rPr>
          <w:rFonts w:ascii="Calibri" w:hAnsi="Calibri"/>
          <w:b/>
          <w:i w:val="0"/>
          <w:color w:val="182330"/>
          <w:sz w:val="22"/>
        </w:rPr>
        <w:t xml:space="preserve">Gray and Cheriton (1989). </w:t>
      </w:r>
      <w:hyperlink r:id="rId11">
        <w:r>
          <w:rPr>
            <w:color w:val="2E74B5"/>
            <w:u w:val="single"/>
          </w:rPr>
          <w:t>Leases: An Efficient Fault-Tolerant Mechanism for Distributed File Cache Consistency</w:t>
        </w:r>
      </w:hyperlink>
      <w:r>
        <w:rPr>
          <w:rFonts w:ascii="Calibri" w:hAnsi="Calibri"/>
          <w:b w:val="0"/>
          <w:i w:val="0"/>
          <w:color w:val="5C6570"/>
          <w:sz w:val="22"/>
        </w:rPr>
        <w:t xml:space="preserve"> Foundational lease semantics.</w:t>
      </w:r>
    </w:p>
    <w:p>
      <w:pPr>
        <w:pStyle w:val="ListBullet"/>
        <w:keepLines/>
      </w:pPr>
      <w:r>
        <w:rPr>
          <w:rFonts w:ascii="Calibri" w:hAnsi="Calibri"/>
          <w:b/>
          <w:i w:val="0"/>
          <w:color w:val="182330"/>
          <w:sz w:val="22"/>
        </w:rPr>
        <w:t xml:space="preserve">Mohan et al. (1992). </w:t>
      </w:r>
      <w:hyperlink r:id="rId12">
        <w:r>
          <w:rPr>
            <w:color w:val="2E74B5"/>
            <w:u w:val="single"/>
          </w:rPr>
          <w:t>ARIES: A Transaction Recovery Method Supporting Fine-Granularity Locking and Partial Rollbacks Using Write-Ahead Logging</w:t>
        </w:r>
      </w:hyperlink>
      <w:r>
        <w:rPr>
          <w:rFonts w:ascii="Calibri" w:hAnsi="Calibri"/>
          <w:b w:val="0"/>
          <w:i w:val="0"/>
          <w:color w:val="5C6570"/>
          <w:sz w:val="22"/>
        </w:rPr>
        <w:t xml:space="preserve"> Foundational transactional recovery.</w:t>
      </w:r>
    </w:p>
    <w:p>
      <w:pPr>
        <w:pStyle w:val="ListBullet"/>
        <w:keepLines/>
      </w:pPr>
      <w:r>
        <w:rPr>
          <w:rFonts w:ascii="Calibri" w:hAnsi="Calibri"/>
          <w:b/>
          <w:i w:val="0"/>
          <w:color w:val="182330"/>
          <w:sz w:val="22"/>
        </w:rPr>
        <w:t xml:space="preserve">Little (1961). </w:t>
      </w:r>
      <w:hyperlink r:id="rId13">
        <w:r>
          <w:rPr>
            <w:color w:val="2E74B5"/>
            <w:u w:val="single"/>
          </w:rPr>
          <w:t>A Proof for the Queuing Formula: L = lambda W</w:t>
        </w:r>
      </w:hyperlink>
      <w:r>
        <w:rPr>
          <w:rFonts w:ascii="Calibri" w:hAnsi="Calibri"/>
          <w:b w:val="0"/>
          <w:i w:val="0"/>
          <w:color w:val="5C6570"/>
          <w:sz w:val="22"/>
        </w:rPr>
        <w:t xml:space="preserve"> Foundational queue-length relationship.</w:t>
      </w:r>
    </w:p>
    <w:p>
      <w:pPr>
        <w:pStyle w:val="ListBullet"/>
        <w:keepLines/>
      </w:pPr>
      <w:r>
        <w:rPr>
          <w:rFonts w:ascii="Calibri" w:hAnsi="Calibri"/>
          <w:b/>
          <w:i w:val="0"/>
          <w:color w:val="182330"/>
          <w:sz w:val="22"/>
        </w:rPr>
        <w:t xml:space="preserve">Burrows (2006). </w:t>
      </w:r>
      <w:hyperlink r:id="rId14">
        <w:r>
          <w:rPr>
            <w:color w:val="2E74B5"/>
            <w:u w:val="single"/>
          </w:rPr>
          <w:t>The Chubby Lock Service for Loosely-Coupled Distributed Systems</w:t>
        </w:r>
      </w:hyperlink>
      <w:r>
        <w:rPr>
          <w:rFonts w:ascii="Calibri" w:hAnsi="Calibri"/>
          <w:b w:val="0"/>
          <w:i w:val="0"/>
          <w:color w:val="5C6570"/>
          <w:sz w:val="22"/>
        </w:rPr>
        <w:t xml:space="preserve"> Lease and stale-owner fencing practice.</w:t>
      </w:r>
    </w:p>
    <w:p>
      <w:pPr>
        <w:pStyle w:val="ListBullet"/>
        <w:keepLines/>
      </w:pPr>
      <w:r>
        <w:rPr>
          <w:rFonts w:ascii="Calibri" w:hAnsi="Calibri"/>
          <w:b/>
          <w:i w:val="0"/>
          <w:color w:val="182330"/>
          <w:sz w:val="22"/>
        </w:rPr>
        <w:t xml:space="preserve">Helland (2007). </w:t>
      </w:r>
      <w:hyperlink r:id="rId15">
        <w:r>
          <w:rPr>
            <w:color w:val="2E74B5"/>
            <w:u w:val="single"/>
          </w:rPr>
          <w:t>Life beyond Distributed Transactions: an Apostate's Opinion</w:t>
        </w:r>
      </w:hyperlink>
      <w:r>
        <w:rPr>
          <w:rFonts w:ascii="Calibri" w:hAnsi="Calibri"/>
          <w:b w:val="0"/>
          <w:i w:val="0"/>
          <w:color w:val="5C6570"/>
          <w:sz w:val="22"/>
        </w:rPr>
        <w:t xml:space="preserve"> Idempotency and workflow state.</w:t>
      </w:r>
    </w:p>
    <w:p>
      <w:pPr>
        <w:pStyle w:val="ListBullet"/>
        <w:keepLines/>
      </w:pPr>
      <w:r>
        <w:rPr>
          <w:rFonts w:ascii="Calibri" w:hAnsi="Calibri"/>
          <w:b/>
          <w:i w:val="0"/>
          <w:color w:val="182330"/>
          <w:sz w:val="22"/>
        </w:rPr>
        <w:t xml:space="preserve">SQLite. </w:t>
      </w:r>
      <w:hyperlink r:id="rId16">
        <w:r>
          <w:rPr>
            <w:color w:val="2E74B5"/>
            <w:u w:val="single"/>
          </w:rPr>
          <w:t>Write-Ahead Logging</w:t>
        </w:r>
      </w:hyperlink>
      <w:r>
        <w:rPr>
          <w:rFonts w:ascii="Calibri" w:hAnsi="Calibri"/>
          <w:b w:val="0"/>
          <w:i w:val="0"/>
          <w:color w:val="5C6570"/>
          <w:sz w:val="22"/>
        </w:rPr>
        <w:t xml:space="preserve"> Current SQLite durability behavior.</w:t>
      </w:r>
    </w:p>
    <w:p>
      <w:pPr>
        <w:pStyle w:val="ListBullet"/>
        <w:keepLines/>
      </w:pPr>
      <w:r>
        <w:rPr>
          <w:rFonts w:ascii="Calibri" w:hAnsi="Calibri"/>
          <w:b/>
          <w:i w:val="0"/>
          <w:color w:val="182330"/>
          <w:sz w:val="22"/>
        </w:rPr>
        <w:t xml:space="preserve">AWS Builders' Library. </w:t>
      </w:r>
      <w:hyperlink r:id="rId17">
        <w:r>
          <w:rPr>
            <w:color w:val="2E74B5"/>
            <w:u w:val="single"/>
          </w:rPr>
          <w:t>Making retries safe with idempotent APIs</w:t>
        </w:r>
      </w:hyperlink>
      <w:r>
        <w:rPr>
          <w:rFonts w:ascii="Calibri" w:hAnsi="Calibri"/>
          <w:b w:val="0"/>
          <w:i w:val="0"/>
          <w:color w:val="5C6570"/>
          <w:sz w:val="22"/>
        </w:rPr>
        <w:t xml:space="preserve"> Stable request identity and changed-intent rejection.</w:t>
      </w:r>
    </w:p>
    <w:p>
      <w:pPr>
        <w:pStyle w:val="ListBullet"/>
        <w:keepLines/>
      </w:pPr>
      <w:r>
        <w:rPr>
          <w:rFonts w:ascii="Calibri" w:hAnsi="Calibri"/>
          <w:b/>
          <w:i w:val="0"/>
          <w:color w:val="182330"/>
          <w:sz w:val="22"/>
        </w:rPr>
        <w:t xml:space="preserve">AWS Builders' Library. </w:t>
      </w:r>
      <w:hyperlink r:id="rId18">
        <w:r>
          <w:rPr>
            <w:color w:val="2E74B5"/>
            <w:u w:val="single"/>
          </w:rPr>
          <w:t>Timeouts, retries, and backoff with jitter</w:t>
        </w:r>
      </w:hyperlink>
      <w:r>
        <w:rPr>
          <w:rFonts w:ascii="Calibri" w:hAnsi="Calibri"/>
          <w:b w:val="0"/>
          <w:i w:val="0"/>
          <w:color w:val="5C6570"/>
          <w:sz w:val="22"/>
        </w:rPr>
        <w:t xml:space="preserve"> Bounded retries and full jitter.</w:t>
      </w:r>
    </w:p>
    <w:p>
      <w:pPr>
        <w:pStyle w:val="ListBullet"/>
        <w:keepLines/>
      </w:pPr>
      <w:r>
        <w:rPr>
          <w:rFonts w:ascii="Calibri" w:hAnsi="Calibri"/>
          <w:b/>
          <w:i w:val="0"/>
          <w:color w:val="182330"/>
          <w:sz w:val="22"/>
        </w:rPr>
        <w:t xml:space="preserve">Sun et al. (OSDI 2024). </w:t>
      </w:r>
      <w:hyperlink r:id="rId19">
        <w:r>
          <w:rPr>
            <w:color w:val="2E74B5"/>
            <w:u w:val="single"/>
          </w:rPr>
          <w:t>Anvil: Verifying Liveness of Cluster Management Controllers</w:t>
        </w:r>
      </w:hyperlink>
      <w:r>
        <w:rPr>
          <w:rFonts w:ascii="Calibri" w:hAnsi="Calibri"/>
          <w:b w:val="0"/>
          <w:i w:val="0"/>
          <w:color w:val="5C6570"/>
          <w:sz w:val="22"/>
        </w:rPr>
        <w:t xml:space="preserve"> Eventually stable reconciliation.</w:t>
      </w:r>
    </w:p>
    <w:p>
      <w:pPr>
        <w:pStyle w:val="ListBullet"/>
        <w:keepLines/>
      </w:pPr>
      <w:r>
        <w:rPr>
          <w:rFonts w:ascii="Calibri" w:hAnsi="Calibri"/>
          <w:b/>
          <w:i w:val="0"/>
          <w:color w:val="182330"/>
          <w:sz w:val="22"/>
        </w:rPr>
        <w:t xml:space="preserve">Wydrowski et al. (NSDI 2024). </w:t>
      </w:r>
      <w:hyperlink r:id="rId20">
        <w:r>
          <w:rPr>
            <w:color w:val="2E74B5"/>
            <w:u w:val="single"/>
          </w:rPr>
          <w:t>Load is not what you should balance: Introducing PReQuaL</w:t>
        </w:r>
      </w:hyperlink>
      <w:r>
        <w:rPr>
          <w:rFonts w:ascii="Calibri" w:hAnsi="Calibri"/>
          <w:b w:val="0"/>
          <w:i w:val="0"/>
          <w:color w:val="5C6570"/>
          <w:sz w:val="22"/>
        </w:rPr>
        <w:t xml:space="preserve"> Latency and requests-in-flight as scheduling signals.</w:t>
      </w:r>
    </w:p>
    <w:p>
      <w:pPr>
        <w:pStyle w:val="ListBullet"/>
        <w:keepLines/>
      </w:pPr>
      <w:r>
        <w:rPr>
          <w:rFonts w:ascii="Calibri" w:hAnsi="Calibri"/>
          <w:b/>
          <w:i w:val="0"/>
          <w:color w:val="182330"/>
          <w:sz w:val="22"/>
        </w:rPr>
        <w:t xml:space="preserve">Zhen (SRECon 2025). </w:t>
      </w:r>
      <w:hyperlink r:id="rId21">
        <w:r>
          <w:rPr>
            <w:color w:val="2E74B5"/>
            <w:u w:val="single"/>
          </w:rPr>
          <w:t>Preventing Avalanche Failures in Large-Scale Distributed Systems</w:t>
        </w:r>
      </w:hyperlink>
      <w:r>
        <w:rPr>
          <w:rFonts w:ascii="Calibri" w:hAnsi="Calibri"/>
          <w:b w:val="0"/>
          <w:i w:val="0"/>
          <w:color w:val="5C6570"/>
          <w:sz w:val="22"/>
        </w:rPr>
        <w:t xml:space="preserve"> Retry budgets, queue shedding, and cascading-failure control.</w:t>
      </w:r>
    </w:p>
    <w:p>
      <w:pPr>
        <w:pStyle w:val="ListBullet"/>
        <w:keepLines/>
      </w:pPr>
      <w:r>
        <w:rPr>
          <w:rFonts w:ascii="Calibri" w:hAnsi="Calibri"/>
          <w:b/>
          <w:i w:val="0"/>
          <w:color w:val="182330"/>
          <w:sz w:val="22"/>
        </w:rPr>
        <w:t xml:space="preserve">OpenTelemetry. </w:t>
      </w:r>
      <w:hyperlink r:id="rId22">
        <w:r>
          <w:rPr>
            <w:color w:val="2E74B5"/>
            <w:u w:val="single"/>
          </w:rPr>
          <w:t>Messaging semantic conventions</w:t>
        </w:r>
      </w:hyperlink>
      <w:r>
        <w:rPr>
          <w:rFonts w:ascii="Calibri" w:hAnsi="Calibri"/>
          <w:b w:val="0"/>
          <w:i w:val="0"/>
          <w:color w:val="5C6570"/>
          <w:sz w:val="22"/>
        </w:rPr>
        <w:t xml:space="preserve"> Current messaging telemetry conventions.</w:t>
      </w:r>
    </w:p>
    <w:p>
      <w:pPr>
        <w:pStyle w:val="ListBullet"/>
        <w:keepLines/>
      </w:pPr>
      <w:r>
        <w:rPr>
          <w:rFonts w:ascii="Calibri" w:hAnsi="Calibri"/>
          <w:b/>
          <w:i w:val="0"/>
          <w:color w:val="182330"/>
          <w:sz w:val="22"/>
        </w:rPr>
        <w:t xml:space="preserve">Apple. </w:t>
      </w:r>
      <w:hyperlink r:id="rId23">
        <w:r>
          <w:rPr>
            <w:color w:val="2E74B5"/>
            <w:u w:val="single"/>
          </w:rPr>
          <w:t>TN3151: Choosing the right networking API</w:t>
        </w:r>
      </w:hyperlink>
      <w:r>
        <w:rPr>
          <w:rFonts w:ascii="Calibri" w:hAnsi="Calibri"/>
          <w:b w:val="0"/>
          <w:i w:val="0"/>
          <w:color w:val="5C6570"/>
          <w:sz w:val="22"/>
        </w:rPr>
        <w:t xml:space="preserve"> Apple networking design guidance.</w:t>
      </w:r>
    </w:p>
    <w:p>
      <w:pPr>
        <w:pStyle w:val="ListBullet"/>
        <w:keepLines/>
      </w:pPr>
      <w:r>
        <w:rPr>
          <w:rFonts w:ascii="Calibri" w:hAnsi="Calibri"/>
          <w:b/>
          <w:i w:val="0"/>
          <w:color w:val="182330"/>
          <w:sz w:val="22"/>
        </w:rPr>
        <w:t xml:space="preserve">Zhang, Tang, and Lan (2026 preprint). </w:t>
      </w:r>
      <w:hyperlink r:id="rId24">
        <w:r>
          <w:rPr>
            <w:color w:val="2E74B5"/>
            <w:u w:val="single"/>
          </w:rPr>
          <w:t>Augmented Backpressure for Decentralized Management of Agentic Networks</w:t>
        </w:r>
      </w:hyperlink>
      <w:r>
        <w:rPr>
          <w:rFonts w:ascii="Calibri" w:hAnsi="Calibri"/>
          <w:b w:val="0"/>
          <w:i w:val="0"/>
          <w:color w:val="5C6570"/>
          <w:sz w:val="22"/>
        </w:rPr>
        <w:t xml:space="preserve"> Emerging, not peer-reviewed; informs future shared resource budgeting only.</w:t>
      </w:r>
    </w:p>
    <w:p>
      <w:pPr>
        <w:pStyle w:val="Heading2"/>
      </w:pPr>
      <w:r>
        <w:t>Repository evidence reviewed</w:t>
      </w:r>
    </w:p>
    <w:p>
      <w:r>
        <w:t>Primary implementation evidence: scripts/queue-registry.mjs, scripts/queue-supervisor.mjs, scripts/lora-scheduler.py, scripts/lora-queue-control.py, scripts/automatic-package-return.mjs, scripts/m2-packet-receiver.mjs, scripts/route-attempt-plan.mjs, scripts/hawkspan-readiness-monitor.mjs, scripts/hawkspan-env.mjs, scripts/activate-release.mjs, scripts/product-separation.mjs, features/*.feature, skills/hawkspan-queues, and the complete scripts/test-* release gate.</w:t>
      </w:r>
    </w:p>
    <w:sectPr w:rsidR="00FC693F" w:rsidRPr="0006063C" w:rsidSect="00034616">
      <w:headerReference w:type="default" r:id="rId9"/>
      <w:footerReference w:type="default" r:id="rId10"/>
      <w:pgSz w:w="12240" w:h="15840"/>
      <w:pgMar w:top="1123"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570"/>
        <w:sz w:val="17"/>
      </w:rPr>
      <w:t xml:space="preserve">August 6,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C6570"/>
        <w:sz w:val="17"/>
      </w:rPr>
      <w:t>HAWKSPAN | ENGINEERING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823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8233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C65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anford.edu/class/cs240/readings/leases.pdf" TargetMode="External"/><Relationship Id="rId12" Type="http://schemas.openxmlformats.org/officeDocument/2006/relationships/hyperlink" Target="https://www.cs.cmu.edu/~15849g/readings/mohan92.pdf" TargetMode="External"/><Relationship Id="rId13" Type="http://schemas.openxmlformats.org/officeDocument/2006/relationships/hyperlink" Target="https://pubsonline.informs.org/doi/10.1287/opre.9.3.383" TargetMode="External"/><Relationship Id="rId14" Type="http://schemas.openxmlformats.org/officeDocument/2006/relationships/hyperlink" Target="https://www.usenix.org/conference/osdi-06/chubby-lock-service-loosely-coupled-distributed-systems" TargetMode="External"/><Relationship Id="rId15" Type="http://schemas.openxmlformats.org/officeDocument/2006/relationships/hyperlink" Target="https://www.cidrdb.org/cidr2007/papers/cidr07p15.pdf" TargetMode="External"/><Relationship Id="rId16" Type="http://schemas.openxmlformats.org/officeDocument/2006/relationships/hyperlink" Target="https://www.sqlite.org/wal.html" TargetMode="External"/><Relationship Id="rId17" Type="http://schemas.openxmlformats.org/officeDocument/2006/relationships/hyperlink" Target="https://aws.amazon.com/builders-library/making-retries-safe-with-idempotent-APIs/" TargetMode="External"/><Relationship Id="rId18" Type="http://schemas.openxmlformats.org/officeDocument/2006/relationships/hyperlink" Target="https://aws.amazon.com/builders-library/timeouts-retries-and-backoff-with-jitter/" TargetMode="External"/><Relationship Id="rId19" Type="http://schemas.openxmlformats.org/officeDocument/2006/relationships/hyperlink" Target="https://www.usenix.org/conference/osdi24/presentation/sun-xudong" TargetMode="External"/><Relationship Id="rId20" Type="http://schemas.openxmlformats.org/officeDocument/2006/relationships/hyperlink" Target="https://www.usenix.org/conference/nsdi24/presentation/wydrowski" TargetMode="External"/><Relationship Id="rId21" Type="http://schemas.openxmlformats.org/officeDocument/2006/relationships/hyperlink" Target="https://www.usenix.org/conference/srecon25emea/presentation/zhen" TargetMode="External"/><Relationship Id="rId22" Type="http://schemas.openxmlformats.org/officeDocument/2006/relationships/hyperlink" Target="https://opentelemetry.io/docs/specs/semconv/messaging/messaging-spans/" TargetMode="External"/><Relationship Id="rId23" Type="http://schemas.openxmlformats.org/officeDocument/2006/relationships/hyperlink" Target="https://developer.apple.com/documentation/technotes/tn3151-choosing-the-right-networking-api" TargetMode="External"/><Relationship Id="rId24" Type="http://schemas.openxmlformats.org/officeDocument/2006/relationships/hyperlink" Target="https://arxiv.org/abs/2608.009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HawkSpan Queue, Network, and Release-Control Review</dc:title>
  <dc:subject>Implementation fidelity and queue-management research comparison</dc:subject>
  <dc:creator>HawkSpan Engineering Review</dc:creator>
  <cp:keywords>HawkSpan, queues, networking, release gate, SimpleTuner</cp:keywords>
  <dc:description>generated by python-docx</dc:description>
  <cp:lastModifiedBy/>
  <cp:revision>1</cp:revision>
  <dcterms:created xsi:type="dcterms:W3CDTF">2013-12-23T23:15:00Z</dcterms:created>
  <dcterms:modified xsi:type="dcterms:W3CDTF">2013-12-23T23:15:00Z</dcterms:modified>
  <cp:category/>
</cp:coreProperties>
</file>