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850" w:after="454"/>
        <w:jc w:val="start"/>
        <w:rPr/>
      </w:pPr>
      <w:r>
        <w:rPr/>
        <w:t>SNOMED CT, in Any Language: AI-Assisted Translation with SME Feedback</w:t>
      </w:r>
    </w:p>
    <w:p>
      <w:pPr>
        <w:pStyle w:val="Heading2"/>
        <w:bidi w:val="0"/>
        <w:jc w:val="start"/>
        <w:rPr/>
      </w:pPr>
      <w:r>
        <w:rPr/>
        <w:t>Contents</w:t>
      </w:r>
    </w:p>
    <w:p>
      <w:pPr>
        <w:pStyle w:val="BodyText"/>
        <w:numPr>
          <w:ilvl w:val="0"/>
          <w:numId w:val="1"/>
        </w:numPr>
        <w:tabs>
          <w:tab w:val="clear" w:pos="1134"/>
          <w:tab w:val="left" w:pos="709" w:leader="none"/>
        </w:tabs>
        <w:bidi w:val="0"/>
        <w:spacing w:before="0" w:after="0"/>
        <w:ind w:hanging="283" w:start="709"/>
        <w:jc w:val="start"/>
        <w:rPr/>
      </w:pPr>
      <w:hyperlink w:anchor="executive-summary">
        <w:r>
          <w:rPr>
            <w:rStyle w:val="Hyperlink"/>
          </w:rPr>
          <w:t>Executive summary</w:t>
        </w:r>
      </w:hyperlink>
      <w:r>
        <w:rPr/>
        <w:t xml:space="preserve"> </w:t>
      </w:r>
    </w:p>
    <w:p>
      <w:pPr>
        <w:pStyle w:val="BodyText"/>
        <w:numPr>
          <w:ilvl w:val="0"/>
          <w:numId w:val="1"/>
        </w:numPr>
        <w:tabs>
          <w:tab w:val="clear" w:pos="1134"/>
          <w:tab w:val="left" w:pos="709" w:leader="none"/>
        </w:tabs>
        <w:bidi w:val="0"/>
        <w:spacing w:before="0" w:after="0"/>
        <w:ind w:hanging="283" w:start="709"/>
        <w:jc w:val="start"/>
        <w:rPr/>
      </w:pPr>
      <w:hyperlink w:anchor="1-the-capability-in-one-view">
        <w:r>
          <w:rPr>
            <w:rStyle w:val="Hyperlink"/>
          </w:rPr>
          <w:t>1. The capability in one view</w:t>
        </w:r>
      </w:hyperlink>
      <w:r>
        <w:rPr/>
        <w:t xml:space="preserve"> </w:t>
      </w:r>
    </w:p>
    <w:p>
      <w:pPr>
        <w:pStyle w:val="BodyText"/>
        <w:numPr>
          <w:ilvl w:val="0"/>
          <w:numId w:val="1"/>
        </w:numPr>
        <w:tabs>
          <w:tab w:val="clear" w:pos="1134"/>
          <w:tab w:val="left" w:pos="709" w:leader="none"/>
        </w:tabs>
        <w:bidi w:val="0"/>
        <w:spacing w:before="0" w:after="0"/>
        <w:ind w:hanging="283" w:start="709"/>
        <w:jc w:val="start"/>
        <w:rPr/>
      </w:pPr>
      <w:hyperlink w:anchor="2-what-is-reusable-and-what-each-languag">
        <w:r>
          <w:rPr>
            <w:rStyle w:val="Hyperlink"/>
          </w:rPr>
          <w:t>2. What is reusable and what each language supplies</w:t>
        </w:r>
      </w:hyperlink>
      <w:r>
        <w:rPr/>
        <w:t xml:space="preserve"> </w:t>
      </w:r>
    </w:p>
    <w:p>
      <w:pPr>
        <w:pStyle w:val="BodyText"/>
        <w:numPr>
          <w:ilvl w:val="0"/>
          <w:numId w:val="1"/>
        </w:numPr>
        <w:tabs>
          <w:tab w:val="clear" w:pos="1134"/>
          <w:tab w:val="left" w:pos="709" w:leader="none"/>
        </w:tabs>
        <w:bidi w:val="0"/>
        <w:spacing w:before="0" w:after="0"/>
        <w:ind w:hanging="283" w:start="709"/>
        <w:jc w:val="start"/>
        <w:rPr/>
      </w:pPr>
      <w:hyperlink w:anchor="3-the-end-to-end-language-process">
        <w:r>
          <w:rPr>
            <w:rStyle w:val="Hyperlink"/>
          </w:rPr>
          <w:t>3. The end-to-end language process</w:t>
        </w:r>
      </w:hyperlink>
    </w:p>
    <w:p>
      <w:pPr>
        <w:pStyle w:val="BodyText"/>
        <w:numPr>
          <w:ilvl w:val="1"/>
          <w:numId w:val="1"/>
        </w:numPr>
        <w:tabs>
          <w:tab w:val="clear" w:pos="1134"/>
          <w:tab w:val="left" w:pos="1418" w:leader="none"/>
        </w:tabs>
        <w:bidi w:val="0"/>
        <w:spacing w:before="0" w:after="0"/>
        <w:ind w:hanging="283" w:start="1418"/>
        <w:jc w:val="start"/>
        <w:rPr/>
      </w:pPr>
      <w:hyperlink w:anchor="step-1-define-and-provision-the-project">
        <w:r>
          <w:rPr>
            <w:rStyle w:val="Hyperlink"/>
          </w:rPr>
          <w:t>Step 1 — Define and provision the project</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step-2-bring-the-available-language-reso">
        <w:r>
          <w:rPr>
            <w:rStyle w:val="Hyperlink"/>
          </w:rPr>
          <w:t>Step 2 — Bring the available language resources</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step-3-establish-a-baseline">
        <w:r>
          <w:rPr>
            <w:rStyle w:val="Hyperlink"/>
          </w:rPr>
          <w:t>Step 3 — Establish a baseline</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step-4-obtain-structured-sme-feedback">
        <w:r>
          <w:rPr>
            <w:rStyle w:val="Hyperlink"/>
          </w:rPr>
          <w:t>Step 4 — Obtain structured SME feedback</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step-5-turn-review-into-reusable-languag">
        <w:r>
          <w:rPr>
            <w:rStyle w:val="Hyperlink"/>
          </w:rPr>
          <w:t>Step 5 — Turn review into reusable language assets</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step-6-optimise-the-prompt-where-appropr">
        <w:r>
          <w:rPr>
            <w:rStyle w:val="Hyperlink"/>
          </w:rPr>
          <w:t>Step 6 — Optimise the prompt where appropriate</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step-7-repeat-then-run-at-scale">
        <w:r>
          <w:rPr>
            <w:rStyle w:val="Hyperlink"/>
          </w:rPr>
          <w:t>Step 7 — Repeat, then run at scale</w:t>
        </w:r>
      </w:hyperlink>
      <w:r>
        <w:rPr/>
        <w:t xml:space="preserve"> </w:t>
      </w:r>
    </w:p>
    <w:p>
      <w:pPr>
        <w:pStyle w:val="BodyText"/>
        <w:numPr>
          <w:ilvl w:val="0"/>
          <w:numId w:val="1"/>
        </w:numPr>
        <w:tabs>
          <w:tab w:val="clear" w:pos="1134"/>
          <w:tab w:val="left" w:pos="709" w:leader="none"/>
        </w:tabs>
        <w:bidi w:val="0"/>
        <w:spacing w:before="0" w:after="0"/>
        <w:ind w:hanging="283" w:start="709"/>
        <w:jc w:val="start"/>
        <w:rPr/>
      </w:pPr>
      <w:hyperlink w:anchor="4-evidence-from-the-korean-work">
        <w:r>
          <w:rPr>
            <w:rStyle w:val="Hyperlink"/>
          </w:rPr>
          <w:t>4. Evidence from the Korean work</w:t>
        </w:r>
      </w:hyperlink>
      <w:r>
        <w:rPr/>
        <w:t xml:space="preserve"> </w:t>
      </w:r>
    </w:p>
    <w:p>
      <w:pPr>
        <w:pStyle w:val="BodyText"/>
        <w:numPr>
          <w:ilvl w:val="0"/>
          <w:numId w:val="1"/>
        </w:numPr>
        <w:tabs>
          <w:tab w:val="clear" w:pos="1134"/>
          <w:tab w:val="left" w:pos="709" w:leader="none"/>
        </w:tabs>
        <w:bidi w:val="0"/>
        <w:spacing w:before="0" w:after="0"/>
        <w:ind w:hanging="283" w:start="709"/>
        <w:jc w:val="start"/>
        <w:rPr/>
      </w:pPr>
      <w:hyperlink w:anchor="5-cost-and-resource-shape">
        <w:r>
          <w:rPr>
            <w:rStyle w:val="Hyperlink"/>
          </w:rPr>
          <w:t>5. Cost and resource shape</w:t>
        </w:r>
      </w:hyperlink>
    </w:p>
    <w:p>
      <w:pPr>
        <w:pStyle w:val="BodyText"/>
        <w:numPr>
          <w:ilvl w:val="1"/>
          <w:numId w:val="1"/>
        </w:numPr>
        <w:tabs>
          <w:tab w:val="clear" w:pos="1134"/>
          <w:tab w:val="left" w:pos="1418" w:leader="none"/>
        </w:tabs>
        <w:bidi w:val="0"/>
        <w:spacing w:before="0" w:after="0"/>
        <w:ind w:hanging="283" w:start="1418"/>
        <w:jc w:val="start"/>
        <w:rPr/>
      </w:pPr>
      <w:hyperlink w:anchor="machine-cost">
        <w:r>
          <w:rPr>
            <w:rStyle w:val="Hyperlink"/>
          </w:rPr>
          <w:t>Machine cost</w:t>
        </w:r>
      </w:hyperlink>
      <w:r>
        <w:rPr/>
        <w:t xml:space="preserve"> </w:t>
      </w:r>
    </w:p>
    <w:p>
      <w:pPr>
        <w:pStyle w:val="BodyText"/>
        <w:numPr>
          <w:ilvl w:val="1"/>
          <w:numId w:val="1"/>
        </w:numPr>
        <w:tabs>
          <w:tab w:val="clear" w:pos="1134"/>
          <w:tab w:val="left" w:pos="1418" w:leader="none"/>
        </w:tabs>
        <w:bidi w:val="0"/>
        <w:spacing w:before="0" w:after="0"/>
        <w:ind w:hanging="283" w:start="1418"/>
        <w:jc w:val="start"/>
        <w:rPr/>
      </w:pPr>
      <w:hyperlink w:anchor="human-resource">
        <w:r>
          <w:rPr>
            <w:rStyle w:val="Hyperlink"/>
          </w:rPr>
          <w:t>Human resource</w:t>
        </w:r>
      </w:hyperlink>
      <w:r>
        <w:rPr/>
        <w:t xml:space="preserve"> </w:t>
      </w:r>
    </w:p>
    <w:p>
      <w:pPr>
        <w:pStyle w:val="BodyText"/>
        <w:numPr>
          <w:ilvl w:val="0"/>
          <w:numId w:val="1"/>
        </w:numPr>
        <w:tabs>
          <w:tab w:val="clear" w:pos="1134"/>
          <w:tab w:val="left" w:pos="709" w:leader="none"/>
        </w:tabs>
        <w:bidi w:val="0"/>
        <w:spacing w:before="0" w:after="0"/>
        <w:ind w:hanging="283" w:start="709"/>
        <w:jc w:val="start"/>
        <w:rPr/>
      </w:pPr>
      <w:hyperlink w:anchor="6-ways-to-make-it-available">
        <w:r>
          <w:rPr>
            <w:rStyle w:val="Hyperlink"/>
          </w:rPr>
          <w:t>6. Ways to make it available</w:t>
        </w:r>
      </w:hyperlink>
    </w:p>
    <w:p>
      <w:pPr>
        <w:pStyle w:val="BodyText"/>
        <w:numPr>
          <w:ilvl w:val="1"/>
          <w:numId w:val="1"/>
        </w:numPr>
        <w:tabs>
          <w:tab w:val="clear" w:pos="1134"/>
          <w:tab w:val="left" w:pos="1418" w:leader="none"/>
        </w:tabs>
        <w:bidi w:val="0"/>
        <w:spacing w:before="0" w:after="0"/>
        <w:ind w:hanging="283" w:start="1418"/>
        <w:jc w:val="start"/>
        <w:rPr/>
      </w:pPr>
      <w:hyperlink w:anchor="open-source-self-hosted">
        <w:r>
          <w:rPr>
            <w:rStyle w:val="Hyperlink"/>
          </w:rPr>
          <w:t>Open-source, self-hosted</w:t>
        </w:r>
      </w:hyperlink>
      <w:r>
        <w:rPr/>
        <w:t xml:space="preserve"> </w:t>
      </w:r>
    </w:p>
    <w:p>
      <w:pPr>
        <w:pStyle w:val="BodyText"/>
        <w:numPr>
          <w:ilvl w:val="1"/>
          <w:numId w:val="1"/>
        </w:numPr>
        <w:tabs>
          <w:tab w:val="clear" w:pos="1134"/>
          <w:tab w:val="left" w:pos="1418" w:leader="none"/>
        </w:tabs>
        <w:bidi w:val="0"/>
        <w:ind w:hanging="283" w:start="1418"/>
        <w:jc w:val="start"/>
        <w:rPr/>
      </w:pPr>
      <w:hyperlink w:anchor="managed-service-with-our-inference">
        <w:r>
          <w:rPr>
            <w:rStyle w:val="Hyperlink"/>
          </w:rPr>
          <w:t>Managed service with our inference</w:t>
        </w:r>
      </w:hyperlink>
      <w:r>
        <w:rPr/>
        <w:t xml:space="preserve"> </w:t>
      </w:r>
    </w:p>
    <w:p>
      <w:pPr>
        <w:pStyle w:val="Heading2"/>
        <w:bidi w:val="0"/>
        <w:ind w:hanging="0" w:start="0" w:end="0"/>
        <w:jc w:val="start"/>
        <w:rPr/>
      </w:pPr>
      <w:bookmarkStart w:id="0" w:name="executive-summary"/>
      <w:bookmarkEnd w:id="0"/>
      <w:r>
        <w:rPr/>
        <w:t>Executive summary</w:t>
      </w:r>
    </w:p>
    <w:p>
      <w:pPr>
        <w:pStyle w:val="BodyText"/>
        <w:bidi w:val="0"/>
        <w:jc w:val="start"/>
        <w:rPr/>
      </w:pPr>
      <w:r>
        <w:rPr/>
        <w:t>Every SNOMED CT language project starts from a different position. One country may have a substantial but incomplete national extension; another may have only glossaries, mappings, clinical writing, and a small group of experts. Language rules also differ across clinical domains. A prompt that works for Korean imaging is not automatically suitable for Norwegian findings or Spanish substances.</w:t>
      </w:r>
    </w:p>
    <w:p>
      <w:pPr>
        <w:pStyle w:val="BodyText"/>
        <w:bidi w:val="0"/>
        <w:jc w:val="start"/>
        <w:rPr/>
      </w:pPr>
      <w:r>
        <w:rPr/>
        <w:t>The platform is therefore built around a simple proposition:</w:t>
      </w:r>
    </w:p>
    <w:p>
      <w:pPr>
        <w:pStyle w:val="BlockQuotation"/>
        <w:bidi w:val="0"/>
        <w:jc w:val="start"/>
        <w:rPr/>
      </w:pPr>
      <w:r>
        <w:rPr>
          <w:rStyle w:val="Strong"/>
        </w:rPr>
        <w:t>What transfers between languages is not one fixed prompt. It is a measured, auditable process for finding and validating the right translation approach.</w:t>
      </w:r>
    </w:p>
    <w:p>
      <w:pPr>
        <w:pStyle w:val="BodyText"/>
        <w:bidi w:val="0"/>
        <w:jc w:val="start"/>
        <w:rPr/>
      </w:pPr>
      <w:r>
        <w:rPr/>
        <w:t xml:space="preserve">The SME feedback loop shown below is the platform's </w:t>
      </w:r>
      <w:r>
        <w:rPr>
          <w:rStyle w:val="Strong"/>
        </w:rPr>
        <w:t>default template and recommended starting point, not a fixed translation algorithm</w:t>
      </w:r>
      <w:r>
        <w:rPr/>
        <w:t>. Treating each language as a research programme means the team can investigate a different or more complex end-to-end process when evidence supports it. Experiments may change the agentic design—for example, using separate drafting, critique, or adjudication roles—as well as model routing, the selection and presentation of supporting context, hierarchy-specific information, evaluators, quality checks, and repair stages. Prompt evolution through GEPA is one available optimisation method rather than the only kind of improvement.</w:t>
      </w:r>
    </w:p>
    <w:p>
      <w:pPr>
        <w:pStyle w:val="BodyText"/>
        <w:bidi w:val="0"/>
        <w:jc w:val="start"/>
        <w:rPr/>
      </w:pPr>
      <w:r>
        <w:rPr/>
        <w:t>The supplied default begins by importing existing resources and indexing them for semantic search. A base translation guide seeds the agent. A representative subset is translated and reviewed by a terminology subject-matter expert (SME). The SME supplies canonical translations and quality ratings; those decisions become adjudicated gold data, rules, style-guide improvements, and better retrieval examples. Whatever process is investigated, competing flows are compared through tracked runs and held-out, SME-aligned evidence before one is promoted.</w:t>
      </w:r>
    </w:p>
    <w:p>
      <w:pPr>
        <w:pStyle w:val="BodyText"/>
        <w:bidi w:val="0"/>
        <w:jc w:val="start"/>
        <w:rPr/>
      </w:pPr>
      <w:r>
        <w:rPr/>
        <w:t>The cycle repeats on fresh concepts until the agreed quality gate is met. Only then is the winning, version-pinned flow used at broader scale. The final output remains subject to SME review and sign-off.</w:t>
      </w:r>
    </w:p>
    <w:p>
      <w:pPr>
        <w:pStyle w:val="Heading3flow-heading"/>
        <w:bidi w:val="0"/>
        <w:jc w:val="start"/>
        <w:rPr/>
      </w:pPr>
      <w:r>
        <w:rPr/>
        <w:t>Default SME feedback loop for improving the translation agent</w:t>
      </w:r>
    </w:p>
    <w:tbl>
      <w:tblPr>
        <w:tblW w:w="5134" w:type="dxa"/>
        <w:jc w:val="start"/>
        <w:tblInd w:w="0" w:type="dxa"/>
        <w:tblLayout w:type="fixed"/>
        <w:tblCellMar>
          <w:top w:w="28" w:type="dxa"/>
          <w:start w:w="28" w:type="dxa"/>
          <w:bottom w:w="28" w:type="dxa"/>
          <w:end w:w="28" w:type="dxa"/>
        </w:tblCellMar>
      </w:tblPr>
      <w:tblGrid>
        <w:gridCol w:w="5134"/>
      </w:tblGrid>
      <w:tr>
        <w:trPr/>
        <w:tc>
          <w:tcPr>
            <w:tcW w:w="5134" w:type="dxa"/>
            <w:tcBorders/>
            <w:vAlign w:val="center"/>
          </w:tcPr>
          <w:p>
            <w:pPr>
              <w:pStyle w:val="TableContents"/>
              <w:keepNext w:val="true"/>
              <w:bidi w:val="0"/>
              <w:spacing w:before="0" w:after="283"/>
              <w:jc w:val="start"/>
              <w:rPr/>
            </w:pPr>
            <w:r>
              <w:rPr>
                <w:b/>
              </w:rPr>
              <w:t>1. Translate a fresh subset</w:t>
            </w:r>
            <w:r>
              <w:rPr/>
              <w:br/>
              <w:t>Use a representative, previously unseen concept sample.</w:t>
            </w:r>
          </w:p>
        </w:tc>
      </w:tr>
      <w:tr>
        <w:trPr/>
        <w:tc>
          <w:tcPr>
            <w:tcW w:w="5134" w:type="dxa"/>
            <w:tcBorders/>
            <w:vAlign w:val="center"/>
          </w:tcPr>
          <w:p>
            <w:pPr>
              <w:pStyle w:val="TableContents"/>
              <w:keepNext w:val="true"/>
              <w:bidi w:val="0"/>
              <w:spacing w:before="0" w:after="283"/>
              <w:jc w:val="start"/>
              <w:rPr/>
            </w:pPr>
            <w:r>
              <w:rPr/>
              <w:t>↓</w:t>
            </w:r>
          </w:p>
        </w:tc>
      </w:tr>
      <w:tr>
        <w:trPr/>
        <w:tc>
          <w:tcPr>
            <w:tcW w:w="5134" w:type="dxa"/>
            <w:tcBorders/>
            <w:vAlign w:val="center"/>
          </w:tcPr>
          <w:p>
            <w:pPr>
              <w:pStyle w:val="TableContents"/>
              <w:keepNext w:val="true"/>
              <w:bidi w:val="0"/>
              <w:spacing w:before="0" w:after="283"/>
              <w:jc w:val="start"/>
              <w:rPr/>
            </w:pPr>
            <w:r>
              <w:rPr>
                <w:b/>
              </w:rPr>
              <w:t>2. Run the translation agent</w:t>
            </w:r>
            <w:r>
              <w:rPr/>
              <w:br/>
              <w:t>Apply the current prompt, guide, rules, retrieval pool, and model.</w:t>
            </w:r>
          </w:p>
        </w:tc>
      </w:tr>
      <w:tr>
        <w:trPr/>
        <w:tc>
          <w:tcPr>
            <w:tcW w:w="5134" w:type="dxa"/>
            <w:tcBorders/>
            <w:vAlign w:val="center"/>
          </w:tcPr>
          <w:p>
            <w:pPr>
              <w:pStyle w:val="TableContents"/>
              <w:keepNext w:val="true"/>
              <w:bidi w:val="0"/>
              <w:spacing w:before="0" w:after="283"/>
              <w:jc w:val="start"/>
              <w:rPr/>
            </w:pPr>
            <w:r>
              <w:rPr/>
              <w:t>↓</w:t>
            </w:r>
          </w:p>
        </w:tc>
      </w:tr>
      <w:tr>
        <w:trPr/>
        <w:tc>
          <w:tcPr>
            <w:tcW w:w="5134" w:type="dxa"/>
            <w:tcBorders/>
            <w:vAlign w:val="center"/>
          </w:tcPr>
          <w:p>
            <w:pPr>
              <w:pStyle w:val="TableContents"/>
              <w:keepNext w:val="true"/>
              <w:bidi w:val="0"/>
              <w:spacing w:before="0" w:after="283"/>
              <w:jc w:val="start"/>
              <w:rPr/>
            </w:pPr>
            <w:r>
              <w:rPr>
                <w:b/>
              </w:rPr>
              <w:t>3. SME review</w:t>
            </w:r>
            <w:r>
              <w:rPr/>
              <w:br/>
              <w:t>Rate quality, supply canonical translations, and explain recurring problems.</w:t>
            </w:r>
          </w:p>
        </w:tc>
      </w:tr>
      <w:tr>
        <w:trPr/>
        <w:tc>
          <w:tcPr>
            <w:tcW w:w="5134" w:type="dxa"/>
            <w:tcBorders/>
            <w:vAlign w:val="center"/>
          </w:tcPr>
          <w:p>
            <w:pPr>
              <w:pStyle w:val="TableContents"/>
              <w:keepNext w:val="true"/>
              <w:bidi w:val="0"/>
              <w:spacing w:before="0" w:after="283"/>
              <w:jc w:val="start"/>
              <w:rPr/>
            </w:pPr>
            <w:r>
              <w:rPr/>
              <w:t>↓</w:t>
            </w:r>
          </w:p>
        </w:tc>
      </w:tr>
      <w:tr>
        <w:trPr/>
        <w:tc>
          <w:tcPr>
            <w:tcW w:w="5134" w:type="dxa"/>
            <w:tcBorders/>
            <w:vAlign w:val="center"/>
          </w:tcPr>
          <w:p>
            <w:pPr>
              <w:pStyle w:val="TableContents"/>
              <w:keepNext w:val="true"/>
              <w:bidi w:val="0"/>
              <w:spacing w:before="0" w:after="283"/>
              <w:jc w:val="start"/>
              <w:rPr/>
            </w:pPr>
            <w:r>
              <w:rPr>
                <w:b/>
              </w:rPr>
              <w:t>4. Convert feedback into assets</w:t>
            </w:r>
            <w:r>
              <w:rPr/>
              <w:br/>
              <w:t>Update gold data, rules, style guidance, glossary, and retrieval examples.</w:t>
            </w:r>
          </w:p>
        </w:tc>
      </w:tr>
      <w:tr>
        <w:trPr/>
        <w:tc>
          <w:tcPr>
            <w:tcW w:w="5134" w:type="dxa"/>
            <w:tcBorders/>
            <w:vAlign w:val="center"/>
          </w:tcPr>
          <w:p>
            <w:pPr>
              <w:pStyle w:val="TableContents"/>
              <w:keepNext w:val="true"/>
              <w:bidi w:val="0"/>
              <w:spacing w:before="0" w:after="283"/>
              <w:jc w:val="start"/>
              <w:rPr/>
            </w:pPr>
            <w:r>
              <w:rPr/>
              <w:t>↓</w:t>
            </w:r>
          </w:p>
        </w:tc>
      </w:tr>
      <w:tr>
        <w:trPr/>
        <w:tc>
          <w:tcPr>
            <w:tcW w:w="5134" w:type="dxa"/>
            <w:tcBorders/>
            <w:vAlign w:val="center"/>
          </w:tcPr>
          <w:p>
            <w:pPr>
              <w:pStyle w:val="TableContents"/>
              <w:keepNext w:val="true"/>
              <w:bidi w:val="0"/>
              <w:spacing w:before="0" w:after="283"/>
              <w:jc w:val="start"/>
              <w:rPr/>
            </w:pPr>
            <w:r>
              <w:rPr>
                <w:b/>
              </w:rPr>
              <w:t>5. Improve the agent</w:t>
            </w:r>
            <w:r>
              <w:rPr/>
              <w:br/>
              <w:t>Apply deterministic fixes first; use GEPA for remaining prompt-sensitive issues.</w:t>
            </w:r>
          </w:p>
        </w:tc>
      </w:tr>
      <w:tr>
        <w:trPr/>
        <w:tc>
          <w:tcPr>
            <w:tcW w:w="5134" w:type="dxa"/>
            <w:tcBorders/>
            <w:vAlign w:val="center"/>
          </w:tcPr>
          <w:p>
            <w:pPr>
              <w:pStyle w:val="TableContents"/>
              <w:keepNext w:val="true"/>
              <w:bidi w:val="0"/>
              <w:spacing w:before="0" w:after="283"/>
              <w:jc w:val="start"/>
              <w:rPr/>
            </w:pPr>
            <w:r>
              <w:rPr/>
              <w:t>↓</w:t>
            </w:r>
          </w:p>
        </w:tc>
      </w:tr>
      <w:tr>
        <w:trPr/>
        <w:tc>
          <w:tcPr>
            <w:tcW w:w="5134" w:type="dxa"/>
            <w:tcBorders/>
            <w:vAlign w:val="center"/>
          </w:tcPr>
          <w:p>
            <w:pPr>
              <w:pStyle w:val="TableContents"/>
              <w:keepNext w:val="true"/>
              <w:bidi w:val="0"/>
              <w:spacing w:before="0" w:after="283"/>
              <w:jc w:val="start"/>
              <w:rPr/>
            </w:pPr>
            <w:r>
              <w:rPr>
                <w:b/>
              </w:rPr>
              <w:t>6. Held-out quality gate</w:t>
            </w:r>
            <w:r>
              <w:rPr/>
              <w:br/>
              <w:t>Test the revised agent on fresh concepts using SME-aligned measures.</w:t>
            </w:r>
          </w:p>
        </w:tc>
      </w:tr>
      <w:tr>
        <w:trPr/>
        <w:tc>
          <w:tcPr>
            <w:tcW w:w="5134" w:type="dxa"/>
            <w:tcBorders/>
            <w:vAlign w:val="center"/>
          </w:tcPr>
          <w:p>
            <w:pPr>
              <w:pStyle w:val="TableContents"/>
              <w:keepNext w:val="true"/>
              <w:bidi w:val="0"/>
              <w:spacing w:before="0" w:after="283"/>
              <w:jc w:val="start"/>
              <w:rPr/>
            </w:pPr>
            <w:r>
              <w:rPr>
                <w:b/>
              </w:rPr>
              <w:t>Quality gate not met:</w:t>
            </w:r>
            <w:r>
              <w:rPr/>
              <w:t xml:space="preserve"> repeat from step 1 with another fresh subset. ↺</w:t>
            </w:r>
          </w:p>
        </w:tc>
      </w:tr>
      <w:tr>
        <w:trPr/>
        <w:tc>
          <w:tcPr>
            <w:tcW w:w="5134" w:type="dxa"/>
            <w:tcBorders/>
            <w:vAlign w:val="center"/>
          </w:tcPr>
          <w:p>
            <w:pPr>
              <w:pStyle w:val="TableContents"/>
              <w:bidi w:val="0"/>
              <w:spacing w:before="0" w:after="283"/>
              <w:jc w:val="start"/>
              <w:rPr/>
            </w:pPr>
            <w:r>
              <w:rPr>
                <w:b/>
              </w:rPr>
              <w:t>Quality gate met:</w:t>
            </w:r>
            <w:r>
              <w:rPr/>
              <w:t xml:space="preserve"> freeze the versioned flow → broader production run → final SME sign-off.</w:t>
            </w:r>
          </w:p>
        </w:tc>
      </w:tr>
    </w:tbl>
    <w:p>
      <w:pPr>
        <w:pStyle w:val="BodyText"/>
        <w:bidi w:val="0"/>
        <w:jc w:val="start"/>
        <w:rPr/>
      </w:pPr>
      <w:r>
        <w:rPr/>
        <w:t>The capability can be made available in two complementary ways:</w:t>
      </w:r>
    </w:p>
    <w:p>
      <w:pPr>
        <w:pStyle w:val="BodyText"/>
        <w:numPr>
          <w:ilvl w:val="0"/>
          <w:numId w:val="2"/>
        </w:numPr>
        <w:tabs>
          <w:tab w:val="clear" w:pos="1134"/>
          <w:tab w:val="left" w:pos="709" w:leader="none"/>
        </w:tabs>
        <w:bidi w:val="0"/>
        <w:spacing w:before="0" w:after="0"/>
        <w:ind w:hanging="283" w:start="709"/>
        <w:jc w:val="start"/>
        <w:rPr/>
      </w:pPr>
      <w:r>
        <w:rPr/>
        <w:t xml:space="preserve">an </w:t>
      </w:r>
      <w:r>
        <w:rPr>
          <w:rStyle w:val="Strong"/>
        </w:rPr>
        <w:t>open-source, self-hosted edition</w:t>
      </w:r>
      <w:r>
        <w:rPr/>
        <w:t xml:space="preserve">, where customers receive the project and connect their own local or API models; and </w:t>
      </w:r>
    </w:p>
    <w:p>
      <w:pPr>
        <w:pStyle w:val="BodyText"/>
        <w:numPr>
          <w:ilvl w:val="0"/>
          <w:numId w:val="2"/>
        </w:numPr>
        <w:tabs>
          <w:tab w:val="clear" w:pos="1134"/>
          <w:tab w:val="left" w:pos="709" w:leader="none"/>
        </w:tabs>
        <w:bidi w:val="0"/>
        <w:ind w:hanging="283" w:start="709"/>
        <w:jc w:val="start"/>
        <w:rPr/>
      </w:pPr>
      <w:r>
        <w:rPr/>
        <w:t xml:space="preserve">a </w:t>
      </w:r>
      <w:r>
        <w:rPr>
          <w:rStyle w:val="Strong"/>
        </w:rPr>
        <w:t>managed service</w:t>
      </w:r>
      <w:r>
        <w:rPr/>
        <w:t xml:space="preserve">, where we operate the platform and supply cloud inference, charging for onboarding, platform access, usage, optional optimisation, and any human services. </w:t>
      </w:r>
    </w:p>
    <w:p>
      <w:pPr>
        <w:pStyle w:val="Heading2"/>
        <w:bidi w:val="0"/>
        <w:ind w:hanging="0" w:start="0" w:end="0"/>
        <w:jc w:val="start"/>
        <w:rPr/>
      </w:pPr>
      <w:bookmarkStart w:id="1" w:name="1-the-capability-in-one-view"/>
      <w:bookmarkEnd w:id="1"/>
      <w:r>
        <w:rPr/>
        <w:t>1. The capability in one view</w:t>
      </w:r>
    </w:p>
    <w:p>
      <w:pPr>
        <w:pStyle w:val="BodyText"/>
        <w:bidi w:val="0"/>
        <w:jc w:val="start"/>
        <w:rPr/>
      </w:pPr>
      <w:r>
        <w:rPr/>
        <w:t>The workbench combines six functions that would otherwise be separate pieces of work:</w:t>
      </w:r>
    </w:p>
    <w:p>
      <w:pPr>
        <w:pStyle w:val="BodyText"/>
        <w:numPr>
          <w:ilvl w:val="0"/>
          <w:numId w:val="3"/>
        </w:numPr>
        <w:tabs>
          <w:tab w:val="clear" w:pos="1134"/>
          <w:tab w:val="left" w:pos="709" w:leader="none"/>
        </w:tabs>
        <w:bidi w:val="0"/>
        <w:spacing w:before="0" w:after="0"/>
        <w:ind w:hanging="283" w:start="709"/>
        <w:jc w:val="start"/>
        <w:rPr/>
      </w:pPr>
      <w:r>
        <w:rPr>
          <w:rStyle w:val="Strong"/>
        </w:rPr>
        <w:t>Project setup</w:t>
      </w:r>
      <w:r>
        <w:rPr/>
        <w:t xml:space="preserve"> — the reusable </w:t>
      </w:r>
      <w:r>
        <w:rPr>
          <w:rStyle w:val="SourceText"/>
        </w:rPr>
        <w:t>translation_process</w:t>
      </w:r>
      <w:r>
        <w:rPr/>
        <w:t xml:space="preserve"> template installs the plan, gates, flows, starter rules, source definitions, and methodological safeguards. </w:t>
      </w:r>
    </w:p>
    <w:p>
      <w:pPr>
        <w:pStyle w:val="BodyText"/>
        <w:numPr>
          <w:ilvl w:val="0"/>
          <w:numId w:val="3"/>
        </w:numPr>
        <w:tabs>
          <w:tab w:val="clear" w:pos="1134"/>
          <w:tab w:val="left" w:pos="709" w:leader="none"/>
        </w:tabs>
        <w:bidi w:val="0"/>
        <w:spacing w:before="0" w:after="0"/>
        <w:ind w:hanging="283" w:start="709"/>
        <w:jc w:val="start"/>
        <w:rPr/>
      </w:pPr>
      <w:r>
        <w:rPr>
          <w:rStyle w:val="Strong"/>
        </w:rPr>
        <w:t>Resource ingestion</w:t>
      </w:r>
      <w:r>
        <w:rPr/>
        <w:t xml:space="preserve"> — SNOMED CT content and available language resources are registered with their provenance and licence conditions. </w:t>
      </w:r>
    </w:p>
    <w:p>
      <w:pPr>
        <w:pStyle w:val="BodyText"/>
        <w:numPr>
          <w:ilvl w:val="0"/>
          <w:numId w:val="3"/>
        </w:numPr>
        <w:tabs>
          <w:tab w:val="clear" w:pos="1134"/>
          <w:tab w:val="left" w:pos="709" w:leader="none"/>
        </w:tabs>
        <w:bidi w:val="0"/>
        <w:spacing w:before="0" w:after="0"/>
        <w:ind w:hanging="283" w:start="709"/>
        <w:jc w:val="start"/>
        <w:rPr/>
      </w:pPr>
      <w:r>
        <w:rPr>
          <w:rStyle w:val="Strong"/>
        </w:rPr>
        <w:t>Semantic retrieval</w:t>
      </w:r>
      <w:r>
        <w:rPr/>
        <w:t xml:space="preserve"> — bilingual pairs and other approved contextual material are indexed so the translation agent sees relevant examples at translation time. </w:t>
      </w:r>
    </w:p>
    <w:p>
      <w:pPr>
        <w:pStyle w:val="BodyText"/>
        <w:numPr>
          <w:ilvl w:val="0"/>
          <w:numId w:val="3"/>
        </w:numPr>
        <w:tabs>
          <w:tab w:val="clear" w:pos="1134"/>
          <w:tab w:val="left" w:pos="709" w:leader="none"/>
        </w:tabs>
        <w:bidi w:val="0"/>
        <w:spacing w:before="0" w:after="0"/>
        <w:ind w:hanging="283" w:start="709"/>
        <w:jc w:val="start"/>
        <w:rPr/>
      </w:pPr>
      <w:r>
        <w:rPr>
          <w:rStyle w:val="Strong"/>
        </w:rPr>
        <w:t>Controlled translation research</w:t>
      </w:r>
      <w:r>
        <w:rPr/>
        <w:t xml:space="preserve"> — models, prompts, context construction, agent roles, routing, quality checks, parameters, datasets, and whole flow designs are explicit and versioned. </w:t>
      </w:r>
    </w:p>
    <w:p>
      <w:pPr>
        <w:pStyle w:val="BodyText"/>
        <w:numPr>
          <w:ilvl w:val="0"/>
          <w:numId w:val="3"/>
        </w:numPr>
        <w:tabs>
          <w:tab w:val="clear" w:pos="1134"/>
          <w:tab w:val="left" w:pos="709" w:leader="none"/>
        </w:tabs>
        <w:bidi w:val="0"/>
        <w:spacing w:before="0" w:after="0"/>
        <w:ind w:hanging="283" w:start="709"/>
        <w:jc w:val="start"/>
        <w:rPr/>
      </w:pPr>
      <w:r>
        <w:rPr>
          <w:rStyle w:val="Strong"/>
        </w:rPr>
        <w:t>SME feedback and optimisation</w:t>
      </w:r>
      <w:r>
        <w:rPr/>
        <w:t xml:space="preserve"> — review creates canonical gold data and editorial rulings; the evidence can improve prompts, retrieval, rules, evaluators, or the wider agentic process. </w:t>
      </w:r>
    </w:p>
    <w:p>
      <w:pPr>
        <w:pStyle w:val="BodyText"/>
        <w:numPr>
          <w:ilvl w:val="0"/>
          <w:numId w:val="3"/>
        </w:numPr>
        <w:tabs>
          <w:tab w:val="clear" w:pos="1134"/>
          <w:tab w:val="left" w:pos="709" w:leader="none"/>
        </w:tabs>
        <w:bidi w:val="0"/>
        <w:ind w:hanging="283" w:start="709"/>
        <w:jc w:val="start"/>
        <w:rPr/>
      </w:pPr>
      <w:r>
        <w:rPr>
          <w:rStyle w:val="Strong"/>
        </w:rPr>
        <w:t>Quality assurance and delivery</w:t>
      </w:r>
      <w:r>
        <w:rPr/>
        <w:t xml:space="preserve"> — automated detectors, blinded samples, audit trails, promotion gates, and SME sign-off protect the release. </w:t>
      </w:r>
    </w:p>
    <w:p>
      <w:pPr>
        <w:pStyle w:val="BodyText"/>
        <w:bidi w:val="0"/>
        <w:jc w:val="start"/>
        <w:rPr/>
      </w:pPr>
      <w:r>
        <w:rPr/>
        <w:t>Every material number should come from a tracked run. Every promoted result should identify the source data, code, model, prompt, style guide, and rules that produced it.</w:t>
      </w:r>
    </w:p>
    <w:p>
      <w:pPr>
        <w:pStyle w:val="Heading2"/>
        <w:bidi w:val="0"/>
        <w:ind w:hanging="0" w:start="0" w:end="0"/>
        <w:jc w:val="start"/>
        <w:rPr/>
      </w:pPr>
      <w:bookmarkStart w:id="2" w:name="2-what-is-reusable-and-what-each-languag"/>
      <w:bookmarkEnd w:id="2"/>
      <w:r>
        <w:rPr/>
        <w:t>2. What is reusable and what each language supplies</w:t>
      </w:r>
    </w:p>
    <w:tbl>
      <w:tblPr>
        <w:tblW w:w="5134" w:type="dxa"/>
        <w:jc w:val="start"/>
        <w:tblInd w:w="0" w:type="dxa"/>
        <w:tblLayout w:type="fixed"/>
        <w:tblCellMar>
          <w:top w:w="28" w:type="dxa"/>
          <w:start w:w="28" w:type="dxa"/>
          <w:bottom w:w="28" w:type="dxa"/>
          <w:end w:w="28" w:type="dxa"/>
        </w:tblCellMar>
      </w:tblPr>
      <w:tblGrid>
        <w:gridCol w:w="2587"/>
        <w:gridCol w:w="2547"/>
      </w:tblGrid>
      <w:tr>
        <w:trPr>
          <w:tblHeader w:val="true"/>
        </w:trPr>
        <w:tc>
          <w:tcPr>
            <w:tcW w:w="2587" w:type="dxa"/>
            <w:tcBorders/>
            <w:vAlign w:val="center"/>
          </w:tcPr>
          <w:p>
            <w:pPr>
              <w:pStyle w:val="TableHeading"/>
              <w:suppressLineNumbers/>
              <w:shd w:fill="0A6074" w:val="clear"/>
              <w:bidi w:val="0"/>
              <w:spacing w:before="0" w:after="283"/>
              <w:jc w:val="start"/>
              <w:rPr/>
            </w:pPr>
            <w:r>
              <w:rPr/>
              <w:t>Reused for every language</w:t>
            </w:r>
          </w:p>
        </w:tc>
        <w:tc>
          <w:tcPr>
            <w:tcW w:w="2547" w:type="dxa"/>
            <w:tcBorders/>
            <w:vAlign w:val="center"/>
          </w:tcPr>
          <w:p>
            <w:pPr>
              <w:pStyle w:val="TableHeading"/>
              <w:suppressLineNumbers/>
              <w:shd w:fill="0A6074" w:val="clear"/>
              <w:bidi w:val="0"/>
              <w:spacing w:before="0" w:after="283"/>
              <w:jc w:val="start"/>
              <w:rPr/>
            </w:pPr>
            <w:r>
              <w:rPr/>
              <w:t>Supplied or developed for each language</w:t>
            </w:r>
          </w:p>
        </w:tc>
      </w:tr>
      <w:tr>
        <w:trPr/>
        <w:tc>
          <w:tcPr>
            <w:tcW w:w="2587" w:type="dxa"/>
            <w:tcBorders/>
            <w:vAlign w:val="center"/>
          </w:tcPr>
          <w:p>
            <w:pPr>
              <w:pStyle w:val="TableContents"/>
              <w:bidi w:val="0"/>
              <w:spacing w:before="0" w:after="283"/>
              <w:jc w:val="start"/>
              <w:rPr/>
            </w:pPr>
            <w:r>
              <w:rPr/>
              <w:t>Project template, plans, gates, and workflow engine</w:t>
            </w:r>
          </w:p>
        </w:tc>
        <w:tc>
          <w:tcPr>
            <w:tcW w:w="2547" w:type="dxa"/>
            <w:tcBorders/>
            <w:vAlign w:val="center"/>
          </w:tcPr>
          <w:p>
            <w:pPr>
              <w:pStyle w:val="TableContents"/>
              <w:bidi w:val="0"/>
              <w:spacing w:before="0" w:after="283"/>
              <w:jc w:val="start"/>
              <w:rPr/>
            </w:pPr>
            <w:r>
              <w:rPr/>
              <w:t>Licensed SNOMED CT release and chosen hierarchy scope</w:t>
            </w:r>
          </w:p>
        </w:tc>
      </w:tr>
      <w:tr>
        <w:trPr/>
        <w:tc>
          <w:tcPr>
            <w:tcW w:w="2587" w:type="dxa"/>
            <w:tcBorders/>
            <w:vAlign w:val="center"/>
          </w:tcPr>
          <w:p>
            <w:pPr>
              <w:pStyle w:val="TableContents"/>
              <w:bidi w:val="0"/>
              <w:spacing w:before="0" w:after="283"/>
              <w:jc w:val="start"/>
              <w:rPr/>
            </w:pPr>
            <w:r>
              <w:rPr/>
              <w:t>Import and semantic-indexing machinery</w:t>
            </w:r>
          </w:p>
        </w:tc>
        <w:tc>
          <w:tcPr>
            <w:tcW w:w="2547" w:type="dxa"/>
            <w:tcBorders/>
            <w:vAlign w:val="center"/>
          </w:tcPr>
          <w:p>
            <w:pPr>
              <w:pStyle w:val="TableContents"/>
              <w:bidi w:val="0"/>
              <w:spacing w:before="0" w:after="283"/>
              <w:jc w:val="start"/>
              <w:rPr/>
            </w:pPr>
            <w:r>
              <w:rPr/>
              <w:t>Existing extension, translation pairs, glossaries, mappings, or suitable clinical narrative</w:t>
            </w:r>
          </w:p>
        </w:tc>
      </w:tr>
      <w:tr>
        <w:trPr/>
        <w:tc>
          <w:tcPr>
            <w:tcW w:w="2587" w:type="dxa"/>
            <w:tcBorders/>
            <w:vAlign w:val="center"/>
          </w:tcPr>
          <w:p>
            <w:pPr>
              <w:pStyle w:val="TableContents"/>
              <w:bidi w:val="0"/>
              <w:spacing w:before="0" w:after="283"/>
              <w:jc w:val="start"/>
              <w:rPr/>
            </w:pPr>
            <w:r>
              <w:rPr/>
              <w:t>Model registry for local and API endpoints</w:t>
            </w:r>
          </w:p>
        </w:tc>
        <w:tc>
          <w:tcPr>
            <w:tcW w:w="2547" w:type="dxa"/>
            <w:tcBorders/>
            <w:vAlign w:val="center"/>
          </w:tcPr>
          <w:p>
            <w:pPr>
              <w:pStyle w:val="TableContents"/>
              <w:bidi w:val="0"/>
              <w:spacing w:before="0" w:after="283"/>
              <w:jc w:val="start"/>
              <w:rPr/>
            </w:pPr>
            <w:r>
              <w:rPr/>
              <w:t>A base translation guide and target-language conventions</w:t>
            </w:r>
          </w:p>
        </w:tc>
      </w:tr>
      <w:tr>
        <w:trPr/>
        <w:tc>
          <w:tcPr>
            <w:tcW w:w="2587" w:type="dxa"/>
            <w:tcBorders/>
            <w:vAlign w:val="center"/>
          </w:tcPr>
          <w:p>
            <w:pPr>
              <w:pStyle w:val="TableContents"/>
              <w:bidi w:val="0"/>
              <w:spacing w:before="0" w:after="283"/>
              <w:jc w:val="start"/>
              <w:rPr/>
            </w:pPr>
            <w:r>
              <w:rPr/>
              <w:t>Translation, evaluation, QA, review, and repair flows</w:t>
            </w:r>
          </w:p>
        </w:tc>
        <w:tc>
          <w:tcPr>
            <w:tcW w:w="2547" w:type="dxa"/>
            <w:tcBorders/>
            <w:vAlign w:val="center"/>
          </w:tcPr>
          <w:p>
            <w:pPr>
              <w:pStyle w:val="TableContents"/>
              <w:bidi w:val="0"/>
              <w:spacing w:before="0" w:after="283"/>
              <w:jc w:val="start"/>
              <w:rPr/>
            </w:pPr>
            <w:r>
              <w:rPr/>
              <w:t>SME-adjudicated translations for optimisation and held-out evaluation</w:t>
            </w:r>
          </w:p>
        </w:tc>
      </w:tr>
      <w:tr>
        <w:trPr/>
        <w:tc>
          <w:tcPr>
            <w:tcW w:w="2587" w:type="dxa"/>
            <w:tcBorders/>
            <w:vAlign w:val="center"/>
          </w:tcPr>
          <w:p>
            <w:pPr>
              <w:pStyle w:val="TableContents"/>
              <w:bidi w:val="0"/>
              <w:spacing w:before="0" w:after="283"/>
              <w:jc w:val="start"/>
              <w:rPr/>
            </w:pPr>
            <w:r>
              <w:rPr/>
              <w:t>GEPA prompt-optimisation workflow</w:t>
            </w:r>
          </w:p>
        </w:tc>
        <w:tc>
          <w:tcPr>
            <w:tcW w:w="2547" w:type="dxa"/>
            <w:tcBorders/>
            <w:vAlign w:val="center"/>
          </w:tcPr>
          <w:p>
            <w:pPr>
              <w:pStyle w:val="TableContents"/>
              <w:bidi w:val="0"/>
              <w:spacing w:before="0" w:after="283"/>
              <w:jc w:val="start"/>
              <w:rPr/>
            </w:pPr>
            <w:r>
              <w:rPr/>
              <w:t>Terminology SME time and authority to set the quality bar</w:t>
            </w:r>
          </w:p>
        </w:tc>
      </w:tr>
      <w:tr>
        <w:trPr/>
        <w:tc>
          <w:tcPr>
            <w:tcW w:w="2587" w:type="dxa"/>
            <w:tcBorders/>
            <w:vAlign w:val="center"/>
          </w:tcPr>
          <w:p>
            <w:pPr>
              <w:pStyle w:val="TableContents"/>
              <w:bidi w:val="0"/>
              <w:spacing w:before="0" w:after="283"/>
              <w:jc w:val="start"/>
              <w:rPr/>
            </w:pPr>
            <w:r>
              <w:rPr/>
              <w:t>Run tracking, provenance, and audit trail</w:t>
            </w:r>
          </w:p>
        </w:tc>
        <w:tc>
          <w:tcPr>
            <w:tcW w:w="2547" w:type="dxa"/>
            <w:tcBorders/>
            <w:vAlign w:val="center"/>
          </w:tcPr>
          <w:p>
            <w:pPr>
              <w:pStyle w:val="TableContents"/>
              <w:bidi w:val="0"/>
              <w:spacing w:before="0" w:after="283"/>
              <w:jc w:val="start"/>
              <w:rPr/>
            </w:pPr>
            <w:r>
              <w:rPr/>
              <w:t>Language-specific rules, glossary, and curated retrieval pool as they mature</w:t>
            </w:r>
          </w:p>
        </w:tc>
      </w:tr>
      <w:tr>
        <w:trPr/>
        <w:tc>
          <w:tcPr>
            <w:tcW w:w="2587" w:type="dxa"/>
            <w:tcBorders/>
            <w:vAlign w:val="center"/>
          </w:tcPr>
          <w:p>
            <w:pPr>
              <w:pStyle w:val="TableContents"/>
              <w:bidi w:val="0"/>
              <w:spacing w:before="0" w:after="283"/>
              <w:jc w:val="start"/>
              <w:rPr/>
            </w:pPr>
            <w:r>
              <w:rPr/>
              <w:t>Tool interface through which an AI assistant can operate the research workflow</w:t>
            </w:r>
          </w:p>
        </w:tc>
        <w:tc>
          <w:tcPr>
            <w:tcW w:w="2547" w:type="dxa"/>
            <w:tcBorders/>
            <w:vAlign w:val="center"/>
          </w:tcPr>
          <w:p>
            <w:pPr>
              <w:pStyle w:val="TableContents"/>
              <w:bidi w:val="0"/>
              <w:spacing w:before="0" w:after="283"/>
              <w:jc w:val="start"/>
              <w:rPr/>
            </w:pPr>
            <w:r>
              <w:rPr/>
              <w:t>Decisions on licensing, ownership, residency, publication, and maintenance</w:t>
            </w:r>
          </w:p>
        </w:tc>
      </w:tr>
    </w:tbl>
    <w:p>
      <w:pPr>
        <w:pStyle w:val="BodyText"/>
        <w:bidi w:val="0"/>
        <w:jc w:val="start"/>
        <w:rPr/>
      </w:pPr>
      <w:r>
        <w:rPr/>
        <w:t>This separation is why the platform can scale. The engineering method is reused; the language receives the data and expert attention it genuinely needs.</w:t>
      </w:r>
    </w:p>
    <w:p>
      <w:pPr>
        <w:pStyle w:val="BodyText"/>
        <w:bidi w:val="0"/>
        <w:jc w:val="start"/>
        <w:rPr/>
      </w:pPr>
      <w:r>
        <w:rPr/>
        <w:t>Different parts of SNOMED CT may also be treated as separate research scopes. Procedures, findings, substances, and organisms follow different naming conventions. A smaller guide, exemplar pool, and gold set for one hierarchy section can outperform one oversized prompt covering every domain. Sections can be researched and promoted on different timetables, beginning where clinical value is highest.</w:t>
      </w:r>
    </w:p>
    <w:p>
      <w:pPr>
        <w:pStyle w:val="Heading2"/>
        <w:bidi w:val="0"/>
        <w:ind w:hanging="0" w:start="0" w:end="0"/>
        <w:jc w:val="start"/>
        <w:rPr/>
      </w:pPr>
      <w:bookmarkStart w:id="3" w:name="3-the-end-to-end-language-process"/>
      <w:bookmarkEnd w:id="3"/>
      <w:r>
        <w:rPr/>
        <w:t>3. The end-to-end language process</w:t>
      </w:r>
    </w:p>
    <w:p>
      <w:pPr>
        <w:pStyle w:val="Heading3"/>
        <w:bidi w:val="0"/>
        <w:ind w:hanging="0" w:start="0" w:end="0"/>
        <w:jc w:val="start"/>
        <w:rPr/>
      </w:pPr>
      <w:bookmarkStart w:id="4" w:name="step-1-define-and-provision-the-project"/>
      <w:bookmarkEnd w:id="4"/>
      <w:r>
        <w:rPr/>
        <w:t>Step 1 — Define and provision the project</w:t>
      </w:r>
    </w:p>
    <w:p>
      <w:pPr>
        <w:pStyle w:val="BodyText"/>
        <w:bidi w:val="0"/>
        <w:jc w:val="start"/>
        <w:rPr/>
      </w:pPr>
      <w:r>
        <w:rPr/>
        <w:t>Choose a coherent hierarchy section or clinical domain rather than beginning with the whole terminology. Record the SNOMED CT edition, release date, modules, relationships, target language, model configuration, and intended publication route.</w:t>
      </w:r>
    </w:p>
    <w:p>
      <w:pPr>
        <w:pStyle w:val="BodyText"/>
        <w:bidi w:val="0"/>
        <w:jc w:val="start"/>
        <w:rPr/>
      </w:pPr>
      <w:r>
        <w:rPr/>
        <w:t xml:space="preserve">Seed the project from </w:t>
      </w:r>
      <w:r>
        <w:rPr>
          <w:rStyle w:val="SourceText"/>
        </w:rPr>
        <w:t>translation_process</w:t>
      </w:r>
      <w:r>
        <w:rPr/>
        <w:t>. This installs the default SME feedback workflow as a working reference that the research team can clone, extend, or replace with an evidence-backed alternative. Its first gate remains blocked until the terminology, usable translation resources, SME commitment, and domain slice are available.</w:t>
      </w:r>
    </w:p>
    <w:p>
      <w:pPr>
        <w:pStyle w:val="Heading3"/>
        <w:bidi w:val="0"/>
        <w:ind w:hanging="0" w:start="0" w:end="0"/>
        <w:jc w:val="start"/>
        <w:rPr/>
      </w:pPr>
      <w:bookmarkStart w:id="5" w:name="step-2-bring-the-available-language-reso"/>
      <w:bookmarkEnd w:id="5"/>
      <w:r>
        <w:rPr/>
        <w:t>Step 2 — Bring the available language resources</w:t>
      </w:r>
    </w:p>
    <w:p>
      <w:pPr>
        <w:pStyle w:val="BodyText"/>
        <w:bidi w:val="0"/>
        <w:jc w:val="start"/>
        <w:rPr/>
      </w:pPr>
      <w:r>
        <w:rPr/>
        <w:t>Useful starting material may include an incomplete national extension, approved translation pairs, terminology mappings, medical dictionaries, standard vocabularies, or representative clinical writing. Each source must have suitable reuse rights and clear provenance.</w:t>
      </w:r>
    </w:p>
    <w:p>
      <w:pPr>
        <w:pStyle w:val="BodyText"/>
        <w:bidi w:val="0"/>
        <w:jc w:val="start"/>
        <w:rPr/>
      </w:pPr>
      <w:r>
        <w:rPr/>
        <w:t>Translation pairs are curated and indexed semantically. When the agent receives an English concept term, it retrieves the closest approved examples and includes them with the style guide, applicable rules, and available SNOMED CT attributes. This gives the model language-specific context without treating the most frequent wording as automatically canonical.</w:t>
      </w:r>
    </w:p>
    <w:p>
      <w:pPr>
        <w:pStyle w:val="BodyText"/>
        <w:bidi w:val="0"/>
        <w:jc w:val="start"/>
        <w:rPr/>
      </w:pPr>
      <w:r>
        <w:rPr/>
        <w:t>A greenfield language needs an explicit seed-pool activity. An empty exemplar pool is an honest starting state, but it is not enough for a retrieval-assisted production run.</w:t>
      </w:r>
    </w:p>
    <w:p>
      <w:pPr>
        <w:pStyle w:val="Heading3"/>
        <w:bidi w:val="0"/>
        <w:ind w:hanging="0" w:start="0" w:end="0"/>
        <w:jc w:val="start"/>
        <w:rPr/>
      </w:pPr>
      <w:bookmarkStart w:id="6" w:name="step-3-establish-a-baseline"/>
      <w:bookmarkEnd w:id="6"/>
      <w:r>
        <w:rPr/>
        <w:t>Step 3 — Establish a baseline</w:t>
      </w:r>
    </w:p>
    <w:p>
      <w:pPr>
        <w:pStyle w:val="BodyText"/>
        <w:bidi w:val="0"/>
        <w:jc w:val="start"/>
        <w:rPr/>
      </w:pPr>
      <w:r>
        <w:rPr/>
        <w:t>Supply a draft translation guide. It can be short: script, spacing, abbreviations, format, and known terminology policy. Detailed rules should emerge from SME evidence rather than being guessed in advance.</w:t>
      </w:r>
    </w:p>
    <w:p>
      <w:pPr>
        <w:pStyle w:val="BodyText"/>
        <w:bidi w:val="0"/>
        <w:jc w:val="start"/>
        <w:rPr/>
      </w:pPr>
      <w:r>
        <w:rPr/>
        <w:t>Translate a representative pilot subset spanning hierarchy positions, structural complexity, and expected difficulty. Run automated checks for rule violations, lost modifiers, suspicious transliteration, hierarchy inconsistency, and collisions where distinct concepts receive the same translation.</w:t>
      </w:r>
    </w:p>
    <w:p>
      <w:pPr>
        <w:pStyle w:val="BodyText"/>
        <w:bidi w:val="0"/>
        <w:jc w:val="start"/>
        <w:rPr/>
      </w:pPr>
      <w:r>
        <w:rPr/>
        <w:t>The model is swappable. A local open-weight model can perform the routine bulk work; uncertain concepts can be routed to a stronger commercial endpoint. Because every configuration is scored, the local/API choice is an evidence-based cost and quality decision rather than a fixed architectural assumption.</w:t>
      </w:r>
    </w:p>
    <w:p>
      <w:pPr>
        <w:pStyle w:val="Heading3"/>
        <w:bidi w:val="0"/>
        <w:ind w:hanging="0" w:start="0" w:end="0"/>
        <w:jc w:val="start"/>
        <w:rPr/>
      </w:pPr>
      <w:bookmarkStart w:id="7" w:name="step-4-obtain-structured-sme-feedback"/>
      <w:bookmarkEnd w:id="7"/>
      <w:r>
        <w:rPr/>
        <w:t>Step 4 — Obtain structured SME feedback</w:t>
      </w:r>
    </w:p>
    <w:p>
      <w:pPr>
        <w:pStyle w:val="BodyText"/>
        <w:bidi w:val="0"/>
        <w:jc w:val="start"/>
        <w:rPr/>
      </w:pPr>
      <w:r>
        <w:rPr/>
        <w:t>Package a blinded, stratified sample—typically about 100–120 concepts—and ask the SME to provide:</w:t>
      </w:r>
    </w:p>
    <w:p>
      <w:pPr>
        <w:pStyle w:val="BodyText"/>
        <w:numPr>
          <w:ilvl w:val="0"/>
          <w:numId w:val="4"/>
        </w:numPr>
        <w:tabs>
          <w:tab w:val="clear" w:pos="1134"/>
          <w:tab w:val="left" w:pos="709" w:leader="none"/>
        </w:tabs>
        <w:bidi w:val="0"/>
        <w:spacing w:before="0" w:after="0"/>
        <w:ind w:hanging="283" w:start="709"/>
        <w:jc w:val="start"/>
        <w:rPr/>
      </w:pPr>
      <w:r>
        <w:rPr/>
        <w:t xml:space="preserve">a rating such as perfect/canonical, acceptable, partial, or wrong; </w:t>
      </w:r>
    </w:p>
    <w:p>
      <w:pPr>
        <w:pStyle w:val="BodyText"/>
        <w:numPr>
          <w:ilvl w:val="0"/>
          <w:numId w:val="4"/>
        </w:numPr>
        <w:tabs>
          <w:tab w:val="clear" w:pos="1134"/>
          <w:tab w:val="left" w:pos="709" w:leader="none"/>
        </w:tabs>
        <w:bidi w:val="0"/>
        <w:spacing w:before="0" w:after="0"/>
        <w:ind w:hanging="283" w:start="709"/>
        <w:jc w:val="start"/>
        <w:rPr/>
      </w:pPr>
      <w:r>
        <w:rPr/>
        <w:t xml:space="preserve">the canonical translation where correction is needed; </w:t>
      </w:r>
    </w:p>
    <w:p>
      <w:pPr>
        <w:pStyle w:val="BodyText"/>
        <w:numPr>
          <w:ilvl w:val="0"/>
          <w:numId w:val="4"/>
        </w:numPr>
        <w:tabs>
          <w:tab w:val="clear" w:pos="1134"/>
          <w:tab w:val="left" w:pos="709" w:leader="none"/>
        </w:tabs>
        <w:bidi w:val="0"/>
        <w:spacing w:before="0" w:after="0"/>
        <w:ind w:hanging="283" w:start="709"/>
        <w:jc w:val="start"/>
        <w:rPr/>
      </w:pPr>
      <w:r>
        <w:rPr/>
        <w:t xml:space="preserve">accepted synonyms where useful; and </w:t>
      </w:r>
    </w:p>
    <w:p>
      <w:pPr>
        <w:pStyle w:val="BodyText"/>
        <w:numPr>
          <w:ilvl w:val="0"/>
          <w:numId w:val="4"/>
        </w:numPr>
        <w:tabs>
          <w:tab w:val="clear" w:pos="1134"/>
          <w:tab w:val="left" w:pos="709" w:leader="none"/>
        </w:tabs>
        <w:bidi w:val="0"/>
        <w:ind w:hanging="283" w:start="709"/>
        <w:jc w:val="start"/>
        <w:rPr/>
      </w:pPr>
      <w:r>
        <w:rPr/>
        <w:t xml:space="preserve">answers to a small number of cross-cutting adjudication questions. </w:t>
      </w:r>
    </w:p>
    <w:p>
      <w:pPr>
        <w:pStyle w:val="BodyText"/>
        <w:bidi w:val="0"/>
        <w:jc w:val="start"/>
        <w:rPr/>
      </w:pPr>
      <w:r>
        <w:rPr/>
        <w:t>The SME remains the authority. Machine output never overwrites an adjudicated row. If a newer ruling changes an older decision, supersession is recorded and the affected rows are shown for confirmation.</w:t>
      </w:r>
    </w:p>
    <w:p>
      <w:pPr>
        <w:pStyle w:val="Heading3"/>
        <w:bidi w:val="0"/>
        <w:ind w:hanging="0" w:start="0" w:end="0"/>
        <w:jc w:val="start"/>
        <w:rPr/>
      </w:pPr>
      <w:bookmarkStart w:id="8" w:name="step-5-turn-review-into-reusable-languag"/>
      <w:bookmarkEnd w:id="8"/>
      <w:r>
        <w:rPr/>
        <w:t>Step 5 — Turn review into reusable language assets</w:t>
      </w:r>
    </w:p>
    <w:p>
      <w:pPr>
        <w:pStyle w:val="BodyText"/>
        <w:bidi w:val="0"/>
        <w:jc w:val="start"/>
        <w:rPr/>
      </w:pPr>
      <w:r>
        <w:rPr/>
        <w:t>Ingest the returned review through a tracked flow. Feedback is encoded in the most durable form available:</w:t>
      </w:r>
    </w:p>
    <w:p>
      <w:pPr>
        <w:pStyle w:val="BodyText"/>
        <w:numPr>
          <w:ilvl w:val="0"/>
          <w:numId w:val="5"/>
        </w:numPr>
        <w:tabs>
          <w:tab w:val="clear" w:pos="1134"/>
          <w:tab w:val="left" w:pos="709" w:leader="none"/>
        </w:tabs>
        <w:bidi w:val="0"/>
        <w:spacing w:before="0" w:after="0"/>
        <w:ind w:hanging="283" w:start="709"/>
        <w:jc w:val="start"/>
        <w:rPr/>
      </w:pPr>
      <w:r>
        <w:rPr/>
        <w:t xml:space="preserve">canonical terms and accepted variants enter the adjudicated gold set; </w:t>
      </w:r>
    </w:p>
    <w:p>
      <w:pPr>
        <w:pStyle w:val="BodyText"/>
        <w:numPr>
          <w:ilvl w:val="0"/>
          <w:numId w:val="5"/>
        </w:numPr>
        <w:tabs>
          <w:tab w:val="clear" w:pos="1134"/>
          <w:tab w:val="left" w:pos="709" w:leader="none"/>
        </w:tabs>
        <w:bidi w:val="0"/>
        <w:spacing w:before="0" w:after="0"/>
        <w:ind w:hanging="283" w:start="709"/>
        <w:jc w:val="start"/>
        <w:rPr/>
      </w:pPr>
      <w:r>
        <w:rPr/>
        <w:t xml:space="preserve">deterministic requirements become hard rules and safe repairs; </w:t>
      </w:r>
    </w:p>
    <w:p>
      <w:pPr>
        <w:pStyle w:val="BodyText"/>
        <w:numPr>
          <w:ilvl w:val="0"/>
          <w:numId w:val="5"/>
        </w:numPr>
        <w:tabs>
          <w:tab w:val="clear" w:pos="1134"/>
          <w:tab w:val="left" w:pos="709" w:leader="none"/>
        </w:tabs>
        <w:bidi w:val="0"/>
        <w:spacing w:before="0" w:after="0"/>
        <w:ind w:hanging="283" w:start="709"/>
        <w:jc w:val="start"/>
        <w:rPr/>
      </w:pPr>
      <w:r>
        <w:rPr/>
        <w:t xml:space="preserve">editorial and word-order guidance updates the style guide; </w:t>
      </w:r>
    </w:p>
    <w:p>
      <w:pPr>
        <w:pStyle w:val="BodyText"/>
        <w:numPr>
          <w:ilvl w:val="0"/>
          <w:numId w:val="5"/>
        </w:numPr>
        <w:tabs>
          <w:tab w:val="clear" w:pos="1134"/>
          <w:tab w:val="left" w:pos="709" w:leader="none"/>
        </w:tabs>
        <w:bidi w:val="0"/>
        <w:spacing w:before="0" w:after="0"/>
        <w:ind w:hanging="283" w:start="709"/>
        <w:jc w:val="start"/>
        <w:rPr/>
      </w:pPr>
      <w:r>
        <w:rPr/>
        <w:t xml:space="preserve">unsuitable or superseded examples are removed from future retrieval; and </w:t>
      </w:r>
    </w:p>
    <w:p>
      <w:pPr>
        <w:pStyle w:val="BodyText"/>
        <w:numPr>
          <w:ilvl w:val="0"/>
          <w:numId w:val="5"/>
        </w:numPr>
        <w:tabs>
          <w:tab w:val="clear" w:pos="1134"/>
          <w:tab w:val="left" w:pos="709" w:leader="none"/>
        </w:tabs>
        <w:bidi w:val="0"/>
        <w:ind w:hanging="283" w:start="709"/>
        <w:jc w:val="start"/>
        <w:rPr/>
      </w:pPr>
      <w:r>
        <w:rPr/>
        <w:t xml:space="preserve">open questions and supersessions remain visible in the adjudication record. </w:t>
      </w:r>
    </w:p>
    <w:p>
      <w:pPr>
        <w:pStyle w:val="BodyText"/>
        <w:bidi w:val="0"/>
        <w:jc w:val="start"/>
        <w:rPr/>
      </w:pPr>
      <w:r>
        <w:rPr/>
        <w:t>Re-translating the reviewed concepts shows whether the system has absorbed the decisions. Generalisation is tested on fresh held-out concepts, not on the rows used to develop the changes.</w:t>
      </w:r>
    </w:p>
    <w:p>
      <w:pPr>
        <w:pStyle w:val="Heading3"/>
        <w:bidi w:val="0"/>
        <w:ind w:hanging="0" w:start="0" w:end="0"/>
        <w:jc w:val="start"/>
        <w:rPr/>
      </w:pPr>
      <w:bookmarkStart w:id="9" w:name="step-6-optimise-the-prompt-where-appropr"/>
      <w:bookmarkEnd w:id="9"/>
      <w:r>
        <w:rPr/>
        <w:t>Step 6 — Optimise the prompt where appropriate</w:t>
      </w:r>
    </w:p>
    <w:p>
      <w:pPr>
        <w:pStyle w:val="BodyText"/>
        <w:bidi w:val="0"/>
        <w:jc w:val="start"/>
        <w:rPr/>
      </w:pPr>
      <w:r>
        <w:rPr/>
        <w:t>GEPA can propose and evaluate revised instructions using the growing set of trusted translations. The evolved guide remains a readable, versioned document that a human can accept, amend, or reject.</w:t>
      </w:r>
    </w:p>
    <w:p>
      <w:pPr>
        <w:pStyle w:val="BodyText"/>
        <w:bidi w:val="0"/>
        <w:jc w:val="start"/>
        <w:rPr/>
      </w:pPr>
      <w:r>
        <w:rPr/>
        <w:t>GEPA should be used after straightforward rules, glossary decisions, and pool corrections have been applied. Before a candidate prompt is promoted, the project needs:</w:t>
      </w:r>
    </w:p>
    <w:p>
      <w:pPr>
        <w:pStyle w:val="BodyText"/>
        <w:numPr>
          <w:ilvl w:val="0"/>
          <w:numId w:val="6"/>
        </w:numPr>
        <w:tabs>
          <w:tab w:val="clear" w:pos="1134"/>
          <w:tab w:val="left" w:pos="709" w:leader="none"/>
        </w:tabs>
        <w:bidi w:val="0"/>
        <w:spacing w:before="0" w:after="0"/>
        <w:ind w:hanging="283" w:start="709"/>
        <w:jc w:val="start"/>
        <w:rPr/>
      </w:pPr>
      <w:r>
        <w:rPr/>
        <w:t xml:space="preserve">separated optimisation and held-out evaluation data; </w:t>
      </w:r>
    </w:p>
    <w:p>
      <w:pPr>
        <w:pStyle w:val="BodyText"/>
        <w:numPr>
          <w:ilvl w:val="0"/>
          <w:numId w:val="6"/>
        </w:numPr>
        <w:tabs>
          <w:tab w:val="clear" w:pos="1134"/>
          <w:tab w:val="left" w:pos="709" w:leader="none"/>
        </w:tabs>
        <w:bidi w:val="0"/>
        <w:spacing w:before="0" w:after="0"/>
        <w:ind w:hanging="283" w:start="709"/>
        <w:jc w:val="start"/>
        <w:rPr/>
      </w:pPr>
      <w:r>
        <w:rPr/>
        <w:t xml:space="preserve">retrieval controls preventing a concept from seeing its own translation; </w:t>
      </w:r>
    </w:p>
    <w:p>
      <w:pPr>
        <w:pStyle w:val="BodyText"/>
        <w:numPr>
          <w:ilvl w:val="0"/>
          <w:numId w:val="6"/>
        </w:numPr>
        <w:tabs>
          <w:tab w:val="clear" w:pos="1134"/>
          <w:tab w:val="left" w:pos="709" w:leader="none"/>
        </w:tabs>
        <w:bidi w:val="0"/>
        <w:spacing w:before="0" w:after="0"/>
        <w:ind w:hanging="283" w:start="709"/>
        <w:jc w:val="start"/>
        <w:rPr/>
      </w:pPr>
      <w:r>
        <w:rPr/>
        <w:t xml:space="preserve">a metric shown to align with SME judgement; </w:t>
      </w:r>
    </w:p>
    <w:p>
      <w:pPr>
        <w:pStyle w:val="BodyText"/>
        <w:numPr>
          <w:ilvl w:val="0"/>
          <w:numId w:val="6"/>
        </w:numPr>
        <w:tabs>
          <w:tab w:val="clear" w:pos="1134"/>
          <w:tab w:val="left" w:pos="709" w:leader="none"/>
        </w:tabs>
        <w:bidi w:val="0"/>
        <w:spacing w:before="0" w:after="0"/>
        <w:ind w:hanging="283" w:start="709"/>
        <w:jc w:val="start"/>
        <w:rPr/>
      </w:pPr>
      <w:r>
        <w:rPr/>
        <w:t xml:space="preserve">frozen rules that candidates cannot trade away; and </w:t>
      </w:r>
    </w:p>
    <w:p>
      <w:pPr>
        <w:pStyle w:val="BodyText"/>
        <w:numPr>
          <w:ilvl w:val="0"/>
          <w:numId w:val="6"/>
        </w:numPr>
        <w:tabs>
          <w:tab w:val="clear" w:pos="1134"/>
          <w:tab w:val="left" w:pos="709" w:leader="none"/>
        </w:tabs>
        <w:bidi w:val="0"/>
        <w:ind w:hanging="283" w:start="709"/>
        <w:jc w:val="start"/>
        <w:rPr/>
      </w:pPr>
      <w:r>
        <w:rPr/>
        <w:t xml:space="preserve">evidence that the candidate beats the current prompt on held-out concepts. </w:t>
      </w:r>
    </w:p>
    <w:p>
      <w:pPr>
        <w:pStyle w:val="Heading3"/>
        <w:bidi w:val="0"/>
        <w:ind w:hanging="0" w:start="0" w:end="0"/>
        <w:jc w:val="start"/>
        <w:rPr/>
      </w:pPr>
      <w:bookmarkStart w:id="10" w:name="step-7-repeat-then-run-at-scale"/>
      <w:bookmarkEnd w:id="10"/>
      <w:r>
        <w:rPr/>
        <w:t>Step 7 — Repeat, then run at scale</w:t>
      </w:r>
    </w:p>
    <w:p>
      <w:pPr>
        <w:pStyle w:val="BodyText"/>
        <w:bidi w:val="0"/>
        <w:jc w:val="start"/>
        <w:rPr/>
      </w:pPr>
      <w:r>
        <w:rPr/>
        <w:t>Translate a fresh subset and repeat the review–improvement cycle. Early rounds normally settle high-volume language conventions; later rounds concentrate on difficult structure, rare terminology, and ambiguity.</w:t>
      </w:r>
    </w:p>
    <w:p>
      <w:pPr>
        <w:pStyle w:val="BodyText"/>
        <w:bidi w:val="0"/>
        <w:jc w:val="start"/>
        <w:rPr/>
      </w:pPr>
      <w:r>
        <w:rPr/>
        <w:t>Once the agreed quality threshold is met, freeze the winning model, prompt, guide, rules, pool, and code versions. Run the broader scope, audit the output, resolve blockers, and obtain formal SME sign-off before publication.</w:t>
      </w:r>
    </w:p>
    <w:p>
      <w:pPr>
        <w:pStyle w:val="Heading2"/>
        <w:bidi w:val="0"/>
        <w:ind w:hanging="0" w:start="0" w:end="0"/>
        <w:jc w:val="start"/>
        <w:rPr/>
      </w:pPr>
      <w:bookmarkStart w:id="11" w:name="4-evidence-from-the-korean-work"/>
      <w:bookmarkEnd w:id="11"/>
      <w:r>
        <w:rPr/>
        <w:t>4. Evidence from the Korean work</w:t>
      </w:r>
    </w:p>
    <w:p>
      <w:pPr>
        <w:pStyle w:val="BodyText"/>
        <w:bidi w:val="0"/>
        <w:jc w:val="start"/>
        <w:rPr/>
      </w:pPr>
      <w:r>
        <w:rPr/>
        <w:t xml:space="preserve">The presentation </w:t>
      </w:r>
      <w:r>
        <w:rPr>
          <w:rStyle w:val="SourceText"/>
        </w:rPr>
        <w:t>snomed-translation-deck.html</w:t>
      </w:r>
      <w:r>
        <w:rPr/>
        <w:t xml:space="preserve"> records an accessible early result: in the first 100-term SME review, 47 translations were rated acceptable, 51 partial, and two wrong. This meant 98 were usable or near-usable, but the 51 partial terms still required expert correction. The result demonstrated drafting value, not publication readiness.</w:t>
      </w:r>
    </w:p>
    <w:p>
      <w:pPr>
        <w:pStyle w:val="BodyText"/>
        <w:bidi w:val="0"/>
        <w:jc w:val="start"/>
        <w:rPr/>
      </w:pPr>
      <w:r>
        <w:rPr/>
        <w:t>The later project work strengthened both the method and the evidence:</w:t>
      </w:r>
    </w:p>
    <w:p>
      <w:pPr>
        <w:pStyle w:val="BodyText"/>
        <w:numPr>
          <w:ilvl w:val="0"/>
          <w:numId w:val="7"/>
        </w:numPr>
        <w:tabs>
          <w:tab w:val="clear" w:pos="1134"/>
          <w:tab w:val="left" w:pos="709" w:leader="none"/>
        </w:tabs>
        <w:bidi w:val="0"/>
        <w:spacing w:before="0" w:after="0"/>
        <w:ind w:hanging="283" w:start="709"/>
        <w:jc w:val="start"/>
        <w:rPr/>
      </w:pPr>
      <w:r>
        <w:rPr/>
        <w:t xml:space="preserve">a 5,012-concept imaging domain was translated through a confidence-routed cascade; </w:t>
      </w:r>
    </w:p>
    <w:p>
      <w:pPr>
        <w:pStyle w:val="BodyText"/>
        <w:numPr>
          <w:ilvl w:val="0"/>
          <w:numId w:val="7"/>
        </w:numPr>
        <w:tabs>
          <w:tab w:val="clear" w:pos="1134"/>
          <w:tab w:val="left" w:pos="709" w:leader="none"/>
        </w:tabs>
        <w:bidi w:val="0"/>
        <w:spacing w:before="0" w:after="0"/>
        <w:ind w:hanging="283" w:start="709"/>
        <w:jc w:val="start"/>
        <w:rPr/>
      </w:pPr>
      <w:r>
        <w:rPr/>
        <w:t xml:space="preserve">approximately 45% of concepts were escalated to the stronger model; </w:t>
      </w:r>
    </w:p>
    <w:p>
      <w:pPr>
        <w:pStyle w:val="BodyText"/>
        <w:numPr>
          <w:ilvl w:val="0"/>
          <w:numId w:val="7"/>
        </w:numPr>
        <w:tabs>
          <w:tab w:val="clear" w:pos="1134"/>
          <w:tab w:val="left" w:pos="709" w:leader="none"/>
        </w:tabs>
        <w:bidi w:val="0"/>
        <w:spacing w:before="0" w:after="0"/>
        <w:ind w:hanging="283" w:start="709"/>
        <w:jc w:val="start"/>
        <w:rPr/>
      </w:pPr>
      <w:r>
        <w:rPr/>
        <w:t xml:space="preserve">the full run completed without errors and the local sampling stage took about 23 minutes on one GPU workstation; </w:t>
      </w:r>
    </w:p>
    <w:p>
      <w:pPr>
        <w:pStyle w:val="BodyText"/>
        <w:numPr>
          <w:ilvl w:val="0"/>
          <w:numId w:val="7"/>
        </w:numPr>
        <w:tabs>
          <w:tab w:val="clear" w:pos="1134"/>
          <w:tab w:val="left" w:pos="709" w:leader="none"/>
        </w:tabs>
        <w:bidi w:val="0"/>
        <w:spacing w:before="0" w:after="0"/>
        <w:ind w:hanging="283" w:start="709"/>
        <w:jc w:val="start"/>
        <w:rPr/>
      </w:pPr>
      <w:r>
        <w:rPr/>
        <w:t xml:space="preserve">systematic SME rulings were converted into guide changes and deterministic rules, sharply reducing recurring convention defects; and </w:t>
      </w:r>
    </w:p>
    <w:p>
      <w:pPr>
        <w:pStyle w:val="BodyText"/>
        <w:numPr>
          <w:ilvl w:val="0"/>
          <w:numId w:val="7"/>
        </w:numPr>
        <w:tabs>
          <w:tab w:val="clear" w:pos="1134"/>
          <w:tab w:val="left" w:pos="709" w:leader="none"/>
        </w:tabs>
        <w:bidi w:val="0"/>
        <w:ind w:hanging="283" w:start="709"/>
        <w:jc w:val="start"/>
        <w:rPr/>
      </w:pPr>
      <w:r>
        <w:rPr/>
        <w:t xml:space="preserve">blinded review, leakage-safe evaluation, explicit supersession, pair-level collision checks, and held-out promotion gates were added after weaknesses were found in earlier experiments. </w:t>
      </w:r>
    </w:p>
    <w:p>
      <w:pPr>
        <w:pStyle w:val="BodyText"/>
        <w:bidi w:val="0"/>
        <w:jc w:val="start"/>
        <w:rPr/>
      </w:pPr>
      <w:r>
        <w:rPr/>
        <w:t>The latest optimisation and feedback-integration round has now been incorporated into the translation configuration, and a further blinded SME review is pending. That review will assess fresh, previously unseen concepts and provide stronger evidence of how much the changes improve translation quality in practice. Until the feedback is returned, the impact of the latest optimisation round should be treated as promising but not yet established.</w:t>
      </w:r>
    </w:p>
    <w:p>
      <w:pPr>
        <w:pStyle w:val="Heading2"/>
        <w:bidi w:val="0"/>
        <w:ind w:hanging="0" w:start="0" w:end="0"/>
        <w:jc w:val="start"/>
        <w:rPr/>
      </w:pPr>
      <w:bookmarkStart w:id="12" w:name="5-cost-and-resource-shape"/>
      <w:bookmarkEnd w:id="12"/>
      <w:r>
        <w:rPr/>
        <w:t>5. Cost and resource shape</w:t>
      </w:r>
    </w:p>
    <w:p>
      <w:pPr>
        <w:pStyle w:val="BodyText"/>
        <w:bidi w:val="0"/>
        <w:jc w:val="start"/>
        <w:rPr/>
      </w:pPr>
      <w:r>
        <w:rPr/>
        <w:t>Compute is measurable and comparatively inexpensive. Expert review is the scarce resource.</w:t>
      </w:r>
    </w:p>
    <w:p>
      <w:pPr>
        <w:pStyle w:val="Heading3"/>
        <w:bidi w:val="0"/>
        <w:ind w:hanging="0" w:start="0" w:end="0"/>
        <w:jc w:val="start"/>
        <w:rPr/>
      </w:pPr>
      <w:bookmarkStart w:id="13" w:name="machine-cost"/>
      <w:bookmarkEnd w:id="13"/>
      <w:r>
        <w:rPr/>
        <w:t>Machine cost</w:t>
      </w:r>
    </w:p>
    <w:p>
      <w:pPr>
        <w:pStyle w:val="BodyText"/>
        <w:bidi w:val="0"/>
        <w:jc w:val="start"/>
        <w:rPr/>
      </w:pPr>
      <w:r>
        <w:rPr>
          <w:rStyle w:val="Strong"/>
        </w:rPr>
        <w:t>Prompt caching is the main API cost control for this workload and must be included in the headline estimate.</w:t>
      </w:r>
      <w:r>
        <w:rPr/>
        <w:t xml:space="preserve"> The measured 5,012-concept production pass contained 16.87 million input tokens and about 33,000 output tokens. For planning purposes, assume that production prompt design and batching achieve a </w:t>
      </w:r>
      <w:r>
        <w:rPr>
          <w:rStyle w:val="Strong"/>
        </w:rPr>
        <w:t>90% cache-hit rate</w:t>
      </w:r>
      <w:r>
        <w:rPr/>
        <w:t>:</w:t>
      </w:r>
    </w:p>
    <w:tbl>
      <w:tblPr>
        <w:tblW w:w="5134" w:type="dxa"/>
        <w:jc w:val="start"/>
        <w:tblInd w:w="0" w:type="dxa"/>
        <w:tblLayout w:type="fixed"/>
        <w:tblCellMar>
          <w:top w:w="28" w:type="dxa"/>
          <w:start w:w="28" w:type="dxa"/>
          <w:bottom w:w="28" w:type="dxa"/>
          <w:end w:w="28" w:type="dxa"/>
        </w:tblCellMar>
      </w:tblPr>
      <w:tblGrid>
        <w:gridCol w:w="1486"/>
        <w:gridCol w:w="976"/>
        <w:gridCol w:w="1456"/>
        <w:gridCol w:w="1216"/>
      </w:tblGrid>
      <w:tr>
        <w:trPr>
          <w:tblHeader w:val="true"/>
        </w:trPr>
        <w:tc>
          <w:tcPr>
            <w:tcW w:w="1486" w:type="dxa"/>
            <w:tcBorders/>
            <w:vAlign w:val="center"/>
          </w:tcPr>
          <w:p>
            <w:pPr>
              <w:pStyle w:val="TableHeading"/>
              <w:bidi w:val="0"/>
              <w:spacing w:before="0" w:after="283"/>
              <w:ind w:hanging="0" w:start="0" w:end="0"/>
              <w:jc w:val="start"/>
              <w:rPr/>
            </w:pPr>
            <w:r>
              <w:rPr/>
              <w:t>Billing class</w:t>
            </w:r>
          </w:p>
        </w:tc>
        <w:tc>
          <w:tcPr>
            <w:tcW w:w="976" w:type="dxa"/>
            <w:tcBorders/>
            <w:vAlign w:val="center"/>
          </w:tcPr>
          <w:p>
            <w:pPr>
              <w:pStyle w:val="TableHeading"/>
              <w:bidi w:val="0"/>
              <w:spacing w:before="0" w:after="283"/>
              <w:ind w:hanging="0" w:start="0" w:end="0"/>
              <w:jc w:val="end"/>
              <w:rPr/>
            </w:pPr>
            <w:r>
              <w:rPr/>
              <w:t>Volume at 90% cache</w:t>
            </w:r>
          </w:p>
        </w:tc>
        <w:tc>
          <w:tcPr>
            <w:tcW w:w="1456" w:type="dxa"/>
            <w:tcBorders/>
            <w:vAlign w:val="center"/>
          </w:tcPr>
          <w:p>
            <w:pPr>
              <w:pStyle w:val="TableHeading"/>
              <w:bidi w:val="0"/>
              <w:spacing w:before="0" w:after="283"/>
              <w:ind w:hanging="0" w:start="0" w:end="0"/>
              <w:jc w:val="end"/>
              <w:rPr/>
            </w:pPr>
            <w:r>
              <w:rPr/>
              <w:t>Current Qwen 3.8 Max international list rate</w:t>
            </w:r>
          </w:p>
        </w:tc>
        <w:tc>
          <w:tcPr>
            <w:tcW w:w="1216" w:type="dxa"/>
            <w:tcBorders/>
            <w:vAlign w:val="center"/>
          </w:tcPr>
          <w:p>
            <w:pPr>
              <w:pStyle w:val="TableHeading"/>
              <w:bidi w:val="0"/>
              <w:spacing w:before="0" w:after="283"/>
              <w:jc w:val="end"/>
              <w:rPr/>
            </w:pPr>
            <w:r>
              <w:rPr/>
              <w:t>Estimated cost</w:t>
            </w:r>
          </w:p>
        </w:tc>
      </w:tr>
      <w:tr>
        <w:trPr/>
        <w:tc>
          <w:tcPr>
            <w:tcW w:w="1486" w:type="dxa"/>
            <w:tcBorders/>
            <w:vAlign w:val="center"/>
          </w:tcPr>
          <w:p>
            <w:pPr>
              <w:pStyle w:val="TableContents"/>
              <w:bidi w:val="0"/>
              <w:spacing w:before="0" w:after="283"/>
              <w:ind w:hanging="0" w:start="0" w:end="0"/>
              <w:jc w:val="start"/>
              <w:rPr/>
            </w:pPr>
            <w:r>
              <w:rPr/>
              <w:t>Uncached input</w:t>
            </w:r>
          </w:p>
        </w:tc>
        <w:tc>
          <w:tcPr>
            <w:tcW w:w="976" w:type="dxa"/>
            <w:tcBorders/>
            <w:vAlign w:val="center"/>
          </w:tcPr>
          <w:p>
            <w:pPr>
              <w:pStyle w:val="TableContents"/>
              <w:bidi w:val="0"/>
              <w:spacing w:before="0" w:after="283"/>
              <w:ind w:hanging="0" w:start="0" w:end="0"/>
              <w:jc w:val="end"/>
              <w:rPr/>
            </w:pPr>
            <w:r>
              <w:rPr/>
              <w:t>1.687M tokens</w:t>
            </w:r>
          </w:p>
        </w:tc>
        <w:tc>
          <w:tcPr>
            <w:tcW w:w="1456" w:type="dxa"/>
            <w:tcBorders/>
            <w:vAlign w:val="center"/>
          </w:tcPr>
          <w:p>
            <w:pPr>
              <w:pStyle w:val="TableContents"/>
              <w:bidi w:val="0"/>
              <w:spacing w:before="0" w:after="283"/>
              <w:ind w:hanging="0" w:start="0" w:end="0"/>
              <w:jc w:val="end"/>
              <w:rPr/>
            </w:pPr>
            <w:r>
              <w:rPr/>
              <w:t>$2.00/M</w:t>
            </w:r>
          </w:p>
        </w:tc>
        <w:tc>
          <w:tcPr>
            <w:tcW w:w="1216" w:type="dxa"/>
            <w:tcBorders/>
            <w:vAlign w:val="center"/>
          </w:tcPr>
          <w:p>
            <w:pPr>
              <w:pStyle w:val="TableContents"/>
              <w:bidi w:val="0"/>
              <w:spacing w:before="0" w:after="283"/>
              <w:jc w:val="end"/>
              <w:rPr/>
            </w:pPr>
            <w:r>
              <w:rPr/>
              <w:t>$3.37</w:t>
            </w:r>
          </w:p>
        </w:tc>
      </w:tr>
      <w:tr>
        <w:trPr/>
        <w:tc>
          <w:tcPr>
            <w:tcW w:w="1486" w:type="dxa"/>
            <w:tcBorders/>
            <w:vAlign w:val="center"/>
          </w:tcPr>
          <w:p>
            <w:pPr>
              <w:pStyle w:val="TableContents"/>
              <w:bidi w:val="0"/>
              <w:spacing w:before="0" w:after="283"/>
              <w:ind w:hanging="0" w:start="0" w:end="0"/>
              <w:jc w:val="start"/>
              <w:rPr/>
            </w:pPr>
            <w:r>
              <w:rPr/>
              <w:t>Implicit-cache input</w:t>
            </w:r>
          </w:p>
        </w:tc>
        <w:tc>
          <w:tcPr>
            <w:tcW w:w="976" w:type="dxa"/>
            <w:tcBorders/>
            <w:vAlign w:val="center"/>
          </w:tcPr>
          <w:p>
            <w:pPr>
              <w:pStyle w:val="TableContents"/>
              <w:bidi w:val="0"/>
              <w:spacing w:before="0" w:after="283"/>
              <w:ind w:hanging="0" w:start="0" w:end="0"/>
              <w:jc w:val="end"/>
              <w:rPr/>
            </w:pPr>
            <w:r>
              <w:rPr/>
              <w:t>15.183M tokens</w:t>
            </w:r>
          </w:p>
        </w:tc>
        <w:tc>
          <w:tcPr>
            <w:tcW w:w="1456" w:type="dxa"/>
            <w:tcBorders/>
            <w:vAlign w:val="center"/>
          </w:tcPr>
          <w:p>
            <w:pPr>
              <w:pStyle w:val="TableContents"/>
              <w:bidi w:val="0"/>
              <w:spacing w:before="0" w:after="283"/>
              <w:ind w:hanging="0" w:start="0" w:end="0"/>
              <w:jc w:val="end"/>
              <w:rPr/>
            </w:pPr>
            <w:r>
              <w:rPr/>
              <w:t>$0.25/M</w:t>
            </w:r>
          </w:p>
        </w:tc>
        <w:tc>
          <w:tcPr>
            <w:tcW w:w="1216" w:type="dxa"/>
            <w:tcBorders/>
            <w:vAlign w:val="center"/>
          </w:tcPr>
          <w:p>
            <w:pPr>
              <w:pStyle w:val="TableContents"/>
              <w:bidi w:val="0"/>
              <w:spacing w:before="0" w:after="283"/>
              <w:jc w:val="end"/>
              <w:rPr/>
            </w:pPr>
            <w:r>
              <w:rPr/>
              <w:t>$3.80</w:t>
            </w:r>
          </w:p>
        </w:tc>
      </w:tr>
      <w:tr>
        <w:trPr/>
        <w:tc>
          <w:tcPr>
            <w:tcW w:w="1486" w:type="dxa"/>
            <w:tcBorders/>
            <w:vAlign w:val="center"/>
          </w:tcPr>
          <w:p>
            <w:pPr>
              <w:pStyle w:val="TableContents"/>
              <w:bidi w:val="0"/>
              <w:spacing w:before="0" w:after="283"/>
              <w:ind w:hanging="0" w:start="0" w:end="0"/>
              <w:jc w:val="start"/>
              <w:rPr/>
            </w:pPr>
            <w:r>
              <w:rPr/>
              <w:t>Output</w:t>
            </w:r>
          </w:p>
        </w:tc>
        <w:tc>
          <w:tcPr>
            <w:tcW w:w="976" w:type="dxa"/>
            <w:tcBorders/>
            <w:vAlign w:val="center"/>
          </w:tcPr>
          <w:p>
            <w:pPr>
              <w:pStyle w:val="TableContents"/>
              <w:bidi w:val="0"/>
              <w:spacing w:before="0" w:after="283"/>
              <w:ind w:hanging="0" w:start="0" w:end="0"/>
              <w:jc w:val="end"/>
              <w:rPr/>
            </w:pPr>
            <w:r>
              <w:rPr/>
              <w:t>0.033M tokens</w:t>
            </w:r>
          </w:p>
        </w:tc>
        <w:tc>
          <w:tcPr>
            <w:tcW w:w="1456" w:type="dxa"/>
            <w:tcBorders/>
            <w:vAlign w:val="center"/>
          </w:tcPr>
          <w:p>
            <w:pPr>
              <w:pStyle w:val="TableContents"/>
              <w:bidi w:val="0"/>
              <w:spacing w:before="0" w:after="283"/>
              <w:ind w:hanging="0" w:start="0" w:end="0"/>
              <w:jc w:val="end"/>
              <w:rPr/>
            </w:pPr>
            <w:r>
              <w:rPr/>
              <w:t>$6.00/M</w:t>
            </w:r>
          </w:p>
        </w:tc>
        <w:tc>
          <w:tcPr>
            <w:tcW w:w="1216" w:type="dxa"/>
            <w:tcBorders/>
            <w:vAlign w:val="center"/>
          </w:tcPr>
          <w:p>
            <w:pPr>
              <w:pStyle w:val="TableContents"/>
              <w:bidi w:val="0"/>
              <w:spacing w:before="0" w:after="283"/>
              <w:jc w:val="end"/>
              <w:rPr/>
            </w:pPr>
            <w:r>
              <w:rPr/>
              <w:t>$0.20</w:t>
            </w:r>
          </w:p>
        </w:tc>
      </w:tr>
      <w:tr>
        <w:trPr/>
        <w:tc>
          <w:tcPr>
            <w:tcW w:w="1486" w:type="dxa"/>
            <w:tcBorders/>
            <w:vAlign w:val="center"/>
          </w:tcPr>
          <w:p>
            <w:pPr>
              <w:pStyle w:val="TableContents"/>
              <w:bidi w:val="0"/>
              <w:spacing w:before="0" w:after="283"/>
              <w:ind w:hanging="0" w:start="0" w:end="0"/>
              <w:jc w:val="start"/>
              <w:rPr/>
            </w:pPr>
            <w:r>
              <w:rPr>
                <w:rStyle w:val="Strong"/>
              </w:rPr>
              <w:t>Full-pass planning estimate</w:t>
            </w:r>
          </w:p>
        </w:tc>
        <w:tc>
          <w:tcPr>
            <w:tcW w:w="976" w:type="dxa"/>
            <w:tcBorders/>
            <w:vAlign w:val="center"/>
          </w:tcPr>
          <w:p>
            <w:pPr>
              <w:pStyle w:val="TableContents"/>
              <w:bidi w:val="0"/>
              <w:spacing w:before="0" w:after="283"/>
              <w:ind w:hanging="0" w:start="0" w:end="0"/>
              <w:jc w:val="start"/>
              <w:rPr>
                <w:sz w:val="4"/>
                <w:szCs w:val="4"/>
              </w:rPr>
            </w:pPr>
            <w:r>
              <w:rPr>
                <w:sz w:val="4"/>
                <w:szCs w:val="4"/>
              </w:rPr>
            </w:r>
          </w:p>
        </w:tc>
        <w:tc>
          <w:tcPr>
            <w:tcW w:w="1456" w:type="dxa"/>
            <w:tcBorders/>
            <w:vAlign w:val="center"/>
          </w:tcPr>
          <w:p>
            <w:pPr>
              <w:pStyle w:val="TableContents"/>
              <w:bidi w:val="0"/>
              <w:spacing w:before="0" w:after="283"/>
              <w:ind w:hanging="0" w:start="0" w:end="0"/>
              <w:jc w:val="start"/>
              <w:rPr>
                <w:sz w:val="4"/>
                <w:szCs w:val="4"/>
              </w:rPr>
            </w:pPr>
            <w:r>
              <w:rPr>
                <w:sz w:val="4"/>
                <w:szCs w:val="4"/>
              </w:rPr>
            </w:r>
          </w:p>
        </w:tc>
        <w:tc>
          <w:tcPr>
            <w:tcW w:w="1216" w:type="dxa"/>
            <w:tcBorders/>
            <w:vAlign w:val="center"/>
          </w:tcPr>
          <w:p>
            <w:pPr>
              <w:pStyle w:val="TableContents"/>
              <w:bidi w:val="0"/>
              <w:spacing w:before="0" w:after="283"/>
              <w:jc w:val="end"/>
              <w:rPr/>
            </w:pPr>
            <w:r>
              <w:rPr>
                <w:rStyle w:val="Strong"/>
              </w:rPr>
              <w:t>about $7.37</w:t>
            </w:r>
          </w:p>
        </w:tc>
      </w:tr>
    </w:tbl>
    <w:p>
      <w:pPr>
        <w:pStyle w:val="BodyText"/>
        <w:bidi w:val="0"/>
        <w:jc w:val="start"/>
        <w:rPr/>
      </w:pPr>
      <w:r>
        <w:rPr/>
        <w:t>Those rates were checked on 28 August 2026. The 90%-cached estimate is about 78% below the $33.94 all-uncached calculation. Actual billing will depend on the achieved cache-hit rate, so the run dashboard should report it alongside the cost.</w:t>
      </w:r>
    </w:p>
    <w:p>
      <w:pPr>
        <w:pStyle w:val="BodyText"/>
        <w:bidi w:val="0"/>
        <w:jc w:val="start"/>
        <w:rPr/>
      </w:pPr>
      <w:r>
        <w:rPr/>
        <w:t>Qwen 3.8 Max is used here as a state-of-the-art frontier reference model. It is an API model rather than an open-weight release. The platform can instead use cheaper API endpoints or open-weight models running locally, including the Gemma-class model already used for bulk sampling. A local deployment has no per-token API charge, although its hardware and electricity remain operating costs.</w:t>
      </w:r>
    </w:p>
    <w:p>
      <w:pPr>
        <w:pStyle w:val="BodyText"/>
        <w:bidi w:val="0"/>
        <w:jc w:val="start"/>
        <w:rPr/>
      </w:pPr>
      <w:r>
        <w:rPr/>
        <w:t>Future quotations should use the run's recorded uncached, cache-read, cache-creation, and output tokens separately. Stable material—system instructions, the style guide, rules, and other repeated context—belongs at the beginning of the prompt so that the provider can reuse the longest possible prefix.</w:t>
      </w:r>
    </w:p>
    <w:p>
      <w:pPr>
        <w:pStyle w:val="BodyText"/>
        <w:bidi w:val="0"/>
        <w:jc w:val="start"/>
        <w:rPr/>
      </w:pPr>
      <w:r>
        <w:rPr/>
        <w:t>A project may need two or three broad passes, but small pilot and absorption runs cost a fraction of a full pass and deterministic repair requires no model call. API inference should therefore be presented as a small, measured operating cost; SME and service effort remain the material costs.</w:t>
      </w:r>
    </w:p>
    <w:p>
      <w:pPr>
        <w:pStyle w:val="BodyText"/>
        <w:bidi w:val="0"/>
        <w:jc w:val="start"/>
        <w:rPr/>
      </w:pPr>
      <w:r>
        <w:rPr/>
        <w:t>An open model can handle bulk sampling on owned or cloud GPU capacity. Semantic indexing is mainly an onboarding cost, and unchanged embeddings can be reused when the pool is updated. Deterministic QA and repair often require no model call.</w:t>
      </w:r>
    </w:p>
    <w:p>
      <w:pPr>
        <w:pStyle w:val="BodyText"/>
        <w:bidi w:val="0"/>
        <w:jc w:val="start"/>
        <w:rPr/>
      </w:pPr>
      <w:r>
        <w:rPr/>
        <w:t>GEPA evaluates many prompt candidates and should have a separate capped budget. Its proposed maximum should be calculated from candidate count, evaluation-set size, model routing, and cache-aware token rates before the run begins. Start with the smallest useful experiment, record actual cache performance and spend, and expand only when the quality gain justifies it.</w:t>
      </w:r>
    </w:p>
    <w:p>
      <w:pPr>
        <w:pStyle w:val="Heading3"/>
        <w:bidi w:val="0"/>
        <w:ind w:hanging="0" w:start="0" w:end="0"/>
        <w:jc w:val="start"/>
        <w:rPr/>
      </w:pPr>
      <w:bookmarkStart w:id="14" w:name="human-resource"/>
      <w:bookmarkEnd w:id="14"/>
      <w:r>
        <w:rPr/>
        <w:t>Human resource</w:t>
      </w:r>
    </w:p>
    <w:tbl>
      <w:tblPr>
        <w:tblW w:w="5134" w:type="dxa"/>
        <w:jc w:val="start"/>
        <w:tblInd w:w="0" w:type="dxa"/>
        <w:tblLayout w:type="fixed"/>
        <w:tblCellMar>
          <w:top w:w="28" w:type="dxa"/>
          <w:start w:w="28" w:type="dxa"/>
          <w:bottom w:w="28" w:type="dxa"/>
          <w:end w:w="28" w:type="dxa"/>
        </w:tblCellMar>
      </w:tblPr>
      <w:tblGrid>
        <w:gridCol w:w="1663"/>
        <w:gridCol w:w="3471"/>
      </w:tblGrid>
      <w:tr>
        <w:trPr>
          <w:tblHeader w:val="true"/>
        </w:trPr>
        <w:tc>
          <w:tcPr>
            <w:tcW w:w="1663" w:type="dxa"/>
            <w:tcBorders/>
            <w:vAlign w:val="center"/>
          </w:tcPr>
          <w:p>
            <w:pPr>
              <w:pStyle w:val="TableHeading"/>
              <w:suppressLineNumbers/>
              <w:shd w:fill="0A6074" w:val="clear"/>
              <w:bidi w:val="0"/>
              <w:spacing w:before="0" w:after="283"/>
              <w:jc w:val="start"/>
              <w:rPr/>
            </w:pPr>
            <w:r>
              <w:rPr/>
              <w:t>Activity</w:t>
            </w:r>
          </w:p>
        </w:tc>
        <w:tc>
          <w:tcPr>
            <w:tcW w:w="3471" w:type="dxa"/>
            <w:tcBorders/>
            <w:vAlign w:val="center"/>
          </w:tcPr>
          <w:p>
            <w:pPr>
              <w:pStyle w:val="TableHeading"/>
              <w:suppressLineNumbers/>
              <w:shd w:fill="0A6074" w:val="clear"/>
              <w:bidi w:val="0"/>
              <w:spacing w:before="0" w:after="283"/>
              <w:jc w:val="start"/>
              <w:rPr/>
            </w:pPr>
            <w:r>
              <w:rPr/>
              <w:t>Planning assumption for a roughly 5,000-concept domain</w:t>
            </w:r>
          </w:p>
        </w:tc>
      </w:tr>
      <w:tr>
        <w:trPr/>
        <w:tc>
          <w:tcPr>
            <w:tcW w:w="1663" w:type="dxa"/>
            <w:tcBorders/>
            <w:vAlign w:val="center"/>
          </w:tcPr>
          <w:p>
            <w:pPr>
              <w:pStyle w:val="TableContents"/>
              <w:bidi w:val="0"/>
              <w:spacing w:before="0" w:after="283"/>
              <w:jc w:val="start"/>
              <w:rPr/>
            </w:pPr>
            <w:r>
              <w:rPr/>
              <w:t>One standard SME round</w:t>
            </w:r>
          </w:p>
        </w:tc>
        <w:tc>
          <w:tcPr>
            <w:tcW w:w="3471" w:type="dxa"/>
            <w:tcBorders/>
            <w:vAlign w:val="center"/>
          </w:tcPr>
          <w:p>
            <w:pPr>
              <w:pStyle w:val="TableContents"/>
              <w:bidi w:val="0"/>
              <w:spacing w:before="0" w:after="283"/>
              <w:jc w:val="start"/>
              <w:rPr/>
            </w:pPr>
            <w:r>
              <w:rPr/>
              <w:t>about 2–4 hours for a 100–120-term sample and adjudication questions</w:t>
            </w:r>
          </w:p>
        </w:tc>
      </w:tr>
      <w:tr>
        <w:trPr/>
        <w:tc>
          <w:tcPr>
            <w:tcW w:w="1663" w:type="dxa"/>
            <w:tcBorders/>
            <w:vAlign w:val="center"/>
          </w:tcPr>
          <w:p>
            <w:pPr>
              <w:pStyle w:val="TableContents"/>
              <w:bidi w:val="0"/>
              <w:spacing w:before="0" w:after="283"/>
              <w:jc w:val="start"/>
              <w:rPr/>
            </w:pPr>
            <w:r>
              <w:rPr/>
              <w:t>Number of rounds</w:t>
            </w:r>
          </w:p>
        </w:tc>
        <w:tc>
          <w:tcPr>
            <w:tcW w:w="3471" w:type="dxa"/>
            <w:tcBorders/>
            <w:vAlign w:val="center"/>
          </w:tcPr>
          <w:p>
            <w:pPr>
              <w:pStyle w:val="TableContents"/>
              <w:bidi w:val="0"/>
              <w:spacing w:before="0" w:after="283"/>
              <w:jc w:val="start"/>
              <w:rPr/>
            </w:pPr>
            <w:r>
              <w:rPr/>
              <w:t>commonly 3–5</w:t>
            </w:r>
          </w:p>
        </w:tc>
      </w:tr>
      <w:tr>
        <w:trPr/>
        <w:tc>
          <w:tcPr>
            <w:tcW w:w="1663" w:type="dxa"/>
            <w:tcBorders/>
            <w:vAlign w:val="center"/>
          </w:tcPr>
          <w:p>
            <w:pPr>
              <w:pStyle w:val="TableContents"/>
              <w:bidi w:val="0"/>
              <w:spacing w:before="0" w:after="283"/>
              <w:jc w:val="start"/>
              <w:rPr/>
            </w:pPr>
            <w:r>
              <w:rPr/>
              <w:t>Total SME effort</w:t>
            </w:r>
          </w:p>
        </w:tc>
        <w:tc>
          <w:tcPr>
            <w:tcW w:w="3471" w:type="dxa"/>
            <w:tcBorders/>
            <w:vAlign w:val="center"/>
          </w:tcPr>
          <w:p>
            <w:pPr>
              <w:pStyle w:val="TableContents"/>
              <w:bidi w:val="0"/>
              <w:spacing w:before="0" w:after="283"/>
              <w:jc w:val="start"/>
              <w:rPr/>
            </w:pPr>
            <w:r>
              <w:rPr/>
              <w:t>about 10–20 hours with useful existing reference data</w:t>
            </w:r>
          </w:p>
        </w:tc>
      </w:tr>
      <w:tr>
        <w:trPr/>
        <w:tc>
          <w:tcPr>
            <w:tcW w:w="1663" w:type="dxa"/>
            <w:tcBorders/>
            <w:vAlign w:val="center"/>
          </w:tcPr>
          <w:p>
            <w:pPr>
              <w:pStyle w:val="TableContents"/>
              <w:bidi w:val="0"/>
              <w:spacing w:before="0" w:after="283"/>
              <w:jc w:val="start"/>
              <w:rPr/>
            </w:pPr>
            <w:r>
              <w:rPr/>
              <w:t>Greenfield allowance</w:t>
            </w:r>
          </w:p>
        </w:tc>
        <w:tc>
          <w:tcPr>
            <w:tcW w:w="3471" w:type="dxa"/>
            <w:tcBorders/>
            <w:vAlign w:val="center"/>
          </w:tcPr>
          <w:p>
            <w:pPr>
              <w:pStyle w:val="TableContents"/>
              <w:bidi w:val="0"/>
              <w:spacing w:before="0" w:after="283"/>
              <w:jc w:val="start"/>
              <w:rPr/>
            </w:pPr>
            <w:r>
              <w:rPr/>
              <w:t>roughly 50% more SME effort and one or two additional rounds</w:t>
            </w:r>
          </w:p>
        </w:tc>
      </w:tr>
      <w:tr>
        <w:trPr/>
        <w:tc>
          <w:tcPr>
            <w:tcW w:w="1663" w:type="dxa"/>
            <w:tcBorders/>
            <w:vAlign w:val="center"/>
          </w:tcPr>
          <w:p>
            <w:pPr>
              <w:pStyle w:val="TableContents"/>
              <w:bidi w:val="0"/>
              <w:spacing w:before="0" w:after="283"/>
              <w:jc w:val="start"/>
              <w:rPr/>
            </w:pPr>
            <w:r>
              <w:rPr/>
              <w:t>Operator effort</w:t>
            </w:r>
          </w:p>
        </w:tc>
        <w:tc>
          <w:tcPr>
            <w:tcW w:w="3471" w:type="dxa"/>
            <w:tcBorders/>
            <w:vAlign w:val="center"/>
          </w:tcPr>
          <w:p>
            <w:pPr>
              <w:pStyle w:val="TableContents"/>
              <w:bidi w:val="0"/>
              <w:spacing w:before="0" w:after="283"/>
              <w:jc w:val="start"/>
              <w:rPr/>
            </w:pPr>
            <w:r>
              <w:rPr/>
              <w:t>approximately one setup week, then 1–2 days per round</w:t>
            </w:r>
          </w:p>
        </w:tc>
      </w:tr>
    </w:tbl>
    <w:p>
      <w:pPr>
        <w:pStyle w:val="BodyText"/>
        <w:bidi w:val="0"/>
        <w:jc w:val="start"/>
        <w:rPr/>
      </w:pPr>
      <w:r>
        <w:rPr/>
        <w:t>These are planning anchors from one language and domain, not fixed quotations. A customer price must also recover hosting, storage, indexing, monitoring, support, security, data governance, failed runs, provider-price changes, invoicing, and service margin.</w:t>
      </w:r>
    </w:p>
    <w:p>
      <w:pPr>
        <w:pStyle w:val="Heading2"/>
        <w:bidi w:val="0"/>
        <w:ind w:hanging="0" w:start="0" w:end="0"/>
        <w:jc w:val="start"/>
        <w:rPr/>
      </w:pPr>
      <w:bookmarkStart w:id="15" w:name="6-ways-to-make-it-available"/>
      <w:bookmarkEnd w:id="15"/>
      <w:r>
        <w:rPr/>
        <w:t>6. Ways to make it available</w:t>
      </w:r>
    </w:p>
    <w:p>
      <w:pPr>
        <w:pStyle w:val="Heading3"/>
        <w:bidi w:val="0"/>
        <w:ind w:hanging="0" w:start="0" w:end="0"/>
        <w:jc w:val="start"/>
        <w:rPr/>
      </w:pPr>
      <w:bookmarkStart w:id="16" w:name="open-source-self-hosted"/>
      <w:bookmarkEnd w:id="16"/>
      <w:r>
        <w:rPr/>
        <w:t>Open-source, self-hosted</w:t>
      </w:r>
    </w:p>
    <w:p>
      <w:pPr>
        <w:pStyle w:val="BodyText"/>
        <w:bidi w:val="0"/>
        <w:jc w:val="start"/>
        <w:rPr/>
      </w:pPr>
      <w:r>
        <w:rPr/>
        <w:t>Customers receive the complete engine, project template, plugin interfaces, and deployment guidance. They provide their licensed terminology and language assets, deploy the vector database and storage, and connect any compatible local or API models.</w:t>
      </w:r>
    </w:p>
    <w:p>
      <w:pPr>
        <w:pStyle w:val="BodyText"/>
        <w:bidi w:val="0"/>
        <w:jc w:val="start"/>
        <w:rPr/>
      </w:pPr>
      <w:r>
        <w:rPr/>
        <w:t>This option supports strict residency and maximum technical control. We avoid inference-cost and credit exposure, but still need documentation, release management, compatibility testing, and a support model. Paid onboarding or enterprise support can sit around the open-source edition.</w:t>
      </w:r>
    </w:p>
    <w:p>
      <w:pPr>
        <w:pStyle w:val="Heading3"/>
        <w:bidi w:val="0"/>
        <w:ind w:hanging="0" w:start="0" w:end="0"/>
        <w:jc w:val="start"/>
        <w:rPr/>
      </w:pPr>
      <w:bookmarkStart w:id="17" w:name="managed-service-with-our-inference"/>
      <w:bookmarkEnd w:id="17"/>
      <w:r>
        <w:rPr/>
        <w:t>Managed service with our inference</w:t>
      </w:r>
    </w:p>
    <w:p>
      <w:pPr>
        <w:pStyle w:val="BodyText"/>
        <w:bidi w:val="0"/>
        <w:jc w:val="start"/>
        <w:rPr/>
      </w:pPr>
      <w:r>
        <w:rPr/>
        <w:t>We host and operate the workbench, semantic index, storage, monitoring, and approved model endpoints. The customer supplies its licensed content and SME access. We pay cloud and inference providers, meter usage, and bill the customer.</w:t>
      </w:r>
    </w:p>
    <w:p>
      <w:pPr>
        <w:pStyle w:val="BodyText"/>
        <w:bidi w:val="0"/>
        <w:jc w:val="start"/>
        <w:rPr/>
      </w:pPr>
      <w:r>
        <w:rPr/>
        <w:t>A practical charging structure is:</w:t>
      </w:r>
    </w:p>
    <w:p>
      <w:pPr>
        <w:pStyle w:val="PreformattedText"/>
        <w:bidi w:val="0"/>
        <w:jc w:val="start"/>
        <w:rPr/>
      </w:pPr>
      <w:r>
        <w:rPr>
          <w:rStyle w:val="SourceText"/>
        </w:rPr>
        <w:t>onboarding fee</w:t>
      </w:r>
    </w:p>
    <w:p>
      <w:pPr>
        <w:pStyle w:val="PreformattedText"/>
        <w:bidi w:val="0"/>
        <w:jc w:val="start"/>
        <w:rPr/>
      </w:pPr>
      <w:r>
        <w:rPr>
          <w:rStyle w:val="SourceText"/>
        </w:rPr>
        <w:t>+ platform subscription with an included usage allowance</w:t>
      </w:r>
    </w:p>
    <w:p>
      <w:pPr>
        <w:pStyle w:val="PreformattedText"/>
        <w:bidi w:val="0"/>
        <w:jc w:val="start"/>
        <w:rPr/>
      </w:pPr>
      <w:r>
        <w:rPr>
          <w:rStyle w:val="SourceText"/>
        </w:rPr>
        <w:t>+ translated-concept or project-round overage</w:t>
      </w:r>
    </w:p>
    <w:p>
      <w:pPr>
        <w:pStyle w:val="PreformattedText"/>
        <w:bidi w:val="0"/>
        <w:jc w:val="start"/>
        <w:rPr/>
      </w:pPr>
      <w:r>
        <w:rPr>
          <w:rStyle w:val="SourceText"/>
        </w:rPr>
        <w:t>+ optional capped GEPA optimisation</w:t>
      </w:r>
    </w:p>
    <w:p>
      <w:pPr>
        <w:pStyle w:val="PreformattedText"/>
        <w:bidi w:val="0"/>
        <w:spacing w:before="0" w:after="283"/>
        <w:jc w:val="start"/>
        <w:rPr/>
      </w:pPr>
      <w:r>
        <w:rPr>
          <w:rStyle w:val="SourceText"/>
        </w:rPr>
        <w:t>+ professional or SME services where supplied</w:t>
      </w:r>
    </w:p>
    <w:p>
      <w:pPr>
        <w:pStyle w:val="BodyText"/>
        <w:bidi w:val="0"/>
        <w:jc w:val="start"/>
        <w:rPr/>
      </w:pPr>
      <w:r>
        <w:rPr/>
        <w:t>Raw tokens should be metered internally, but a concept- or round-based customer unit is easier to budget and better reflects the value of the workflow, QA, provenance, and support. Pricing needs contingency for model-price volatility and failed or repeated runs.</w:t>
      </w:r>
    </w:p>
    <w:p>
      <w:pPr>
        <w:pStyle w:val="BodyText"/>
        <w:bidi w:val="0"/>
        <w:spacing w:before="0" w:after="283"/>
        <w:jc w:val="start"/>
        <w:rPr/>
      </w:pPr>
      <w:r>
        <w:rPr/>
        <w:t>A managed customer could alternatively connect its own approved model endpoint. This helps with procurement or cloud policy but requires a clear shared-support boundary.</w:t>
      </w:r>
    </w:p>
    <w:sectPr>
      <w:type w:val="nextPage"/>
      <w:pgSz w:w="11906" w:h="16838"/>
      <w:pgMar w:left="1247" w:right="1247" w:gutter="0" w:header="0" w:top="1247" w:footer="0" w:bottom="124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Helvetica"/>
    <w:charset w:val="01" w:characterSet="utf-8"/>
    <w:family w:val="auto"/>
    <w:pitch w:val="default"/>
  </w:font>
  <w:font w:name="Noto Sans">
    <w:charset w:val="01" w:characterSet="utf-8"/>
    <w:family w:val="auto"/>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1"/>
      <w:lvlJc w:val="start"/>
      <w:pPr>
        <w:tabs>
          <w:tab w:val="num" w:pos="0"/>
        </w:tabs>
        <w:ind w:start="0" w:hanging="0"/>
      </w:pPr>
    </w:lvl>
    <w:lvl w:ilvl="1">
      <w:start w:val="1"/>
      <w:pStyle w:val="Heading2"/>
      <w:numFmt w:val="none"/>
      <w:suff w:val="nothing"/>
      <w:lvlText w:val="%2"/>
      <w:lvlJc w:val="start"/>
      <w:pPr>
        <w:tabs>
          <w:tab w:val="num" w:pos="0"/>
        </w:tabs>
        <w:ind w:start="0" w:hanging="0"/>
      </w:pPr>
    </w:lvl>
    <w:lvl w:ilvl="2">
      <w:start w:val="1"/>
      <w:pStyle w:val="Heading3"/>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Arial;Helvetica;sans-serif" w:hAnsi="Arial;Helvetica;sans-serif" w:eastAsia="Arial;Helvetica;sans-serif" w:cs="Arial;Helvetica;sans-serif"/>
      <w:color w:val="243746"/>
      <w:sz w:val="22"/>
      <w:szCs w:val="22"/>
      <w:lang w:val="en-US" w:eastAsia="zh-CN" w:bidi="hi-IN"/>
    </w:rPr>
  </w:style>
  <w:style w:type="paragraph" w:styleId="Heading1">
    <w:name w:val="Heading 1"/>
    <w:basedOn w:val="Heading"/>
    <w:next w:val="BodyText"/>
    <w:qFormat/>
    <w:pPr>
      <w:spacing w:lineRule="auto" w:line="268" w:before="850" w:after="454"/>
      <w:ind w:start="850" w:end="850"/>
    </w:pPr>
    <w:rPr>
      <w:rFonts w:ascii="Noto Sans" w:hAnsi="Noto Sans"/>
      <w:b/>
      <w:bCs/>
      <w:color w:val="123B59"/>
      <w:sz w:val="50"/>
      <w:szCs w:val="50"/>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color w:val="0A6074"/>
      <w:sz w:val="34"/>
      <w:szCs w:val="34"/>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color w:val="123B59"/>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hd w:fill="EEF1F3" w:val="clear"/>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30" w:space="1" w:color="19A3A5"/>
      </w:pBdr>
      <w:shd w:fill="EAF4F6" w:val="clear"/>
      <w:spacing w:before="0" w:after="283"/>
      <w:ind w:hanging="0" w:start="567" w:end="567"/>
    </w:pPr>
    <w:rPr/>
  </w:style>
  <w:style w:type="paragraph" w:styleId="PreformattedText">
    <w:name w:val="Preformatted Text"/>
    <w:basedOn w:val="Normal"/>
    <w:qFormat/>
    <w:pPr>
      <w:pBdr>
        <w:top w:val="single" w:sz="2" w:space="1" w:color="D2DCE2"/>
        <w:left w:val="single" w:sz="2" w:space="1" w:color="D2DCE2"/>
        <w:bottom w:val="single" w:sz="2" w:space="1" w:color="D2DCE2"/>
        <w:right w:val="single" w:sz="2" w:space="1" w:color="D2DCE2"/>
      </w:pBdr>
      <w:shd w:fill="EEF1F3" w:val="clear"/>
      <w:spacing w:before="0" w:after="0"/>
    </w:pPr>
    <w:rPr>
      <w:rFonts w:ascii="Liberation Mono" w:hAnsi="Liberation Mono" w:eastAsia="Noto Sans Mono CJK SC" w:cs="Liberation Mono"/>
      <w:sz w:val="20"/>
      <w:szCs w:val="20"/>
    </w:rPr>
  </w:style>
  <w:style w:type="paragraph" w:styleId="Heading3flow-heading">
    <w:name w:val="Heading 3.flow-heading"/>
    <w:basedOn w:val="Heading3"/>
    <w:qFormat/>
    <w:pPr>
      <w:pageBreakBefore/>
      <w:ind w:hanging="0" w:start="0"/>
      <w:outlineLvl w:val="9"/>
    </w:pPr>
    <w:rPr>
      <w:b/>
      <w:bCs/>
      <w:color w:val="123B59"/>
      <w:sz w:val="24"/>
      <w:szCs w:val="24"/>
    </w:rPr>
  </w:style>
  <w:style w:type="paragraph" w:styleId="TableHeading">
    <w:name w:val="Table Heading"/>
    <w:basedOn w:val="TableContents"/>
    <w:qFormat/>
    <w:pPr>
      <w:suppressLineNumbers/>
      <w:shd w:fill="0A6074" w:val="clear"/>
      <w:jc w:val="start"/>
    </w:pPr>
    <w:rPr>
      <w:b/>
      <w:bCs/>
      <w:color w:val="FFFFF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SNOMED CT, in Any Language: AI-Assisted Translation with SME Feedback</dc:title>
</cp:coreProperties>
</file>

<file path=docProps/custom.xml><?xml version="1.0" encoding="utf-8"?>
<Properties xmlns="http://schemas.openxmlformats.org/officeDocument/2006/custom-properties" xmlns:vt="http://schemas.openxmlformats.org/officeDocument/2006/docPropsVTypes"/>
</file>