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</w:pPr>
      <w:r>
        <w:rPr>
          <w:b/>
          <w:bCs/>
          <w:color w:val="1F3A4D"/>
          <w:sz w:val="52"/>
          <w:szCs w:val="52"/>
        </w:rPr>
        <w:t xml:space="preserve">LINGUA Africa</w:t>
      </w:r>
    </w:p>
    <w:p>
      <w:pPr>
        <w:spacing w:after="40"/>
      </w:pPr>
      <w:r>
        <w:rPr>
          <w:b/>
          <w:bCs/>
          <w:color w:val="2E75B6"/>
          <w:sz w:val="30"/>
          <w:szCs w:val="30"/>
        </w:rPr>
        <w:t xml:space="preserve">Pre-Submission TODO &amp; Verification Checklist</w:t>
      </w:r>
    </w:p>
    <w:p>
      <w:pPr>
        <w:pBdr>
          <w:bottom w:val="single" w:color="2E75B6" w:sz="12" w:space="8"/>
        </w:pBdr>
        <w:spacing w:after="240"/>
      </w:pPr>
      <w:r>
        <w:rPr>
          <w:color w:val="555555"/>
          <w:sz w:val="24"/>
          <w:szCs w:val="24"/>
        </w:rPr>
        <w:t xml:space="preserve">Lingo / Flagship — what must be done before the form is submitted</w:t>
      </w:r>
    </w:p>
    <w:p>
      <w:pPr>
        <w:spacing w:after="120" w:line="272"/>
        <w:jc w:val="left"/>
      </w:pPr>
      <w:r>
        <w:rPr>
          <w:b/>
          <w:bCs/>
        </w:rPr>
        <w:t xml:space="preserve">Deadline: </w:t>
      </w:r>
      <w:r>
        <w:rPr>
          <w:b/>
          <w:bCs/>
          <w:color w:val="B00020"/>
        </w:rPr>
        <w:t xml:space="preserve">15 June 2026, 18:00 (form clock) / 23:59 WAT</w:t>
      </w:r>
      <w:r>
        <w:t xml:space="preserve">   ·   One stage, no resubmission, locks on submit.</w:t>
      </w:r>
    </w:p>
    <w:p>
      <w:pPr>
        <w:spacing w:after="120" w:line="272"/>
        <w:jc w:val="left"/>
      </w:pPr>
      <w:r>
        <w:rPr>
          <w:b/>
          <w:bCs/>
        </w:rPr>
        <w:t xml:space="preserve">How to read this: </w:t>
      </w:r>
      <w:r>
        <w:t xml:space="preserve">items are grouped by how blocking they are. The red band can sink the application or change its structure; the amber band materially weakens it if skipped; the green band is polish that raises the score. Boxes are tick-able. “SAMPLE” values already placed in the draft are realistic placeholders — every one must be replaced with a real figure or removed.</w:t>
      </w:r>
    </w:p>
    <w:p>
      <w:pPr>
        <w:pStyle w:val="Heading1"/>
      </w:pPr>
      <w:r>
        <w:t xml:space="preserve">1. Blocking — resolve or the bid is at risk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B00020" w:sz="18"/>
              <w:bottom w:val="single" w:color="DDDDDD" w:sz="1"/>
              <w:right w:val="single" w:color="DDDDDD" w:sz="1"/>
            </w:tcBorders>
            <w:shd w:fill="FBE4E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00020"/>
                <w:sz w:val="24"/>
                <w:szCs w:val="24"/>
              </w:rPr>
              <w:t xml:space="preserve">These can disqualify, mislead a reviewer, or change the proposal's structure. Do these first.</w:t>
            </w:r>
          </w:p>
          <w:p>
            <w:pPr>
              <w:spacing w:after="0" w:line="268"/>
            </w:pPr>
            <w:r>
              <w:t xml:space="preserve">Two of these are also strategy-dependent (entity/recipient rule, category checkbox) and are still genuinely open — confirm them against the live RFP or by emailing hub-rfp@masakhane.io before committing.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 / source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Read the live RFP + FAQ Google Doc directly</w:t>
            </w:r>
            <w:r>
              <w:t xml:space="preserve"> and confirm: exact category ceilings, the 12% overhead cap, whether the </w:t>
            </w:r>
            <w:r>
              <w:rPr>
                <w:b/>
                <w:bCs/>
              </w:rPr>
              <w:t xml:space="preserve">lead applicant must be the fund recipient</w:t>
            </w:r>
            <w:r>
              <w:t xml:space="preserve">, and the exact required sections/limits. Our figures come from the captured page; confirm at source.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Decide Q1(a) category selection.</w:t>
            </w:r>
            <w:r>
              <w:t xml:space="preserve"> Primary = Category 3 (firm). Whether to also tick Category 1/2 for fallback eligibility depends on form mechanics — confirm whether extra boxes create funding eligibility or are scope-tags, by RFP text or a one-line email to hub-rfp@masakhane.io.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Confirm the lead/fiduciary entity and its legal status.</w:t>
            </w:r>
            <w:r>
              <w:t xml:space="preserve"> Flagship SARL (Morocco) as lead. Resolve the org-type field so it matches public profiles (the Hugging Face org reads “non-profit”) — harmonise across form, letters, and web.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Publish model cards and a dataset card</w:t>
            </w:r>
            <w:r>
              <w:t xml:space="preserve"> on the Hugging Face flagship-ai org before submitting. Reviewers of an openness grant will click the links; “No model card” directly contradicts the proposal's central claim. Highest-value, fully-in-your-control fix.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Secure the letters of support (Q14, up to 3 PDFs):</w:t>
            </w:r>
            <w:r>
              <w:t xml:space="preserve"> KIAMA deployment-commitment letter (channel into MINADER/MINEPIA &amp; Health); Flagship–Sense Africa partnership/role letter; and, if at all possible, one ministry/programme content-owner or pilot-access letter.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Consortium leads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Confirm the phase-one language list.</w:t>
            </w:r>
            <w:r>
              <w:t xml:space="preserve"> Draft commits to 3 (Bulu, Fulfulde, Ghomala') — confirm these are the ones you can genuinely support first, or adjust.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PI + community lead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Replace all [SAMPLE] metrics with real numbers</w:t>
            </w:r>
            <w:r>
              <w:t xml:space="preserve"> or remove them: hours already collected, contributor count, target hours/speakers per language, pilot districts, extension-worker and producer counts. Plausible invented numbers you can't deliver are worse than honest ranges.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Data/QA + PI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Verify every factual claim.</w:t>
            </w:r>
            <w:r>
              <w:t xml:space="preserve"> Describe the 2024 launch accurately (public launch event, not “televised” unless you can evidence a broadcast). Reconcile Pinyin vs. Pidgin in the model list. Confirm the dataset name/size. Drop anything unverifiable.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Applicant</w:t>
            </w:r>
          </w:p>
        </w:tc>
      </w:tr>
    </w:tbl>
    <w:p>
      <w:pPr>
        <w:pStyle w:val="Heading1"/>
      </w:pPr>
      <w:r>
        <w:t xml:space="preserve">2. Strongly recommended — materially strengthens the bid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8A6D00" w:sz="18"/>
              <w:bottom w:val="single" w:color="DDDDDD" w:sz="1"/>
              <w:right w:val="single" w:color="DDDDDD" w:sz="1"/>
            </w:tcBorders>
            <w:shd w:fill="FBF3D6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4"/>
                <w:szCs w:val="24"/>
              </w:rPr>
              <w:t xml:space="preserve">Not disqualifying, but skipping these visibly weakens a competitive Category 3 application.</w:t>
            </w:r>
          </w:p>
          <w:p>
            <w:pPr>
              <w:spacing w:after="0" w:line="268"/>
            </w:pPr>
            <w:r>
              <w:t xml:space="preserve">Most of these are already drafted into the answers; this is about confirming the specifics behind them.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 / source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Name the pilot sites and user cohorts</w:t>
            </w:r>
            <w:r>
              <w:t xml:space="preserve"> — specific districts/institutions, extension-worker count, producer count. “Pilot” without named sites reads as aspirational.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KIAMA + PI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Finalise the compute request bottom-up (Q18b/c).</w:t>
            </w:r>
            <w:r>
              <w:t xml:space="preserve"> Sum preprocessing/storage + ASR fine-tuning + TTS training + translation experiments + evaluation + pilot serving; request only what that justifies (up to $400K). Insert the total in Q18(b).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Fill team names and FTE allocations (Q15),</w:t>
            </w:r>
            <w:r>
              <w:t xml:space="preserve"> making gender balance and regional diversity visible — it is an explicit scoring criterion.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PI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Insert existing model/dataset metrics (Q6/Q16)</w:t>
            </w:r>
            <w:r>
              <w:t xml:space="preserve"> — languages, download/use counts, and any baseline scores you have.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Confirm the ethics-review body / path (Q12),</w:t>
            </w:r>
            <w:r>
              <w:t xml:space="preserve"> especially for the health extension. If no MoH content-owner and ethics path by submission, keep health to approved educational/public-health messaging only and remove any live patient-intake language.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Health pathway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Fill the detailed budget tab to match the summary.</w:t>
            </w:r>
            <w:r>
              <w:t xml:space="preserve"> The summary totals are set ($249,312 grand; $222,600 direct; $26,712 overhead). Confirm the unit costs and FTEs reflect your real local rates; the sheet recalculates and keeps the 12% cap automatically.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PI + admin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Anchor the problem statement (Q2) in official data</w:t>
            </w:r>
            <w:r>
              <w:t xml:space="preserve"> — add verified Cameroon rural-poverty / digital-divide figures with sources. Verify any statistic before quoting 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PI</w:t>
            </w:r>
          </w:p>
        </w:tc>
      </w:tr>
    </w:tbl>
    <w:p>
      <w:pPr>
        <w:pStyle w:val="Heading1"/>
      </w:pPr>
      <w:r>
        <w:t xml:space="preserve">3. Polish — raises the score, do if time allows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2E6B85" w:sz="18"/>
              <w:bottom w:val="single" w:color="DDDDDD" w:sz="1"/>
              <w:right w:val="single" w:color="DDDDDD" w:sz="1"/>
            </w:tcBorders>
            <w:shd w:fill="E5F2EC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2E6B85"/>
                <w:sz w:val="24"/>
                <w:szCs w:val="24"/>
              </w:rPr>
              <w:t xml:space="preserve">Low effort, real upside on a competitive call.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 / source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Add a privacy / governance / team page to lingo.cm</w:t>
            </w:r>
            <w:r>
              <w:t xml:space="preserve"> so public due diligence finds consent and governance information, not a sparse site.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Tech lead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Clarify open-release rules by artifact</w:t>
            </w:r>
            <w:r>
              <w:t xml:space="preserve"> — which datasets/models/code/docs are open by default, what is restricted for safety/privacy, on what timeline, and how any future proprietary service stays separate from grant-funded public goods.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PI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Optionally add Q5/Q6</w:t>
            </w:r>
            <w:r>
              <w:t xml:space="preserve"> (drafted) to reinforce the “spans multiple activities” story; include or omit as you prefer since you are Category 3.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PI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Add partner bios / a one-page consortium sheet</w:t>
            </w:r>
            <w:r>
              <w:t xml:space="preserve"> if the form or letters allow, to make the three-entity structure tangible.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Consortium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Consider a university or community-org partner</w:t>
            </w:r>
            <w:r>
              <w:t xml:space="preserve"> to deepen the community-engagement score, if one can be added quickly.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PI</w:t>
            </w:r>
          </w:p>
        </w:tc>
      </w:tr>
    </w:tbl>
    <w:p>
      <w:pPr>
        <w:pStyle w:val="Heading1"/>
      </w:pPr>
      <w:r>
        <w:t xml:space="preserve">4. Open strategic questions (decide, don't just check off)</w:t>
      </w:r>
    </w:p>
    <w:p>
      <w:pPr>
        <w:spacing w:after="120" w:line="272"/>
        <w:jc w:val="both"/>
      </w:pPr>
      <w:r>
        <w:rPr>
          <w:b/>
          <w:bCs/>
        </w:rPr>
        <w:t xml:space="preserve">Q1(a) multi-category checkbox — </w:t>
      </w:r>
      <w:r>
        <w:t xml:space="preserve">genuinely unresolved. If extra boxes create real fallback funding eligibility with no framing downside, tick Category 3 (primary) + Category 1 (data) and not Category 2. If they are only scope-tags and the decision is single-category, tick Category 3 alone. Resolve via the RFP text or the hub-rfp email before submitting.</w:t>
      </w:r>
    </w:p>
    <w:p>
      <w:pPr>
        <w:spacing w:after="120" w:line="272"/>
        <w:jc w:val="both"/>
      </w:pPr>
      <w:r>
        <w:rPr>
          <w:b/>
          <w:bCs/>
        </w:rPr>
        <w:t xml:space="preserve">Income-replacement check — </w:t>
      </w:r>
      <w:r>
        <w:t xml:space="preserve">internal only, never in the application. Confirm the defensible PI salary line within the $222,600 direct budget over 18 months clears your personal threshold; if not, pair with existing support (Klaus Tschira/Alumnode) and ministry co-funding, or treat a sub-threshold award as a reason to stay employed.</w:t>
      </w:r>
    </w:p>
    <w:p>
      <w:pPr>
        <w:spacing w:after="120" w:line="272"/>
        <w:jc w:val="both"/>
      </w:pPr>
      <w:r>
        <w:rPr>
          <w:b/>
          <w:bCs/>
        </w:rPr>
        <w:t xml:space="preserve">Health go/no-go — </w:t>
      </w:r>
      <w:r>
        <w:t xml:space="preserve">keep health as a bounded extension unless you secure a MoH-backed content owner, a named pilot site, and an ethics path before submission. Evidence beats sector.</w:t>
      </w:r>
    </w:p>
    <w:p>
      <w:pPr>
        <w:pStyle w:val="Heading1"/>
      </w:pPr>
      <w:r>
        <w:t xml:space="preserve">5. Submission mechanics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6740"/>
        <w:gridCol w:w="2000"/>
      </w:tblGrid>
      <w:tr>
        <w:trPr>
          <w:tblHeader/>
        </w:trP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 / source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Paste each answer into the matching Submittable field</w:t>
            </w:r>
            <w:r>
              <w:t xml:space="preserve"> and re-check it is within the field's word limit after any edits.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Upload the budget</w:t>
            </w:r>
            <w:r>
              <w:t xml:space="preserve"> (.xlsx) at Q17(a); mirror the summary totals into the Q17(b) table.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Attach letters</w:t>
            </w:r>
            <w:r>
              <w:t xml:space="preserve"> (≤3 PDFs) at Q14.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Complete contact, org email, web links, and the two history questions</w:t>
            </w:r>
            <w:r>
              <w:t xml:space="preserve"> (applied before? / currently involved?).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Applicant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☐</w:t>
            </w:r>
          </w:p>
        </w:tc>
        <w:tc>
          <w:tcPr>
            <w:tcW w:type="dxa" w:w="6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Submit at least 24 hours early</w:t>
            </w:r>
            <w:r>
              <w:t xml:space="preserve"> — 23:59 WAT on 15 June, no second stage, no edits after submit.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6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color w:val="555555"/>
                <w:sz w:val="18"/>
                <w:szCs w:val="18"/>
              </w:rPr>
              <w:t xml:space="preserve">Applicant</w:t>
            </w:r>
          </w:p>
        </w:tc>
      </w:tr>
    </w:tbl>
    <w:p>
      <w:pPr>
        <w:pBdr>
          <w:top w:val="single" w:color="2E75B6" w:sz="6" w:space="6"/>
        </w:pBdr>
        <w:spacing w:before="200"/>
      </w:pPr>
      <w:r>
        <w:rPr>
          <w:i/>
          <w:iCs/>
          <w:color w:val="555555"/>
          <w:sz w:val="18"/>
          <w:szCs w:val="18"/>
        </w:rPr>
        <w:t xml:space="preserve">This checklist consolidates all advisor reviews. The red band is the difference between a strong idea and a reviewer-ready package; the amber band is the difference between reviewer-ready and competitive. Verify before you submit — the form locks.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2EC" w:sz="4" w:space="4"/>
      </w:pBdr>
      <w:jc w:val="center"/>
    </w:pPr>
    <w:r>
      <w:rPr>
        <w:color w:val="555555"/>
        <w:sz w:val="16"/>
        <w:szCs w:val="16"/>
      </w:rPr>
      <w:t xml:space="preserve">Checklist ·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E2EC" w:sz="4" w:space="4"/>
      </w:pBdr>
    </w:pPr>
    <w:r>
      <w:rPr>
        <w:color w:val="555555"/>
        <w:sz w:val="16"/>
        <w:szCs w:val="16"/>
      </w:rPr>
      <w:t xml:space="preserve">LINGUA Africa — Pre-Submission TODO (Lingo / Flagship)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6E2EC" w:sz="6" w:space="4"/>
      </w:pBdr>
      <w:spacing w:after="140" w:before="300"/>
      <w:outlineLvl w:val="0"/>
    </w:pPr>
    <w:rPr>
      <w:rFonts w:ascii="Calibri" w:cs="Calibri" w:eastAsia="Calibri" w:hAnsi="Calibri"/>
      <w:b/>
      <w:bCs/>
      <w:color w:val="1F3A4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LINGUA Africa — Pre-Submission TODO</dc:title>
  <dc:creator>LINGUA Africa TODO</dc:creator>
  <cp:lastModifiedBy>Un-named</cp:lastModifiedBy>
  <cp:revision>1</cp:revision>
  <dcterms:created xsi:type="dcterms:W3CDTF">2026-06-04T23:57:19.286Z</dcterms:created>
  <dcterms:modified xsi:type="dcterms:W3CDTF">2026-06-04T23:57:19.286Z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