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企业数据治理手册</w:t>
      </w:r>
    </w:p>
    <w:p>
      <w:r>
        <w:t>本手册定义企业数据治理的组织架构、数据标准与质量管理流程。</w:t>
      </w:r>
    </w:p>
    <w:p>
      <w:pPr>
        <w:pStyle w:val="Heading2"/>
      </w:pPr>
      <w:r>
        <w:t>第一章 数据标准</w:t>
      </w:r>
    </w:p>
    <w:p>
      <w:r>
        <w:t>数据标准包括命名规范、字段类型、编码规则与字典管理。命名采用小写下划线风格。</w:t>
      </w:r>
    </w:p>
    <w:p>
      <w:pPr>
        <w:pStyle w:val="Heading2"/>
      </w:pPr>
      <w:r>
        <w:t>第二章 数据质量</w:t>
      </w:r>
    </w:p>
    <w:p>
      <w:r>
        <w:t>数据质量分为完整性、一致性、准确性、及时性四个维度，每季度评估一次。</w:t>
      </w:r>
    </w:p>
    <w:p>
      <w:pPr>
        <w:pStyle w:val="Heading2"/>
      </w:pPr>
      <w:r>
        <w:t>第三章 数据安全</w:t>
      </w:r>
    </w:p>
    <w:p>
      <w:r>
        <w:t>数据安全实行分级分类管理，敏感数据加密存储，访问需审批授权。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