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李宏龄的票号成败论</w:t>
        <w:br/>
        <w:t>与近代中国公司制度的缺失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6"/>
        </w:rPr>
        <w:t>逐页讲稿与备答  /  朱振坤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21"/>
        </w:rPr>
        <w:t>正文13页，讲稿约3313汉字，计划15分钟（含引文、停顿与指图）。第14页参考文献和第15页致谢不单独计时。具体速度以排练为准。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21"/>
        </w:rPr>
        <w:t>结构依照原文：一、李宏龄与票号文书；二、票号成败与银行改制；三、有限责任与公司制度。古文只需读每页选出的短句，随后解释其含义。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F0E4E1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/>
                <w:color w:val="990100"/>
                <w:sz w:val="20"/>
              </w:rPr>
              <w:t>PPT页码</w:t>
            </w:r>
          </w:p>
        </w:tc>
        <w:tc>
          <w:tcPr>
            <w:tcW w:type="dxa" w:w="3175"/>
            <w:shd w:fill="F0E4E1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/>
                <w:color w:val="990100"/>
                <w:sz w:val="20"/>
              </w:rPr>
              <w:t>内容</w:t>
            </w:r>
          </w:p>
        </w:tc>
        <w:tc>
          <w:tcPr>
            <w:tcW w:type="dxa" w:w="3175"/>
            <w:shd w:fill="F0E4E1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/>
                <w:color w:val="990100"/>
                <w:sz w:val="20"/>
              </w:rPr>
              <w:t>计划时间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题目与路线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00:00—00:30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2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李宏龄及两部文书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00:30—01:30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3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班期与用人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01:30—02:30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4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票号兴衰与银行竞争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02:30—04:00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5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各埠来信中的银行优势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04:00—05:30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6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联合办行方案及结果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05:30—06:45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7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梁启超的比较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06:45—07:40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8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二元对立之争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07:40—08:30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9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有限责任与风险分担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08:30—09:40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10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投资者行为的三个机制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09:40—11:10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11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法律、逆向选择与框架效应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11:10—12:30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12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票号公司化与制度环境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12:30—14:00</w:t>
            </w:r>
          </w:p>
        </w:tc>
      </w:tr>
      <w:tr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13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结语与简短评议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0"/>
              </w:rPr>
              <w:t>14:00—15:00</w:t>
            </w:r>
          </w:p>
        </w:tc>
      </w:tr>
    </w:tbl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阅读提示：以下“切页提示”和“出处”用于备课，不在课堂上朗读。PPT备注中已放入同一份完整讲稿。</w:t>
      </w:r>
    </w:p>
    <w:p>
      <w:pPr>
        <w:pStyle w:val="Heading2"/>
        <w:pageBreakBefore/>
      </w:pPr>
      <w:r>
        <w:t>第1页｜李宏龄的票号成败论与近代中国公司制度的缺失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00:00—00:30  ·  30秒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大家好，我今天汇报何平的《李宏龄的票号成败论与近代中国公司制度的缺失》。文章以一位票号经理留下的书信为线索，讨论山西票号为什么衰落，以及为什么没能通过改组银行获得普遍的新生。下面按照原文的三个部分，先介绍李宏龄与史料，再看票号的经营危机和改革主张，最后讨论有限责任与公司制度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切页提示：介绍文章后，按原文三部分进入汇报。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出处：何平：《中国钱币》2022年第6期，第39—49页。</w:t>
      </w:r>
    </w:p>
    <w:p>
      <w:pPr>
        <w:pStyle w:val="Heading2"/>
      </w:pPr>
      <w:r>
        <w:t>第2页｜李宏龄与两部票号文书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00:30—01:30  ·  60秒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李宏龄在蔚丰厚票号任职五十余年，先后主持京师、上海和汉口分号的经营。他留下的材料很特别：票号通常不公开经营内幕，他却把任职期间的部分往来书信整理成书。因此，作者能够从一个内部经营者的角度，观察票号的运作和危机。两部书要区分开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《同舟忠告》主要收录一八九〇年至一九一二年写给总号的信，涉及日常经营和改革建议；《山西票商成败记》的主体，则是一九〇八至一九〇九年倡议联合办银行的往来通信，既有发出的倡议，也有各地的响应。两书都在一九一七年刊印，但其中大部分文书形成得更早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接下来先看日常书信，因为它们能说明，李宏龄的改革意识是怎样从具体经营问题中产生的。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切页提示：点出两书内容的区别，再转入书信中的具体经营问题。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出处：何平，第39—40页；两书均于1917年刊印。</w:t>
      </w:r>
    </w:p>
    <w:p>
      <w:pPr>
        <w:pStyle w:val="Heading2"/>
        <w:pageBreakBefore/>
      </w:pPr>
      <w:r>
        <w:t>第3页｜从班期与用人，看票号经营的惯例和局限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01:30—02:30  ·  60秒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作者举了两个例子。第一个是班期。伙友被派到外地，通常三年内不能回乡，这有利于熟悉业务、节省旅费，但也影响家庭生活、健康和人才留任。李宏龄注意到火车已经通行，往返更方便，便提出“年轻诸伙，改为两年下班一次”，同时减少衣费，平衡增加的旅费。他并非只讲人情，也在计算号内成本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第二个是用人。票号主要依靠同行推荐和个人信誉安排人员。李宏龄希望把有经验的郭倍瑾调回京号，因为当地得力人员难找。这说明经理已经重视能力与岗位的匹配；但人员调动仍依赖个人推荐和总号认可。作者借这些例子指出，票号虽然有号规和经营经验，具体决策仍较受个人关系、见识与旧惯例限制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切页提示：古文只读红色短句；解释两年班期与推荐用人。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出处：何平，第40页，转引《同舟忠告》。</w:t>
      </w:r>
    </w:p>
    <w:p>
      <w:pPr>
        <w:pStyle w:val="Heading2"/>
      </w:pPr>
      <w:r>
        <w:t>第4页｜票号由盛转衰：原有业务为什么难以维持？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02:30—04:00  ·  90秒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进入第二部分，先看李宏龄怎样解释票号的兴衰。他回顾，咸丰、同治时期，军饷、协款和赈灾资金需要跨地区调拨，票号凭借分号网络和兑现信用扩大了经营。庚子危机中，各地协同应付兑现，也进一步提高了信誉。但原来的业务条件正在改变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国内银行承接官款，以较强的资金实力参与存贷款竞争；外国银行向内地扩展，又带来资本和经营经验上的压力。一九〇八年的银行则例进一步要求注册，期满未注册者不得办理官款的汇兑和存放。也就是说，票号同时失去部分客户、资金和经营空间。辛亥革命使困难集中爆发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李宏龄说“外欠则处处倒账，欠外则人人提款”。外欠是别人欠票号的钱，收不回来；欠外是票号欠客户的钱，却被要求提取。再加上地方钞票折价，资产受损和支付压力叠加。因而，过去依靠信用渡过危机的办法，此时已难以继续支撑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切页提示：先讲官款汇兑与信用，再解释“外欠”和“欠外”。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出处：何平，第41—42页；兴衰自述转引《山西票商成败记》序言。</w:t>
      </w:r>
    </w:p>
    <w:p>
      <w:pPr>
        <w:pStyle w:val="Heading2"/>
        <w:pageBreakBefore/>
      </w:pPr>
      <w:r>
        <w:t>第5页｜各埠来信：新式银行的优势体现在哪里？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04:00—05:30  ·  90秒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各地回信使这些压力更加具体。首先是钞票。营口票号担心，客户“夹带钞票即能办事，何必又出汇费乎”。钞票扩大流通后，一部分原本需要票号汇兑的支付，可以改用携带钞票完成，所以票号不仅少了业务，汇水也不容易提高。其次是押款，也就是以财产作抵押的贷款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汉口来信认为，票号即使熟悉客户，也难免看走眼；银行使用抵押，可以为贷款增加保障。改革者因此希望扩大银行业务，而不只守住信用放款和汇兑。第三是官方保护。奉天票号抱怨，发生倒账时，要先清偿内外银行的款项，票号承担更多损失。重庆来信也强调，银行有较强的财力和官方力量，票号难以抗衡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作者还把票号的脆弱性与最后贷款人支持的缺失联系起来。因此，这些信反映的优势既包括业务和资本，也包括官方认可与保护。它们共同构成了各地经理主张办银行的理由。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切页提示：按发钞、押款、官方保护三项解释，区分市场优势与待遇差别。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出处：何平，第43—45页；营口、汉口、奉天等地票号来信。</w:t>
      </w:r>
    </w:p>
    <w:p>
      <w:pPr>
        <w:pStyle w:val="Heading2"/>
      </w:pPr>
      <w:r>
        <w:t>第6页｜李宏龄的办法：合股办银行，为票号另谋出路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05:30—06:45  ·  75秒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李宏龄提出，各家票号共同出资，广泛招股，另立银行。倡议中，每家先出三万至五万两，目标股本五百万两，每股一百两。筹成以后，由各号提供人员，银行另立账簿，按股分利，并积累公积。这些数字是计划，不是实际完成的募资。关于原来的票号，他说“纵使票号尽废，有银行尚可延一线生机”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因此，银行和票号可以暂时并存，目的在于把原有资本、人员和信用转入新的组织。各地虽然普遍感到办银行迫切，具体意见却不一致。成都希望引入官股获得保护，又限定山西资本，甚至提出无限责任银行，与李宏龄的有限责任方案不同。最终，联合办行遭到总号方面的反对，计划未成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文章也提到蔚丰厚后来单独改组银行的例子，所以这里要区分联合计划受阻与个别票号的改组。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切页提示：筹资数字简讲；重点解释为何允许票号、银行并存。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出处：何平，第40、42—45、49页；金额为倡议目标，非已筹得资本。</w:t>
      </w:r>
    </w:p>
    <w:p>
      <w:pPr>
        <w:pStyle w:val="Heading2"/>
        <w:pageBreakBefore/>
      </w:pPr>
      <w:r>
        <w:t>第7页｜梁启超的比较：票号为什么必须改变？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06:45—07:40  ·  55秒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一九一二年，梁启超向山西票商演讲。他把票号与西方传统钱商比较：两者都经营存汇业务，利用不同地区的货币差异获利，也都重视出票信用；但西方钱商不断改良，逐渐发展为银行，中国票号却更多地守住旧业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梁启超指出三重压力：金库改革会减少原有官款业务；币制统一会改变利用各地平色差异获利的条件；外国银行控制金融，又使单个票号难以应对。他的判断是，国家金融制度需要改革，票号不能只要求保留旧有利益，也必须改变自己。何平认为，这场演说从另一角度支持了李宏龄更早的经营判断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切页提示：比较传统钱商的发展，再按三项说明改革对票号收益的影响。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出处：何平，第45—46页，转引梁启超1912年10月30日演说。</w:t>
      </w:r>
    </w:p>
    <w:p>
      <w:pPr>
        <w:pStyle w:val="Heading2"/>
      </w:pPr>
      <w:r>
        <w:t>第8页｜“二元对立”之争：何平怎样回应？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07:40—08:30  ·  50秒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不过，何平也引述了一种批评：梁启超把中国票号与西式机构分成传统和现代两端，李宏龄又塑造了进取的分号经理与保守所有者之间的对立。何平从两个方面回应。第一是时间：改革书信形成于一九〇八至一九〇九年，早于梁启超演说和一九一七年出版，不能直接视为事后臆造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第二是成败标准：票商家庭转行后仍然获利，不等于票号这个金融组织完成了转型。文章讨论的是后者。这一争论之后，作者进一步追问：即使票号已有业务创新，为什么仍然没有顺利完成组织上的改造？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切页提示：先说对方批评，再依次解释时序与评价对象。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出处：何平，第46—47页；对王路曼观点的介绍依据何平引述。</w:t>
      </w:r>
    </w:p>
    <w:p>
      <w:pPr>
        <w:pStyle w:val="Heading2"/>
        <w:pageBreakBefore/>
      </w:pPr>
      <w:r>
        <w:t>第9页｜有限责任：限制股东损失，改变风险分担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08:30—09:40  ·  70秒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第三部分是全文的理论重点。李宏龄已经说到，银行可以设为有限公司，即使亏损，也“不过其已出之资，不能再认赔累也”。何平进一步借用莫斯《别无他法》第三章，解释这种制度为什么能够吸引资本。要分清，公司仍然要以自己的全部财产偿债；受限制的是股东因公司债务而承担的追加责任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在股东缴足出资、没有额外担保等情况下，个人其他财产通常不会仅因股东身份继续被追索。对股东来说，最坏损失明显下降；对债权人来说，不能追回全部款项的可能性却会增加，但最大损失仍然是贷出的数额。因此，有限责任并未消除经营风险，而是重新分配了风险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能协商的债权人可能要求更高利率、抵押或担保，作者认为股东仍可能愿意接受这样的融资成本。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切页提示：读出李宏龄原话，再比较股东与债权人的风险变化。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出处：何平，第42、47—48页；责任规则为一般性说明，不考虑个人担保等例外。</w:t>
      </w:r>
    </w:p>
    <w:p>
      <w:pPr>
        <w:pStyle w:val="Heading2"/>
      </w:pPr>
      <w:r>
        <w:t>第10页｜投资者为什么重视有限责任？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09:40—11:10  ·  90秒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作者先用三个机制解释投资者的反应。第一是财富的边际效用递减。财富变化对人的影响，并不与金额简单成比例；尤其是损失全部身家，会严重威胁家庭生活。因此，把可能倾家荡产的损失限定为一笔出资，对投资者具有很大价值。第二是彩票效应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有限责任下，投资者知道最坏可以损失多少，而企业成功可能带来较高收益。这种有限下行、开放上行的结构，会增强投资的吸引力。当然，它不保证每项投资都有正收益。第三是确定性效应。即使某种巨额损失发生的概率很低，人们也可能格外在意能否把这种可能性完全排除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有限责任使特定投资的最大责任更容易预先确定。三点的侧重不同：第一讲损失的痛苦，第二讲收益结构的吸引力，第三讲确定边界的价值。它们共同解释，为什么只是限制追加赔累，就可能释放原来不愿进入企业的资本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切页提示：依次讲边际效用、彩票效应、确定性效应，避免把投资说成稳赚。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出处：何平，第47—48页，“有限责任的奥秘”第1—3点；本页为解释性归纳。</w:t>
      </w:r>
    </w:p>
    <w:p>
      <w:pPr>
        <w:pStyle w:val="Heading2"/>
        <w:pageBreakBefore/>
      </w:pPr>
      <w:r>
        <w:t>第11页｜为什么还需要有限责任法？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11:10—12:30  ·  80秒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既然有限责任有吸引力，企业能否只靠私人合同实现？文章认为，这还需要政府通过法律确立。首先，合同只能约束参与签约的人。未来事故的受害者，事前往往根本不知道是谁，不可能逐一谈妥责任。其次，公司面对的债权人很多，每次交易都单独约定，成本很高，统一法律可以提供共同规则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最后，是逆向选择和认知问题。在默认无限责任的环境下，一家企业主动请求免责，债权人可能怀疑它知道自己有更高风险；有限责任成为一般规则以后，企业就不必逐家解释为什么要求保护。这是改变逆向选择问题的信号条件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同样承担有限责任，从主动要求免责到按照通行规则经营，也会改变债权人的判断，作者将其联系到框架效应。法律并未取消协商，债权人仍然可以要求股东个人担保；它改变的是协商的起点和各方的预期。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切页提示：先解释私人合同的两个障碍，再讲逆向选择和框架效应。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出处：何平，第48页：逆向选择、认知问题及政府介入的三项理由。</w:t>
      </w:r>
    </w:p>
    <w:p>
      <w:pPr>
        <w:pStyle w:val="Heading2"/>
      </w:pPr>
      <w:r>
        <w:t>第12页｜票号为什么未能完成公司化？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12:30—14:00  ·  90秒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最后，作者把有限责任的意义落回票号。票号并非没有治理制度。晋商重视地缘信用，采用避亲举乡的用人原则，并通过号规、奖金和股俸激励经营者。这些安排曾经有效。但当改革要求不同票号共同出资、调整权力和责任时，既有治理方式未能推动联合决策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李宏龄任职的蔚丰厚总号负责人毛宏瀚反对重组，其他一些总号也守住旧法。作者又把这种选择放进更大的制度环境：近代公司形式虽然已经出现，稳定的法律保障和相应的企业治理却发育不足。文章引用柯比的研究，指出政权对工商财产的侵扰使经营者缺乏信任，公司制度难以扎根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这里说的缺失，因此不能理解为完全没有公司法。文章末尾还延伸到当代股份公司，提出重融资、轻治理的提醒。这一延伸说明，作者关心的不只是怎样把钱集中起来，更是资本联合以后，如何受到稳定规则的约束和治理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切页提示：先承认传统治理的作用，再讲总号决策、制度环境与作者的现实延伸。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出处：何平，第48—49页；“重融资、轻治理”为作者延伸到当代的讨论。</w:t>
      </w:r>
    </w:p>
    <w:p>
      <w:pPr>
        <w:pStyle w:val="Heading2"/>
        <w:pageBreakBefore/>
      </w:pPr>
      <w:r>
        <w:t>第13页｜结语：票号成败给出的制度问题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9"/>
        </w:rPr>
        <w:t>14:00—15:00  ·  60秒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回顾全文，李宏龄的价值在于留下了票号内部的经营判断。他既提出班期、用人方面的调整，也在银行竞争加剧时倡议合股办行。何平通过各地来信和梁启超的演说，说明这种改革有当时的现实依据；再借有限责任理论，把问题从具体业务推进到资本动员、法律规则和公司治理。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作者的中心判断是，票号并不缺少一切业务创新，关键在于未能及时完成组织机制和治理模式的改造。我的理解是，这个视角能够解释为什么有改革意见，却未必形成改革行动。但有限责任只是一项重要条件，官款分配、官方保护和战争冲击也在文中清楚可见，不能据此断言只要公司化，票号就一定成功。</w:t>
      </w:r>
    </w:p>
    <w:p>
      <w:pPr>
        <w:keepNext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3"/>
        </w:rPr>
        <w:t>以上就是我的汇报，谢谢大家。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8"/>
        </w:rPr>
        <w:t>切页提示：按人物、改革、制度三层回收，最后以一句评价结束。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7"/>
        </w:rPr>
        <w:t>出处：概括依据：何平，第39—49页；末段为本次汇报的简短评议。</w:t>
      </w:r>
    </w:p>
    <w:p>
      <w:pPr>
        <w:pStyle w:val="Heading2"/>
      </w:pPr>
      <w:r>
        <w:t>本次汇报的引文用法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先交代谁在何时说了这句话，再用白话解释，最后说明它支持什么判断。李宏龄的改革倡议、各地经理的来信、梁启超的演说与何平的解释，不能混为同一个人的观点。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第4页“外欠／欠外”、第9页“出资／追加赔累”处宜稍作停顿。如果时间落后，缩短第2页的经历介绍和第6页的筹资细节，保留第三部分的法律与治理解释。</w:t>
      </w:r>
    </w:p>
    <w:p>
      <w:pPr>
        <w:pStyle w:val="Heading1"/>
        <w:pageBreakBefore/>
      </w:pPr>
      <w:r>
        <w:t>备用问答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20"/>
        </w:rPr>
        <w:t>以下不计入15分钟正文，按提问选择回答。</w:t>
      </w:r>
    </w:p>
    <w:p>
      <w:pPr>
        <w:pStyle w:val="Heading2"/>
      </w:pPr>
      <w:r>
        <w:t>1. 两元并存是什么意思？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2"/>
        </w:rPr>
        <w:t>“两”指以白银重量、成色为基础的银两，“元”指按枚计数的银元。两种计价、支付方式并行，产生换算和兑换需求。它解释了钱庄在特定业务上存续较久，与本文以票号考察组织转型的选题有关。</w:t>
      </w:r>
    </w:p>
    <w:p>
      <w:pPr>
        <w:pStyle w:val="Heading2"/>
      </w:pPr>
      <w:r>
        <w:t>2. “外欠”“欠外”“钞票折收”分别是什么？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2"/>
        </w:rPr>
        <w:t>外欠是别人欠票号的钱；欠外是票号欠外部客户的钱。前者倒账而后者集中提取，会叠加资产损失和支付压力。钞票折收指地方钞票按低于票面的价值接收；这段材料未逐省说明折价原因，不宜把所有省份都归为同一种原因。</w:t>
      </w:r>
    </w:p>
    <w:p>
      <w:pPr>
        <w:pStyle w:val="Heading2"/>
      </w:pPr>
      <w:r>
        <w:t>3. 票号的“汇水”和“息利”是什么？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2"/>
        </w:rPr>
        <w:t>汇水是办理异地汇兑所形成的费用或差价，息利是资金借贷的利息收益。来信说“息利尽失其权”，重点包括票号失去影响交易条件的主动权，不必理解为利息收入全部归零。</w:t>
      </w:r>
    </w:p>
    <w:p>
      <w:pPr>
        <w:pStyle w:val="Heading1"/>
        <w:pageBreakBefore/>
      </w:pPr>
      <w:r>
        <w:t>备用问答（续）</w:t>
      </w:r>
    </w:p>
    <w:p>
      <w:pPr>
        <w:pStyle w:val="Heading2"/>
      </w:pPr>
      <w:r>
        <w:t>4. “保护”等事就是政府兜底吗？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2"/>
        </w:rPr>
        <w:t>不是。文中既涉及注册后得到官方认可，也涉及倒账清偿等事务中的差别待遇。何平将相关脆弱性联系到最后贷款人支持缺失，但来信直接显示的是官方力量与清偿待遇，不能据此声称已有成熟的中央银行救助或存款保险。</w:t>
      </w:r>
    </w:p>
    <w:p>
      <w:pPr>
        <w:pStyle w:val="Heading2"/>
      </w:pPr>
      <w:r>
        <w:t>5. 是不是所有票号都没有改组？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2"/>
        </w:rPr>
        <w:t>不是。第41页明确提到蔚丰厚改组为蔚丰商业银行。跨票号联合办行未成，与个别票号各自改组，应分别讨论；这篇文章也不足以证明个别改组银行的长期经营绩效。</w:t>
      </w:r>
    </w:p>
    <w:p>
      <w:pPr>
        <w:pStyle w:val="Heading2"/>
      </w:pPr>
      <w:r>
        <w:t>6. “二元对立”是不是梁启超正式提出的理论名称？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2"/>
        </w:rPr>
        <w:t>不是。这里是何平引用后来的研究者对相关叙事的批评：传统票号与西式机构、进取经理与保守所有者被放到对立两端。何平通过史料时序与评价对象回应。早期书信能证明当时已有改革主张，并不能独自排除后来编选的选择性。</w:t>
      </w:r>
    </w:p>
    <w:p>
      <w:pPr>
        <w:pStyle w:val="Heading1"/>
        <w:pageBreakBefore/>
      </w:pPr>
      <w:r>
        <w:t>备用问答（续）</w:t>
      </w:r>
    </w:p>
    <w:p>
      <w:pPr>
        <w:pStyle w:val="Heading2"/>
      </w:pPr>
      <w:r>
        <w:t>7. 文章说“非自愿债权人”，银行存款人属于这一类吗？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2"/>
        </w:rPr>
        <w:t>一般存款债权由合同形成，不宜笼统归为非自愿债权人。事故受害者等无法事前参与协商的人，是更典型的例子。正文据此解释私人合同的边界，不沿用主文第47页对存款人的这一举例。</w:t>
      </w:r>
    </w:p>
    <w:p>
      <w:pPr>
        <w:pStyle w:val="Heading2"/>
      </w:pPr>
      <w:r>
        <w:t>8. 有限责任是否意味着股东永远不会破产？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2"/>
        </w:rPr>
        <w:t>不是。它通常限制特定公司债务对股东个人财产的追加追索，仍有出资义务、个人担保等条件。公司可能破产，股东也可能因其他负债破产。第48页的绝对措辞在汇报中作了限定。</w:t>
      </w:r>
    </w:p>
    <w:p>
      <w:pPr>
        <w:pStyle w:val="Heading2"/>
      </w:pPr>
      <w:r>
        <w:t>9. 为什么参考《别无他法》？</w:t>
      </w:r>
    </w:p>
    <w:p>
      <w:pPr>
        <w:keepNext w:val="0"/>
        <w:keepLines/>
        <w:ind w:firstLine="420"/>
      </w:pPr>
      <w:r>
        <w:rPr>
          <w:rFonts w:ascii="Noto Sans CJK SC" w:hAnsi="Noto Sans CJK SC" w:eastAsia="Noto Sans CJK SC"/>
          <w:b w:val="0"/>
          <w:color w:val="282627"/>
          <w:sz w:val="22"/>
        </w:rPr>
        <w:t>主文注[9]直接引用莫斯这本书第3章，第47—48页的机制分析与之相关。同学的展示帮助解释这部分理论，因此新版将其融入有限责任部分，没有另行展开美国立法史。原书和其他被引文献未单独核阅，转引来源已注明。</w:t>
      </w:r>
    </w:p>
    <w:p>
      <w:pPr>
        <w:pStyle w:val="Heading1"/>
        <w:pageBreakBefore/>
      </w:pPr>
      <w:r>
        <w:t>引文核对与资料说明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20"/>
        </w:rPr>
        <w:t>下列短句均已按主文PDF核对。页码指文章印刷页码，而非PDF页序。PPT中部分句末标点按节录需要处理。</w:t>
      </w:r>
    </w:p>
    <w:p>
      <w:pPr>
        <w:keepNext w:val="0"/>
        <w:keepLines/>
        <w:ind w:firstLine="0"/>
      </w:pPr>
      <w:r>
        <w:rPr>
          <w:rFonts w:ascii="Noto Serif CJK SC" w:hAnsi="Noto Serif CJK SC" w:eastAsia="Noto Serif CJK SC"/>
          <w:b w:val="0"/>
          <w:color w:val="282627"/>
          <w:sz w:val="20"/>
        </w:rPr>
        <w:t>第40页  “年轻诸伙，改为两年下班一次”</w:t>
      </w:r>
    </w:p>
    <w:p>
      <w:pPr>
        <w:keepNext w:val="0"/>
        <w:keepLines/>
        <w:ind w:firstLine="0"/>
      </w:pPr>
      <w:r>
        <w:rPr>
          <w:rFonts w:ascii="Noto Serif CJK SC" w:hAnsi="Noto Serif CJK SC" w:eastAsia="Noto Serif CJK SC"/>
          <w:b w:val="0"/>
          <w:color w:val="282627"/>
          <w:sz w:val="20"/>
        </w:rPr>
        <w:t>第40页  “全仗人力经营，方可立足”</w:t>
      </w:r>
    </w:p>
    <w:p>
      <w:pPr>
        <w:keepNext w:val="0"/>
        <w:keepLines/>
        <w:ind w:firstLine="0"/>
      </w:pPr>
      <w:r>
        <w:rPr>
          <w:rFonts w:ascii="Noto Serif CJK SC" w:hAnsi="Noto Serif CJK SC" w:eastAsia="Noto Serif CJK SC"/>
          <w:b w:val="0"/>
          <w:color w:val="282627"/>
          <w:sz w:val="20"/>
        </w:rPr>
        <w:t>第41页  “外欠则处处倒账，欠外则人人提款”</w:t>
      </w:r>
    </w:p>
    <w:p>
      <w:pPr>
        <w:keepNext w:val="0"/>
        <w:keepLines/>
        <w:ind w:firstLine="0"/>
      </w:pPr>
      <w:r>
        <w:rPr>
          <w:rFonts w:ascii="Noto Serif CJK SC" w:hAnsi="Noto Serif CJK SC" w:eastAsia="Noto Serif CJK SC"/>
          <w:b w:val="0"/>
          <w:color w:val="282627"/>
          <w:sz w:val="20"/>
        </w:rPr>
        <w:t>第43页  “夹带钞票即能办事，何必又出汇费乎”</w:t>
      </w:r>
    </w:p>
    <w:p>
      <w:pPr>
        <w:keepNext w:val="0"/>
        <w:keepLines/>
        <w:ind w:firstLine="0"/>
      </w:pPr>
      <w:r>
        <w:rPr>
          <w:rFonts w:ascii="Noto Serif CJK SC" w:hAnsi="Noto Serif CJK SC" w:eastAsia="Noto Serif CJK SC"/>
          <w:b w:val="0"/>
          <w:color w:val="282627"/>
          <w:sz w:val="20"/>
        </w:rPr>
        <w:t>第44页  “先尽该等之款悉数清偿”</w:t>
      </w:r>
    </w:p>
    <w:p>
      <w:pPr>
        <w:keepNext w:val="0"/>
        <w:keepLines/>
        <w:ind w:firstLine="0"/>
      </w:pPr>
      <w:r>
        <w:rPr>
          <w:rFonts w:ascii="Noto Serif CJK SC" w:hAnsi="Noto Serif CJK SC" w:eastAsia="Noto Serif CJK SC"/>
          <w:b w:val="0"/>
          <w:color w:val="282627"/>
          <w:sz w:val="20"/>
        </w:rPr>
        <w:t>第42页  “纵使票号尽废，有银行尚可延一线生机”</w:t>
      </w:r>
    </w:p>
    <w:p>
      <w:pPr>
        <w:keepNext w:val="0"/>
        <w:keepLines/>
        <w:ind w:firstLine="0"/>
      </w:pPr>
      <w:r>
        <w:rPr>
          <w:rFonts w:ascii="Noto Serif CJK SC" w:hAnsi="Noto Serif CJK SC" w:eastAsia="Noto Serif CJK SC"/>
          <w:b w:val="0"/>
          <w:color w:val="282627"/>
          <w:sz w:val="20"/>
        </w:rPr>
        <w:t>第45页  “吾票号因各地平色不同，故能从汇兑中有所取盈”</w:t>
      </w:r>
    </w:p>
    <w:p>
      <w:pPr>
        <w:keepNext w:val="0"/>
        <w:keepLines/>
        <w:ind w:firstLine="0"/>
      </w:pPr>
      <w:r>
        <w:rPr>
          <w:rFonts w:ascii="Noto Serif CJK SC" w:hAnsi="Noto Serif CJK SC" w:eastAsia="Noto Serif CJK SC"/>
          <w:b w:val="0"/>
          <w:color w:val="282627"/>
          <w:sz w:val="20"/>
        </w:rPr>
        <w:t>第42页  “不过其已出之资，不能再认赔累也”</w:t>
      </w:r>
    </w:p>
    <w:p>
      <w:pPr>
        <w:keepNext w:val="0"/>
        <w:keepLines/>
        <w:ind w:firstLine="0"/>
      </w:pPr>
      <w:r>
        <w:rPr>
          <w:rFonts w:ascii="Noto Serif CJK SC" w:hAnsi="Noto Serif CJK SC" w:eastAsia="Noto Serif CJK SC"/>
          <w:b w:val="0"/>
          <w:color w:val="282627"/>
          <w:sz w:val="20"/>
        </w:rPr>
        <w:t>第48页  “各总号既囿于见闻，复墨守成法”</w:t>
      </w:r>
    </w:p>
    <w:p>
      <w:pPr>
        <w:pStyle w:val="Heading2"/>
      </w:pPr>
      <w:r>
        <w:t>资料来源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19"/>
        </w:rPr>
        <w:t>何平：《李宏龄的票号成败论与近代中国公司制度的缺失》，《中国钱币》2022年第6期，第39—49页。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19"/>
        </w:rPr>
        <w:t>戴维·莫斯著，何平译：《别无他法：作为终极风险管理者的政府》，人民出版社，2014年，第3章“有限责任”，第62—101页。书目信息据主文注[9]；未另核原书。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19"/>
        </w:rPr>
        <w:t>寇令仪：《中国货币思想史课堂展示——〈别无他法〉第3章》（用户上传PPT），作为有限责任理论的辅助材料。新版外观以朱振坤最新上传PPT为模板。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19"/>
        </w:rPr>
        <w:t>李宏龄的书信、梁启超的演说，以及对王路曼、柯比等研究的介绍，均通过何平文章引用或转述，未单独核阅原书。汇报中的简短评议已在第13页及讲稿注明。</w:t>
      </w:r>
    </w:p>
    <w:p>
      <w:pPr>
        <w:keepNext w:val="0"/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19"/>
        </w:rPr>
        <w:t>理论解释采用一般责任边界，保留缴足出资、个人担保等条件；未沿用“股东肯定不会破产”或将存款人笼统列为非自愿债权人的表述。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F6A68"/>
        <w:sz w:val="18"/>
      </w:rPr>
      <w:t xml:space="preserve">逐页讲稿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F6A68"/>
        <w:sz w:val="18"/>
      </w:rPr>
      <w:t>货币思想史文献展示 · 朱振坤 · 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Noto Sans CJK SC" w:hAnsi="Noto Sans CJK SC" w:eastAsia="Noto Sans CJK SC"/>
      <w:color w:val="28262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4" w:lineRule="auto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9901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4" w:lineRule="auto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9901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4" w:lineRule="auto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826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74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9901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李宏龄票号成败论：修订版逐页讲稿</dc:title>
  <dc:subject/>
  <dc:creator>朱振坤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