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从票号信用</w:t>
        <w:br/>
        <w:t>到公司制度</w:t>
      </w:r>
    </w:p>
    <w:p>
      <w:pPr>
        <w:keepLines/>
        <w:ind w:firstLine="0"/>
      </w:pPr>
      <w:r>
        <w:rPr>
          <w:rFonts w:ascii="Noto Sans CJK SC" w:hAnsi="Noto Sans CJK SC" w:eastAsia="Noto Sans CJK SC"/>
          <w:b/>
          <w:color w:val="282627"/>
          <w:sz w:val="28"/>
        </w:rPr>
        <w:t>《李宏龄的票号成败论与近代中国公司制度的缺失》</w:t>
        <w:br/>
        <w:t>15分钟课堂展示 · 逐页讲稿</w:t>
      </w:r>
    </w:p>
    <w:p>
      <w:pPr>
        <w:keepLines/>
        <w:ind w:firstLine="0"/>
      </w:pPr>
      <w:r>
        <w:rPr>
          <w:rFonts w:ascii="Noto Sans CJK SC" w:hAnsi="Noto Sans CJK SC" w:eastAsia="Noto Sans CJK SC"/>
          <w:b w:val="0"/>
          <w:color w:val="6F6A68"/>
          <w:sz w:val="21"/>
        </w:rPr>
        <w:t>正文13页，计划讲述14分40秒，预留20秒用于停顿与切页。讲稿约3669汉字；按每分钟约250字排练。PPT第14—15页为参考文献和备用问答，不计入正文。</w:t>
      </w:r>
    </w:p>
    <w:p>
      <w:pPr>
        <w:keepLines/>
        <w:ind w:firstLine="0"/>
      </w:pPr>
      <w:r>
        <w:rPr>
          <w:rFonts w:ascii="Noto Sans CJK SC" w:hAnsi="Noto Sans CJK SC" w:eastAsia="Noto Sans CJK SC"/>
          <w:b/>
          <w:color w:val="282627"/>
          <w:sz w:val="22"/>
        </w:rPr>
        <w:t>主线：票号为何兴盛 → 衰退压力 → 联合办行 → 改制阻力 → 有限责任与公司治理。</w:t>
      </w:r>
    </w:p>
    <w:p>
      <w:pPr>
        <w:keepLines/>
        <w:ind w:firstLine="0"/>
      </w:pPr>
      <w:r>
        <w:rPr>
          <w:rFonts w:ascii="Noto Sans CJK SC" w:hAnsi="Noto Sans CJK SC" w:eastAsia="Noto Sans CJK SC"/>
          <w:b w:val="0"/>
          <w:color w:val="6F6A68"/>
          <w:sz w:val="21"/>
        </w:rPr>
        <w:t>使用方法：正文可直接照读；每节的“切页提示”和“出处”供备课使用，无须在课堂上朗读。完整讲稿亦已写入PPT备注。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vAlign w:val="center"/>
            <w:shd w:fill="F1E5E2"/>
          </w:tcPr>
          <w:p>
            <w:pPr>
              <w:spacing w:after="40" w:before="40" w:line="240" w:lineRule="auto"/>
              <w:ind w:firstLine="0"/>
            </w:pPr>
            <w:r>
              <w:rPr>
                <w:rFonts w:ascii="Noto Sans CJK SC" w:hAnsi="Noto Sans CJK SC" w:eastAsia="Noto Sans CJK SC"/>
                <w:b/>
                <w:color w:val="990100"/>
                <w:sz w:val="21"/>
              </w:rPr>
              <w:t>页码</w:t>
            </w:r>
          </w:p>
        </w:tc>
        <w:tc>
          <w:tcPr>
            <w:tcW w:type="dxa" w:w="3137"/>
            <w:vAlign w:val="center"/>
            <w:shd w:fill="F1E5E2"/>
          </w:tcPr>
          <w:p>
            <w:pPr>
              <w:spacing w:after="40" w:before="40" w:line="240" w:lineRule="auto"/>
              <w:ind w:firstLine="0"/>
            </w:pPr>
            <w:r>
              <w:rPr>
                <w:rFonts w:ascii="Noto Sans CJK SC" w:hAnsi="Noto Sans CJK SC" w:eastAsia="Noto Sans CJK SC"/>
                <w:b/>
                <w:color w:val="990100"/>
                <w:sz w:val="21"/>
              </w:rPr>
              <w:t>内容</w:t>
            </w:r>
          </w:p>
        </w:tc>
        <w:tc>
          <w:tcPr>
            <w:tcW w:type="dxa" w:w="3137"/>
            <w:vAlign w:val="center"/>
            <w:shd w:fill="F1E5E2"/>
          </w:tcPr>
          <w:p>
            <w:pPr>
              <w:spacing w:after="40" w:before="40" w:line="240" w:lineRule="auto"/>
              <w:ind w:firstLine="0"/>
            </w:pPr>
            <w:r>
              <w:rPr>
                <w:rFonts w:ascii="Noto Sans CJK SC" w:hAnsi="Noto Sans CJK SC" w:eastAsia="Noto Sans CJK SC"/>
                <w:b/>
                <w:color w:val="990100"/>
                <w:sz w:val="21"/>
              </w:rPr>
              <w:t>时间节点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 w:before="4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color w:val="282627"/>
                <w:sz w:val="21"/>
              </w:rPr>
              <w:t>1</w:t>
            </w:r>
          </w:p>
        </w:tc>
        <w:tc>
          <w:tcPr>
            <w:tcW w:type="dxa" w:w="3137"/>
            <w:vAlign w:val="center"/>
          </w:tcPr>
          <w:p>
            <w:pPr>
              <w:spacing w:after="40" w:before="4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color w:val="282627"/>
                <w:sz w:val="21"/>
              </w:rPr>
              <w:t>开场与问题</w:t>
            </w:r>
          </w:p>
        </w:tc>
        <w:tc>
          <w:tcPr>
            <w:tcW w:type="dxa" w:w="3137"/>
            <w:vAlign w:val="center"/>
          </w:tcPr>
          <w:p>
            <w:pPr>
              <w:spacing w:after="40" w:before="4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color w:val="282627"/>
                <w:sz w:val="21"/>
              </w:rPr>
              <w:t>00:00—00:30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 w:before="4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color w:val="282627"/>
                <w:sz w:val="21"/>
              </w:rPr>
              <w:t>2</w:t>
            </w:r>
          </w:p>
        </w:tc>
        <w:tc>
          <w:tcPr>
            <w:tcW w:type="dxa" w:w="3137"/>
            <w:vAlign w:val="center"/>
          </w:tcPr>
          <w:p>
            <w:pPr>
              <w:spacing w:after="40" w:before="4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color w:val="282627"/>
                <w:sz w:val="21"/>
              </w:rPr>
              <w:t>分析层次</w:t>
            </w:r>
          </w:p>
        </w:tc>
        <w:tc>
          <w:tcPr>
            <w:tcW w:type="dxa" w:w="3137"/>
            <w:vAlign w:val="center"/>
          </w:tcPr>
          <w:p>
            <w:pPr>
              <w:spacing w:after="40" w:before="4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color w:val="282627"/>
                <w:sz w:val="21"/>
              </w:rPr>
              <w:t>00:30—01:25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 w:before="4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color w:val="282627"/>
                <w:sz w:val="21"/>
              </w:rPr>
              <w:t>3</w:t>
            </w:r>
          </w:p>
        </w:tc>
        <w:tc>
          <w:tcPr>
            <w:tcW w:type="dxa" w:w="3137"/>
            <w:vAlign w:val="center"/>
          </w:tcPr>
          <w:p>
            <w:pPr>
              <w:spacing w:after="40" w:before="4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color w:val="282627"/>
                <w:sz w:val="21"/>
              </w:rPr>
              <w:t>人物与史料</w:t>
            </w:r>
          </w:p>
        </w:tc>
        <w:tc>
          <w:tcPr>
            <w:tcW w:type="dxa" w:w="3137"/>
            <w:vAlign w:val="center"/>
          </w:tcPr>
          <w:p>
            <w:pPr>
              <w:spacing w:after="40" w:before="4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color w:val="282627"/>
                <w:sz w:val="21"/>
              </w:rPr>
              <w:t>01:25—02:30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 w:before="4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color w:val="282627"/>
                <w:sz w:val="21"/>
              </w:rPr>
              <w:t>4</w:t>
            </w:r>
          </w:p>
        </w:tc>
        <w:tc>
          <w:tcPr>
            <w:tcW w:type="dxa" w:w="3137"/>
            <w:vAlign w:val="center"/>
          </w:tcPr>
          <w:p>
            <w:pPr>
              <w:spacing w:after="40" w:before="4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color w:val="282627"/>
                <w:sz w:val="21"/>
              </w:rPr>
              <w:t>票号兴盛</w:t>
            </w:r>
          </w:p>
        </w:tc>
        <w:tc>
          <w:tcPr>
            <w:tcW w:type="dxa" w:w="3137"/>
            <w:vAlign w:val="center"/>
          </w:tcPr>
          <w:p>
            <w:pPr>
              <w:spacing w:after="40" w:before="4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color w:val="282627"/>
                <w:sz w:val="21"/>
              </w:rPr>
              <w:t>02:30—03:35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 w:before="4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color w:val="282627"/>
                <w:sz w:val="21"/>
              </w:rPr>
              <w:t>5</w:t>
            </w:r>
          </w:p>
        </w:tc>
        <w:tc>
          <w:tcPr>
            <w:tcW w:type="dxa" w:w="3137"/>
            <w:vAlign w:val="center"/>
          </w:tcPr>
          <w:p>
            <w:pPr>
              <w:spacing w:after="40" w:before="4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color w:val="282627"/>
                <w:sz w:val="21"/>
              </w:rPr>
              <w:t>三股衰退压力</w:t>
            </w:r>
          </w:p>
        </w:tc>
        <w:tc>
          <w:tcPr>
            <w:tcW w:type="dxa" w:w="3137"/>
            <w:vAlign w:val="center"/>
          </w:tcPr>
          <w:p>
            <w:pPr>
              <w:spacing w:after="40" w:before="4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color w:val="282627"/>
                <w:sz w:val="21"/>
              </w:rPr>
              <w:t>03:35—04:55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 w:before="4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color w:val="282627"/>
                <w:sz w:val="21"/>
              </w:rPr>
              <w:t>6</w:t>
            </w:r>
          </w:p>
        </w:tc>
        <w:tc>
          <w:tcPr>
            <w:tcW w:type="dxa" w:w="3137"/>
            <w:vAlign w:val="center"/>
          </w:tcPr>
          <w:p>
            <w:pPr>
              <w:spacing w:after="40" w:before="4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color w:val="282627"/>
                <w:sz w:val="21"/>
              </w:rPr>
              <w:t>货币思想史视角</w:t>
            </w:r>
          </w:p>
        </w:tc>
        <w:tc>
          <w:tcPr>
            <w:tcW w:type="dxa" w:w="3137"/>
            <w:vAlign w:val="center"/>
          </w:tcPr>
          <w:p>
            <w:pPr>
              <w:spacing w:after="40" w:before="4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color w:val="282627"/>
                <w:sz w:val="21"/>
              </w:rPr>
              <w:t>04:55—06:10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 w:before="4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color w:val="282627"/>
                <w:sz w:val="21"/>
              </w:rPr>
              <w:t>7</w:t>
            </w:r>
          </w:p>
        </w:tc>
        <w:tc>
          <w:tcPr>
            <w:tcW w:type="dxa" w:w="3137"/>
            <w:vAlign w:val="center"/>
          </w:tcPr>
          <w:p>
            <w:pPr>
              <w:spacing w:after="40" w:before="4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color w:val="282627"/>
                <w:sz w:val="21"/>
              </w:rPr>
              <w:t>李宏龄的方案</w:t>
            </w:r>
          </w:p>
        </w:tc>
        <w:tc>
          <w:tcPr>
            <w:tcW w:type="dxa" w:w="3137"/>
            <w:vAlign w:val="center"/>
          </w:tcPr>
          <w:p>
            <w:pPr>
              <w:spacing w:after="40" w:before="4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color w:val="282627"/>
                <w:sz w:val="21"/>
              </w:rPr>
              <w:t>06:10—07:30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 w:before="4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color w:val="282627"/>
                <w:sz w:val="21"/>
              </w:rPr>
              <w:t>8</w:t>
            </w:r>
          </w:p>
        </w:tc>
        <w:tc>
          <w:tcPr>
            <w:tcW w:type="dxa" w:w="3137"/>
            <w:vAlign w:val="center"/>
          </w:tcPr>
          <w:p>
            <w:pPr>
              <w:spacing w:after="40" w:before="4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color w:val="282627"/>
                <w:sz w:val="21"/>
              </w:rPr>
              <w:t>改革为何受阻</w:t>
            </w:r>
          </w:p>
        </w:tc>
        <w:tc>
          <w:tcPr>
            <w:tcW w:type="dxa" w:w="3137"/>
            <w:vAlign w:val="center"/>
          </w:tcPr>
          <w:p>
            <w:pPr>
              <w:spacing w:after="40" w:before="4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color w:val="282627"/>
                <w:sz w:val="21"/>
              </w:rPr>
              <w:t>07:30—08:50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 w:before="4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color w:val="282627"/>
                <w:sz w:val="21"/>
              </w:rPr>
              <w:t>9</w:t>
            </w:r>
          </w:p>
        </w:tc>
        <w:tc>
          <w:tcPr>
            <w:tcW w:type="dxa" w:w="3137"/>
            <w:vAlign w:val="center"/>
          </w:tcPr>
          <w:p>
            <w:pPr>
              <w:spacing w:after="40" w:before="4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color w:val="282627"/>
                <w:sz w:val="21"/>
              </w:rPr>
              <w:t>有限责任机制</w:t>
            </w:r>
          </w:p>
        </w:tc>
        <w:tc>
          <w:tcPr>
            <w:tcW w:type="dxa" w:w="3137"/>
            <w:vAlign w:val="center"/>
          </w:tcPr>
          <w:p>
            <w:pPr>
              <w:spacing w:after="40" w:before="4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color w:val="282627"/>
                <w:sz w:val="21"/>
              </w:rPr>
              <w:t>08:50—10:15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 w:before="4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color w:val="282627"/>
                <w:sz w:val="21"/>
              </w:rPr>
              <w:t>10</w:t>
            </w:r>
          </w:p>
        </w:tc>
        <w:tc>
          <w:tcPr>
            <w:tcW w:type="dxa" w:w="3137"/>
            <w:vAlign w:val="center"/>
          </w:tcPr>
          <w:p>
            <w:pPr>
              <w:spacing w:after="40" w:before="4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color w:val="282627"/>
                <w:sz w:val="21"/>
              </w:rPr>
              <w:t>与莫斯的理论连接</w:t>
            </w:r>
          </w:p>
        </w:tc>
        <w:tc>
          <w:tcPr>
            <w:tcW w:type="dxa" w:w="3137"/>
            <w:vAlign w:val="center"/>
          </w:tcPr>
          <w:p>
            <w:pPr>
              <w:spacing w:after="40" w:before="4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color w:val="282627"/>
                <w:sz w:val="21"/>
              </w:rPr>
              <w:t>10:15—11:20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 w:before="4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color w:val="282627"/>
                <w:sz w:val="21"/>
              </w:rPr>
              <w:t>11</w:t>
            </w:r>
          </w:p>
        </w:tc>
        <w:tc>
          <w:tcPr>
            <w:tcW w:type="dxa" w:w="3137"/>
            <w:vAlign w:val="center"/>
          </w:tcPr>
          <w:p>
            <w:pPr>
              <w:spacing w:after="40" w:before="4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color w:val="282627"/>
                <w:sz w:val="21"/>
              </w:rPr>
              <w:t>如何判断成败</w:t>
            </w:r>
          </w:p>
        </w:tc>
        <w:tc>
          <w:tcPr>
            <w:tcW w:type="dxa" w:w="3137"/>
            <w:vAlign w:val="center"/>
          </w:tcPr>
          <w:p>
            <w:pPr>
              <w:spacing w:after="40" w:before="4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color w:val="282627"/>
                <w:sz w:val="21"/>
              </w:rPr>
              <w:t>11:20—12:25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 w:before="4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color w:val="282627"/>
                <w:sz w:val="21"/>
              </w:rPr>
              <w:t>12</w:t>
            </w:r>
          </w:p>
        </w:tc>
        <w:tc>
          <w:tcPr>
            <w:tcW w:type="dxa" w:w="3137"/>
            <w:vAlign w:val="center"/>
          </w:tcPr>
          <w:p>
            <w:pPr>
              <w:spacing w:after="40" w:before="4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color w:val="282627"/>
                <w:sz w:val="21"/>
              </w:rPr>
              <w:t>文献评价</w:t>
            </w:r>
          </w:p>
        </w:tc>
        <w:tc>
          <w:tcPr>
            <w:tcW w:type="dxa" w:w="3137"/>
            <w:vAlign w:val="center"/>
          </w:tcPr>
          <w:p>
            <w:pPr>
              <w:spacing w:after="40" w:before="4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color w:val="282627"/>
                <w:sz w:val="21"/>
              </w:rPr>
              <w:t>12:25—13:45</w:t>
            </w:r>
          </w:p>
        </w:tc>
      </w:tr>
      <w:tr>
        <w:tc>
          <w:tcPr>
            <w:tcW w:type="dxa" w:w="3137"/>
            <w:vAlign w:val="center"/>
          </w:tcPr>
          <w:p>
            <w:pPr>
              <w:spacing w:after="40" w:before="4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color w:val="282627"/>
                <w:sz w:val="21"/>
              </w:rPr>
              <w:t>13</w:t>
            </w:r>
          </w:p>
        </w:tc>
        <w:tc>
          <w:tcPr>
            <w:tcW w:type="dxa" w:w="3137"/>
            <w:vAlign w:val="center"/>
          </w:tcPr>
          <w:p>
            <w:pPr>
              <w:spacing w:after="40" w:before="4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color w:val="282627"/>
                <w:sz w:val="21"/>
              </w:rPr>
              <w:t>结论与讨论</w:t>
            </w:r>
          </w:p>
        </w:tc>
        <w:tc>
          <w:tcPr>
            <w:tcW w:type="dxa" w:w="3137"/>
            <w:vAlign w:val="center"/>
          </w:tcPr>
          <w:p>
            <w:pPr>
              <w:spacing w:after="40" w:before="40" w:line="240" w:lineRule="auto"/>
              <w:ind w:firstLine="0"/>
            </w:pPr>
            <w:r>
              <w:rPr>
                <w:rFonts w:ascii="Noto Sans CJK SC" w:hAnsi="Noto Sans CJK SC" w:eastAsia="Noto Sans CJK SC"/>
                <w:b w:val="0"/>
                <w:color w:val="282627"/>
                <w:sz w:val="21"/>
              </w:rPr>
              <w:t>13:45—14:40</w:t>
            </w:r>
          </w:p>
        </w:tc>
      </w:tr>
    </w:tbl>
    <w:p>
      <w:r>
        <w:br w:type="page"/>
      </w:r>
    </w:p>
    <w:p>
      <w:pPr>
        <w:pStyle w:val="Heading2"/>
      </w:pPr>
      <w:r>
        <w:t>第1页｜00:00—00:30（30秒）</w:t>
      </w:r>
    </w:p>
    <w:p>
      <w:pPr>
        <w:keepNext/>
        <w:keepLines/>
        <w:ind w:firstLine="0"/>
      </w:pPr>
      <w:r>
        <w:rPr>
          <w:rFonts w:ascii="Noto Sans CJK SC" w:hAnsi="Noto Sans CJK SC" w:eastAsia="Noto Sans CJK SC"/>
          <w:b/>
          <w:color w:val="282627"/>
          <w:sz w:val="24"/>
        </w:rPr>
        <w:t>从票号信用到公司制度</w:t>
      </w:r>
    </w:p>
    <w:p>
      <w:pPr>
        <w:keepNext/>
        <w:keepLines/>
        <w:ind w:firstLine="425"/>
      </w:pPr>
      <w:r>
        <w:rPr>
          <w:rFonts w:ascii="Noto Sans CJK SC" w:hAnsi="Noto Sans CJK SC" w:eastAsia="Noto Sans CJK SC"/>
          <w:b w:val="0"/>
          <w:color w:val="282627"/>
          <w:sz w:val="23"/>
        </w:rPr>
        <w:t>大家好，今天我汇报何平的《李宏龄的票号成败论与近代中国公司制度的缺失》。我想围绕一个问题展开：山西票号曾经依靠信用和经营网络取得成功，为什么到了清末，却没能普遍转成新式银行？我会先看李宏龄怎样理解危机、提出改革，再看何平如何用公司制度解释这场转型的受阻。</w:t>
      </w:r>
    </w:p>
    <w:p>
      <w:pPr>
        <w:keepNext/>
        <w:keepLines/>
        <w:ind w:firstLine="0"/>
      </w:pPr>
      <w:r>
        <w:rPr>
          <w:rFonts w:ascii="Noto Sans CJK SC" w:hAnsi="Noto Sans CJK SC" w:eastAsia="Noto Sans CJK SC"/>
          <w:b w:val="0"/>
          <w:color w:val="990100"/>
          <w:sz w:val="19"/>
        </w:rPr>
        <w:t>切页提示：点明问题后切换第2页。</w:t>
      </w:r>
    </w:p>
    <w:p>
      <w:pPr>
        <w:keepLines/>
        <w:ind w:firstLine="0"/>
      </w:pPr>
      <w:r>
        <w:rPr>
          <w:rFonts w:ascii="Noto Sans CJK SC" w:hAnsi="Noto Sans CJK SC" w:eastAsia="Noto Sans CJK SC"/>
          <w:b w:val="0"/>
          <w:color w:val="6F6A68"/>
          <w:sz w:val="18"/>
        </w:rPr>
        <w:t>出处：何平（2022），39—49页</w:t>
      </w:r>
    </w:p>
    <w:p>
      <w:pPr>
        <w:pStyle w:val="Heading2"/>
      </w:pPr>
      <w:r>
        <w:t>第2页｜00:30—01:25（55秒）</w:t>
      </w:r>
    </w:p>
    <w:p>
      <w:pPr>
        <w:keepNext/>
        <w:keepLines/>
        <w:ind w:firstLine="0"/>
      </w:pPr>
      <w:r>
        <w:rPr>
          <w:rFonts w:ascii="Noto Sans CJK SC" w:hAnsi="Noto Sans CJK SC" w:eastAsia="Noto Sans CJK SC"/>
          <w:b/>
          <w:color w:val="282627"/>
          <w:sz w:val="24"/>
        </w:rPr>
        <w:t>有信用、有经验，票号为何未能普遍转成银行？</w:t>
      </w:r>
    </w:p>
    <w:p>
      <w:pPr>
        <w:keepLines/>
        <w:ind w:firstLine="425"/>
      </w:pPr>
      <w:r>
        <w:rPr>
          <w:rFonts w:ascii="Noto Sans CJK SC" w:hAnsi="Noto Sans CJK SC" w:eastAsia="Noto Sans CJK SC"/>
          <w:b w:val="0"/>
          <w:color w:val="282627"/>
          <w:sz w:val="23"/>
        </w:rPr>
        <w:t>我们很容易把票号衰落理解成老商人不愿接受新东西。但读完这篇文章，会发现事情没有这么简单。票号并不缺经营经验，也不是完全没有创新。更重要的是，票号内部已经有人清楚认识到银行的优势，甚至提出了相当具体的改制计划。那么，有了问题意识和改革方案，为什么转型仍然困难？</w:t>
      </w:r>
    </w:p>
    <w:p>
      <w:pPr>
        <w:keepLines/>
        <w:ind w:firstLine="425"/>
      </w:pPr>
      <w:r>
        <w:rPr>
          <w:rFonts w:ascii="Noto Sans CJK SC" w:hAnsi="Noto Sans CJK SC" w:eastAsia="Noto Sans CJK SC"/>
          <w:b w:val="0"/>
          <w:color w:val="282627"/>
          <w:sz w:val="23"/>
        </w:rPr>
        <w:t>本文给出的解释，是从业务竞争继续追问到组织与治理。如果只用“保守”两个字概括，我们就无法解释为什么同一家票号内部，会出现对改革如此不同的判断。接下来，我会把三个层次分开：李宏龄看到的经营危机，他提出的银行方案，以及何平对方案失败的制度解释。</w:t>
      </w:r>
    </w:p>
    <w:p>
      <w:pPr>
        <w:keepNext/>
        <w:keepLines/>
        <w:ind w:firstLine="425"/>
      </w:pPr>
      <w:r>
        <w:rPr>
          <w:rFonts w:ascii="Noto Sans CJK SC" w:hAnsi="Noto Sans CJK SC" w:eastAsia="Noto Sans CJK SC"/>
          <w:b w:val="0"/>
          <w:color w:val="282627"/>
          <w:sz w:val="23"/>
        </w:rPr>
        <w:t>这样也能避免把今天的理论，全部当成李宏龄当年已经系统提出的思想。</w:t>
      </w:r>
    </w:p>
    <w:p>
      <w:pPr>
        <w:keepNext/>
        <w:keepLines/>
        <w:ind w:firstLine="0"/>
      </w:pPr>
      <w:r>
        <w:rPr>
          <w:rFonts w:ascii="Noto Sans CJK SC" w:hAnsi="Noto Sans CJK SC" w:eastAsia="Noto Sans CJK SC"/>
          <w:b w:val="0"/>
          <w:color w:val="990100"/>
          <w:sz w:val="19"/>
        </w:rPr>
        <w:t>切页提示：强调三个层次，切换人物与史料时间线。</w:t>
      </w:r>
    </w:p>
    <w:p>
      <w:pPr>
        <w:keepLines/>
        <w:ind w:firstLine="0"/>
      </w:pPr>
      <w:r>
        <w:rPr>
          <w:rFonts w:ascii="Noto Sans CJK SC" w:hAnsi="Noto Sans CJK SC" w:eastAsia="Noto Sans CJK SC"/>
          <w:b w:val="0"/>
          <w:color w:val="6F6A68"/>
          <w:sz w:val="18"/>
        </w:rPr>
        <w:t>出处：何平（2022），39、41、47—49页。</w:t>
      </w:r>
    </w:p>
    <w:p>
      <w:pPr>
        <w:pStyle w:val="Heading2"/>
      </w:pPr>
      <w:r>
        <w:t>第3页｜01:25—02:30（65秒）</w:t>
      </w:r>
    </w:p>
    <w:p>
      <w:pPr>
        <w:keepNext/>
        <w:keepLines/>
        <w:ind w:firstLine="0"/>
      </w:pPr>
      <w:r>
        <w:rPr>
          <w:rFonts w:ascii="Noto Sans CJK SC" w:hAnsi="Noto Sans CJK SC" w:eastAsia="Noto Sans CJK SC"/>
          <w:b/>
          <w:color w:val="282627"/>
          <w:sz w:val="24"/>
        </w:rPr>
        <w:t>先分清：谁在说，什么时候说？</w:t>
      </w:r>
    </w:p>
    <w:p>
      <w:pPr>
        <w:keepLines/>
        <w:ind w:firstLine="425"/>
      </w:pPr>
      <w:r>
        <w:rPr>
          <w:rFonts w:ascii="Noto Sans CJK SC" w:hAnsi="Noto Sans CJK SC" w:eastAsia="Noto Sans CJK SC"/>
          <w:b w:val="0"/>
          <w:color w:val="282627"/>
          <w:sz w:val="23"/>
        </w:rPr>
        <w:t>先认识一下李宏龄。他在一八六二年进入蔚丰厚票号，后来先后主持北京、上海、汉口的分号业务，是一位长期处在经营一线的经理。他的价值，在于让我们听到票号内部对自身处境的判断。</w:t>
      </w:r>
    </w:p>
    <w:p>
      <w:pPr>
        <w:keepLines/>
        <w:ind w:firstLine="425"/>
      </w:pPr>
      <w:r>
        <w:rPr>
          <w:rFonts w:ascii="Noto Sans CJK SC" w:hAnsi="Noto Sans CJK SC" w:eastAsia="Noto Sans CJK SC"/>
          <w:b w:val="0"/>
          <w:color w:val="282627"/>
          <w:sz w:val="23"/>
        </w:rPr>
        <w:t>这里尤其要看清时间线：一九〇八到一九〇九年，李宏龄与各地票号围绕合股设立银行往来通信；一九一二年，梁启超向山西票商发表演说；到一九一七年，李宏龄才将相关材料整理出版。因此，出版时间不能直接当成思想形成时间。</w:t>
      </w:r>
    </w:p>
    <w:p>
      <w:pPr>
        <w:keepNext/>
        <w:keepLines/>
        <w:ind w:firstLine="425"/>
      </w:pPr>
      <w:r>
        <w:rPr>
          <w:rFonts w:ascii="Noto Sans CJK SC" w:hAnsi="Noto Sans CJK SC" w:eastAsia="Noto Sans CJK SC"/>
          <w:b w:val="0"/>
          <w:color w:val="282627"/>
          <w:sz w:val="23"/>
        </w:rPr>
        <w:t>不过，工作书信也不是完全中立的记录：它们本身承担着说服总号、推动改革的任务，后来又经过选择和编辑。阅读时，既要重视亲历者的证词，也要留意他的立场。这里的史料既记录了经营事实，也记录了经理试图改变决策的努力，两种性质需要同时理解。</w:t>
      </w:r>
    </w:p>
    <w:p>
      <w:pPr>
        <w:keepNext/>
        <w:keepLines/>
        <w:ind w:firstLine="0"/>
      </w:pPr>
      <w:r>
        <w:rPr>
          <w:rFonts w:ascii="Noto Sans CJK SC" w:hAnsi="Noto Sans CJK SC" w:eastAsia="Noto Sans CJK SC"/>
          <w:b w:val="0"/>
          <w:color w:val="990100"/>
          <w:sz w:val="19"/>
        </w:rPr>
        <w:t>切页提示：指示1908—1909早于1912、1917，再切换兴盛机制。</w:t>
      </w:r>
    </w:p>
    <w:p>
      <w:pPr>
        <w:keepLines/>
        <w:ind w:firstLine="0"/>
      </w:pPr>
      <w:r>
        <w:rPr>
          <w:rFonts w:ascii="Noto Sans CJK SC" w:hAnsi="Noto Sans CJK SC" w:eastAsia="Noto Sans CJK SC"/>
          <w:b w:val="0"/>
          <w:color w:val="6F6A68"/>
          <w:sz w:val="18"/>
        </w:rPr>
        <w:t>出处：何平（2022），39—40、45—46页；所列为史料形成与出版时间。</w:t>
      </w:r>
    </w:p>
    <w:p>
      <w:pPr>
        <w:pStyle w:val="Heading2"/>
      </w:pPr>
      <w:r>
        <w:t>第4页｜02:30—03:35（65秒）</w:t>
      </w:r>
    </w:p>
    <w:p>
      <w:pPr>
        <w:keepNext/>
        <w:keepLines/>
        <w:ind w:firstLine="0"/>
      </w:pPr>
      <w:r>
        <w:rPr>
          <w:rFonts w:ascii="Noto Sans CJK SC" w:hAnsi="Noto Sans CJK SC" w:eastAsia="Noto Sans CJK SC"/>
          <w:b/>
          <w:color w:val="282627"/>
          <w:sz w:val="24"/>
        </w:rPr>
        <w:t>票号的兴盛，建立在信用、网络与特定业务之上</w:t>
      </w:r>
    </w:p>
    <w:p>
      <w:pPr>
        <w:keepLines/>
        <w:ind w:firstLine="425"/>
      </w:pPr>
      <w:r>
        <w:rPr>
          <w:rFonts w:ascii="Noto Sans CJK SC" w:hAnsi="Noto Sans CJK SC" w:eastAsia="Noto Sans CJK SC"/>
          <w:b w:val="0"/>
          <w:color w:val="282627"/>
          <w:sz w:val="23"/>
        </w:rPr>
        <w:t>理解衰落以前，先要知道票号为什么能兴盛。可以把它的优势理解为三个相互支撑的部分。第一是信用，让客户相信异地也能兑现；第二是遍布各地的分号网络，把不同地方的收付款连接起来；第三是官款和商业汇兑业务，为网络带来稳定需求。</w:t>
      </w:r>
    </w:p>
    <w:p>
      <w:pPr>
        <w:keepLines/>
        <w:ind w:firstLine="425"/>
      </w:pPr>
      <w:r>
        <w:rPr>
          <w:rFonts w:ascii="Noto Sans CJK SC" w:hAnsi="Noto Sans CJK SC" w:eastAsia="Noto Sans CJK SC"/>
          <w:b w:val="0"/>
          <w:color w:val="282627"/>
          <w:sz w:val="23"/>
        </w:rPr>
        <w:t>文章引用李宏龄的描述，说“一纸之信符遥传，百万之巨款立集”，强调的正是这种跨地域组织资金的能力。特别是在道路不畅、实物运银困难的时候，汇兑可以节省运输成本，也能服务军饷、协款和赈济。这说明信用不是一句抽象的道德赞美，它要靠人员、分号和实际兑现能力来支撑，也要有持续的业务需求。</w:t>
      </w:r>
    </w:p>
    <w:p>
      <w:pPr>
        <w:keepNext/>
        <w:keepLines/>
        <w:ind w:firstLine="425"/>
      </w:pPr>
      <w:r>
        <w:rPr>
          <w:rFonts w:ascii="Noto Sans CJK SC" w:hAnsi="Noto Sans CJK SC" w:eastAsia="Noto Sans CJK SC"/>
          <w:b w:val="0"/>
          <w:color w:val="282627"/>
          <w:sz w:val="23"/>
        </w:rPr>
        <w:t>但这里也埋着一个问题：票号的成功与特定的财政安排、货币环境紧密联系。当这些条件改变，过去的优势就未必还能自动转化为新的优势。</w:t>
      </w:r>
    </w:p>
    <w:p>
      <w:pPr>
        <w:keepNext/>
        <w:keepLines/>
        <w:ind w:firstLine="0"/>
      </w:pPr>
      <w:r>
        <w:rPr>
          <w:rFonts w:ascii="Noto Sans CJK SC" w:hAnsi="Noto Sans CJK SC" w:eastAsia="Noto Sans CJK SC"/>
          <w:b w:val="0"/>
          <w:color w:val="990100"/>
          <w:sz w:val="19"/>
        </w:rPr>
        <w:t>切页提示：由“成功依赖哪些条件”过渡到条件如何变化。</w:t>
      </w:r>
    </w:p>
    <w:p>
      <w:pPr>
        <w:keepLines/>
        <w:ind w:firstLine="0"/>
      </w:pPr>
      <w:r>
        <w:rPr>
          <w:rFonts w:ascii="Noto Sans CJK SC" w:hAnsi="Noto Sans CJK SC" w:eastAsia="Noto Sans CJK SC"/>
          <w:b w:val="0"/>
          <w:color w:val="6F6A68"/>
          <w:sz w:val="18"/>
        </w:rPr>
        <w:t>出处：何平（2022），41、45—47页；本页为机制归纳。</w:t>
      </w:r>
    </w:p>
    <w:p>
      <w:pPr>
        <w:pStyle w:val="Heading2"/>
      </w:pPr>
      <w:r>
        <w:t>第5页｜03:35—04:55（80秒）</w:t>
      </w:r>
    </w:p>
    <w:p>
      <w:pPr>
        <w:keepNext/>
        <w:keepLines/>
        <w:ind w:firstLine="0"/>
      </w:pPr>
      <w:r>
        <w:rPr>
          <w:rFonts w:ascii="Noto Sans CJK SC" w:hAnsi="Noto Sans CJK SC" w:eastAsia="Noto Sans CJK SC"/>
          <w:b/>
          <w:color w:val="282627"/>
          <w:sz w:val="24"/>
        </w:rPr>
        <w:t>衰退压力同时来自业务、资金与规则</w:t>
      </w:r>
    </w:p>
    <w:p>
      <w:pPr>
        <w:keepLines/>
        <w:ind w:firstLine="425"/>
      </w:pPr>
      <w:r>
        <w:rPr>
          <w:rFonts w:ascii="Noto Sans CJK SC" w:hAnsi="Noto Sans CJK SC" w:eastAsia="Noto Sans CJK SC"/>
          <w:b w:val="0"/>
          <w:color w:val="282627"/>
          <w:sz w:val="23"/>
        </w:rPr>
        <w:t>李宏龄观察到的压力，主要有三个方向。首先是官款转移。户部银行以及各省银行成立以后，原来由票号承办的一部分官款汇兑，转到了银行手里。其次是存贷款竞争。银行借助较雄厚的资金，能够用更高的存款利息吸收资金，也能影响放款价格，票号越来越被动。</w:t>
      </w:r>
    </w:p>
    <w:p>
      <w:pPr>
        <w:keepLines/>
        <w:ind w:firstLine="425"/>
      </w:pPr>
      <w:r>
        <w:rPr>
          <w:rFonts w:ascii="Noto Sans CJK SC" w:hAnsi="Noto Sans CJK SC" w:eastAsia="Noto Sans CJK SC"/>
          <w:b w:val="0"/>
          <w:color w:val="282627"/>
          <w:sz w:val="23"/>
        </w:rPr>
        <w:t>李宏龄在信中估计，同行二十多家的生意已经减少四五成，存款被提走六七成。这里要特别说明，这些是当事人用于说明危机的估计，不能当成经过统计核验的全行业数字。此外，外国银行也在扩展业务，凭借资本和经营经验争夺客户。因此，票号受到的是国内外银行共同带来的竞争压力。第三是制度上的压力。</w:t>
      </w:r>
    </w:p>
    <w:p>
      <w:pPr>
        <w:keepNext/>
        <w:keepLines/>
        <w:ind w:firstLine="425"/>
      </w:pPr>
      <w:r>
        <w:rPr>
          <w:rFonts w:ascii="Noto Sans CJK SC" w:hAnsi="Noto Sans CJK SC" w:eastAsia="Noto Sans CJK SC"/>
          <w:b w:val="0"/>
          <w:color w:val="282627"/>
          <w:sz w:val="23"/>
        </w:rPr>
        <w:t>一九〇八年的银行则例要求具有银行性质的机构注册，逾期未注册，就不能继续办理官款的汇兑和存放。所以，票号面对的并不只是多了几个竞争者，而是业务来源、资金价格和经营规则同时发生变化。</w:t>
      </w:r>
    </w:p>
    <w:p>
      <w:pPr>
        <w:keepNext/>
        <w:keepLines/>
        <w:ind w:firstLine="0"/>
      </w:pPr>
      <w:r>
        <w:rPr>
          <w:rFonts w:ascii="Noto Sans CJK SC" w:hAnsi="Noto Sans CJK SC" w:eastAsia="Noto Sans CJK SC"/>
          <w:b w:val="0"/>
          <w:color w:val="990100"/>
          <w:sz w:val="19"/>
        </w:rPr>
        <w:t>切页提示：数字处短停顿，明确是信中估计；切换货币制度变化。</w:t>
      </w:r>
    </w:p>
    <w:p>
      <w:pPr>
        <w:keepLines/>
        <w:ind w:firstLine="0"/>
      </w:pPr>
      <w:r>
        <w:rPr>
          <w:rFonts w:ascii="Noto Sans CJK SC" w:hAnsi="Noto Sans CJK SC" w:eastAsia="Noto Sans CJK SC"/>
          <w:b w:val="0"/>
          <w:color w:val="6F6A68"/>
          <w:sz w:val="18"/>
        </w:rPr>
        <w:t>出处：何平（2022），41—42页。40%—50%、60%—70%为1908年信中估计。</w:t>
      </w:r>
    </w:p>
    <w:p>
      <w:pPr>
        <w:pStyle w:val="Heading2"/>
      </w:pPr>
      <w:r>
        <w:t>第6页｜04:55—06:10（75秒）</w:t>
      </w:r>
    </w:p>
    <w:p>
      <w:pPr>
        <w:keepNext/>
        <w:keepLines/>
        <w:ind w:firstLine="0"/>
      </w:pPr>
      <w:r>
        <w:rPr>
          <w:rFonts w:ascii="Noto Sans CJK SC" w:hAnsi="Noto Sans CJK SC" w:eastAsia="Noto Sans CJK SC"/>
          <w:b/>
          <w:color w:val="282627"/>
          <w:sz w:val="24"/>
        </w:rPr>
        <w:t>从货币思想史看：票号利益与金融改革发生了张力</w:t>
      </w:r>
    </w:p>
    <w:p>
      <w:pPr>
        <w:keepLines/>
        <w:ind w:firstLine="425"/>
      </w:pPr>
      <w:r>
        <w:rPr>
          <w:rFonts w:ascii="Noto Sans CJK SC" w:hAnsi="Noto Sans CJK SC" w:eastAsia="Noto Sans CJK SC"/>
          <w:b w:val="0"/>
          <w:color w:val="282627"/>
          <w:sz w:val="23"/>
        </w:rPr>
        <w:t>从货币思想史的角度看，我觉得最值得注意的是：票号的利益，开始与更大范围的金融制度变革发生张力。比如各地票号担心，银行钞票流通以后，客户带着钞票就能付款，对一部分汇兑服务的需求会减少。这是当时经营者对货币工具变化的观察和预期，并不是说钞票已经完全替代了汇兑。梁启超的分析更进一步。</w:t>
      </w:r>
    </w:p>
    <w:p>
      <w:pPr>
        <w:keepLines/>
        <w:ind w:firstLine="425"/>
      </w:pPr>
      <w:r>
        <w:rPr>
          <w:rFonts w:ascii="Noto Sans CJK SC" w:hAnsi="Noto Sans CJK SC" w:eastAsia="Noto Sans CJK SC"/>
          <w:b w:val="0"/>
          <w:color w:val="282627"/>
          <w:sz w:val="23"/>
        </w:rPr>
        <w:t>他指出，票号曾经从各地货币成色、计量标准的差异，以及不完善的金库安排中获得收益；但从国民经济出发，币制统一和金库改革又有必要。因此，一种制度对某个行业有利，不等于它对整个金融秩序最有利。银行券的扩展和币制统一并非同一件事，但它们都可能改变客户为什么需要票号、愿意为哪些服务付费。</w:t>
      </w:r>
    </w:p>
    <w:p>
      <w:pPr>
        <w:keepNext/>
        <w:keepLines/>
        <w:ind w:firstLine="425"/>
      </w:pPr>
      <w:r>
        <w:rPr>
          <w:rFonts w:ascii="Noto Sans CJK SC" w:hAnsi="Noto Sans CJK SC" w:eastAsia="Noto Sans CJK SC"/>
          <w:b w:val="0"/>
          <w:color w:val="282627"/>
          <w:sz w:val="23"/>
        </w:rPr>
        <w:t>票号要继续发展，就需要在新的货币与财政体系中重新寻找位置，而不能只要求保住原来的获利条件。</w:t>
      </w:r>
    </w:p>
    <w:p>
      <w:pPr>
        <w:keepNext/>
        <w:keepLines/>
        <w:ind w:firstLine="0"/>
      </w:pPr>
      <w:r>
        <w:rPr>
          <w:rFonts w:ascii="Noto Sans CJK SC" w:hAnsi="Noto Sans CJK SC" w:eastAsia="Noto Sans CJK SC"/>
          <w:b w:val="0"/>
          <w:color w:val="990100"/>
          <w:sz w:val="19"/>
        </w:rPr>
        <w:t>切页提示：突出“行业利益与公共秩序”的张力，再引出改革方案。</w:t>
      </w:r>
    </w:p>
    <w:p>
      <w:pPr>
        <w:keepLines/>
        <w:ind w:firstLine="0"/>
      </w:pPr>
      <w:r>
        <w:rPr>
          <w:rFonts w:ascii="Noto Sans CJK SC" w:hAnsi="Noto Sans CJK SC" w:eastAsia="Noto Sans CJK SC"/>
          <w:b w:val="0"/>
          <w:color w:val="6F6A68"/>
          <w:sz w:val="18"/>
        </w:rPr>
        <w:t>出处：何平（2022），43—46页；梁启超演说为1912年。</w:t>
      </w:r>
    </w:p>
    <w:p>
      <w:pPr>
        <w:pStyle w:val="Heading2"/>
      </w:pPr>
      <w:r>
        <w:t>第7页｜06:10—07:30（80秒）</w:t>
      </w:r>
    </w:p>
    <w:p>
      <w:pPr>
        <w:keepNext/>
        <w:keepLines/>
        <w:ind w:firstLine="0"/>
      </w:pPr>
      <w:r>
        <w:rPr>
          <w:rFonts w:ascii="Noto Sans CJK SC" w:hAnsi="Noto Sans CJK SC" w:eastAsia="Noto Sans CJK SC"/>
          <w:b/>
          <w:color w:val="282627"/>
          <w:sz w:val="24"/>
        </w:rPr>
        <w:t>李宏龄的方案：联合出资，另立银行</w:t>
      </w:r>
    </w:p>
    <w:p>
      <w:pPr>
        <w:keepLines/>
        <w:ind w:firstLine="425"/>
      </w:pPr>
      <w:r>
        <w:rPr>
          <w:rFonts w:ascii="Noto Sans CJK SC" w:hAnsi="Noto Sans CJK SC" w:eastAsia="Noto Sans CJK SC"/>
          <w:b w:val="0"/>
          <w:color w:val="282627"/>
          <w:sz w:val="23"/>
        </w:rPr>
        <w:t>面对这些变化，李宏龄提出的办法，是各家票号联合出资，设立新式银行。方案已经具体到筹资方式：各号先出三万到五万两，目标股本五百万两，每股一百两，再吸收其他资本。要注意，这些是拟议的安排，不代表五百万两已经募集成功。组织上，他希望各号提供人员，银行另立账簿和经营场所，盈利以后按股分配。</w:t>
      </w:r>
    </w:p>
    <w:p>
      <w:pPr>
        <w:keepLines/>
        <w:ind w:firstLine="425"/>
      </w:pPr>
      <w:r>
        <w:rPr>
          <w:rFonts w:ascii="Noto Sans CJK SC" w:hAnsi="Noto Sans CJK SC" w:eastAsia="Noto Sans CJK SC"/>
          <w:b w:val="0"/>
          <w:color w:val="282627"/>
          <w:sz w:val="23"/>
        </w:rPr>
        <w:t>尤其关键的是，银行可以采用有限公司形式，即使经营亏损，出资者通常也只损失已经投入的资本，不必继续承担没有上限的赔累。至于原来的票号怎么办，他没有要求立即全部撤掉，而是主张银行和票号暂时并存。用他的意思来说，即使以后票号不能继续经营，银行也能保留一线生机。</w:t>
      </w:r>
    </w:p>
    <w:p>
      <w:pPr>
        <w:keepNext/>
        <w:keepLines/>
        <w:ind w:firstLine="425"/>
      </w:pPr>
      <w:r>
        <w:rPr>
          <w:rFonts w:ascii="Noto Sans CJK SC" w:hAnsi="Noto Sans CJK SC" w:eastAsia="Noto Sans CJK SC"/>
          <w:b w:val="0"/>
          <w:color w:val="282627"/>
          <w:sz w:val="23"/>
        </w:rPr>
        <w:t>同时，这个方案仍带有保全晋商生计和利权的目的，并不是一份完全脱离地方关系的现代公司设计。因此，这不是简单扩大几家分号，而是希望把既有信用、人员和资本，重新组织到银行制度之中。</w:t>
      </w:r>
    </w:p>
    <w:p>
      <w:pPr>
        <w:keepNext/>
        <w:keepLines/>
        <w:ind w:firstLine="0"/>
      </w:pPr>
      <w:r>
        <w:rPr>
          <w:rFonts w:ascii="Noto Sans CJK SC" w:hAnsi="Noto Sans CJK SC" w:eastAsia="Noto Sans CJK SC"/>
          <w:b w:val="0"/>
          <w:color w:val="990100"/>
          <w:sz w:val="19"/>
        </w:rPr>
        <w:t>切页提示：强调“方案”与“实际实现”不同，切换改革受阻。</w:t>
      </w:r>
    </w:p>
    <w:p>
      <w:pPr>
        <w:keepLines/>
        <w:ind w:firstLine="0"/>
      </w:pPr>
      <w:r>
        <w:rPr>
          <w:rFonts w:ascii="Noto Sans CJK SC" w:hAnsi="Noto Sans CJK SC" w:eastAsia="Noto Sans CJK SC"/>
          <w:b w:val="0"/>
          <w:color w:val="6F6A68"/>
          <w:sz w:val="18"/>
        </w:rPr>
        <w:t>出处：何平（2022），42—43页；数字均为1908年倡议方案，非实际募资结果。</w:t>
      </w:r>
    </w:p>
    <w:p>
      <w:pPr>
        <w:pStyle w:val="Heading2"/>
      </w:pPr>
      <w:r>
        <w:t>第8页｜07:30—08:50（80秒）</w:t>
      </w:r>
    </w:p>
    <w:p>
      <w:pPr>
        <w:keepNext/>
        <w:keepLines/>
        <w:ind w:firstLine="0"/>
      </w:pPr>
      <w:r>
        <w:rPr>
          <w:rFonts w:ascii="Noto Sans CJK SC" w:hAnsi="Noto Sans CJK SC" w:eastAsia="Noto Sans CJK SC"/>
          <w:b/>
          <w:color w:val="282627"/>
          <w:sz w:val="24"/>
        </w:rPr>
        <w:t>联合办行未能实现：认识危机，也要形成共同决策</w:t>
      </w:r>
    </w:p>
    <w:p>
      <w:pPr>
        <w:keepLines/>
        <w:ind w:firstLine="425"/>
      </w:pPr>
      <w:r>
        <w:rPr>
          <w:rFonts w:ascii="Noto Sans CJK SC" w:hAnsi="Noto Sans CJK SC" w:eastAsia="Noto Sans CJK SC"/>
          <w:b w:val="0"/>
          <w:color w:val="282627"/>
          <w:sz w:val="23"/>
        </w:rPr>
        <w:t>既然方案这么具体，为什么仍然没有实现？文章首先指出，总号和分号所处的位置不同。分号经理直接面对银行竞争，危机感比较强；总号掌握重要决策，却可能更依赖原有经验。李宏龄服务的蔚丰厚总号负责人就强烈反对联合改组。但也不能因此把票号概括成毫无制度的家族经营。</w:t>
      </w:r>
    </w:p>
    <w:p>
      <w:pPr>
        <w:keepLines/>
        <w:ind w:firstLine="425"/>
      </w:pPr>
      <w:r>
        <w:rPr>
          <w:rFonts w:ascii="Noto Sans CJK SC" w:hAnsi="Noto Sans CJK SC" w:eastAsia="Noto Sans CJK SC"/>
          <w:b w:val="0"/>
          <w:color w:val="282627"/>
          <w:sz w:val="23"/>
        </w:rPr>
        <w:t>文中承认，它有避亲举乡的用人原则、正式号规以及奖金和股俸激励。问题是，这些原来有效的安排，未必能支持跨票号的资本联合和统一决策。地域关系一方面提供信任，另一方面也可能限制对外吸收资本和重新分配控制权。</w:t>
      </w:r>
    </w:p>
    <w:p>
      <w:pPr>
        <w:keepNext/>
        <w:keepLines/>
        <w:ind w:firstLine="425"/>
      </w:pPr>
      <w:r>
        <w:rPr>
          <w:rFonts w:ascii="Noto Sans CJK SC" w:hAnsi="Noto Sans CJK SC" w:eastAsia="Noto Sans CJK SC"/>
          <w:b w:val="0"/>
          <w:color w:val="282627"/>
          <w:sz w:val="23"/>
        </w:rPr>
        <w:t>改革派内部也没有完全一致：成都来信强调引入官股以寻求保护，又限制外部地域资本，还提出过“无限山西银行”的方案，与李宏龄强调有限责任并不相同。所以，受阻的不只是观念更新，还包括由谁出钱、谁能控制、责任如何分担，以及新组织依靠什么规则运转。</w:t>
      </w:r>
    </w:p>
    <w:p>
      <w:pPr>
        <w:keepNext/>
        <w:keepLines/>
        <w:ind w:firstLine="0"/>
      </w:pPr>
      <w:r>
        <w:rPr>
          <w:rFonts w:ascii="Noto Sans CJK SC" w:hAnsi="Noto Sans CJK SC" w:eastAsia="Noto Sans CJK SC"/>
          <w:b w:val="0"/>
          <w:color w:val="990100"/>
          <w:sz w:val="19"/>
        </w:rPr>
        <w:t>切页提示：点出“改革派也有分歧”，随后解释责任制度。</w:t>
      </w:r>
    </w:p>
    <w:p>
      <w:pPr>
        <w:keepLines/>
        <w:ind w:firstLine="0"/>
      </w:pPr>
      <w:r>
        <w:rPr>
          <w:rFonts w:ascii="Noto Sans CJK SC" w:hAnsi="Noto Sans CJK SC" w:eastAsia="Noto Sans CJK SC"/>
          <w:b w:val="0"/>
          <w:color w:val="6F6A68"/>
          <w:sz w:val="18"/>
        </w:rPr>
        <w:t>出处：何平（2022），40、45、48—49页。成都来信提出“无限山西银行”。</w:t>
      </w:r>
    </w:p>
    <w:p>
      <w:pPr>
        <w:pStyle w:val="Heading2"/>
      </w:pPr>
      <w:r>
        <w:t>第9页｜08:50—10:15（85秒）</w:t>
      </w:r>
    </w:p>
    <w:p>
      <w:pPr>
        <w:keepNext/>
        <w:keepLines/>
        <w:ind w:firstLine="0"/>
      </w:pPr>
      <w:r>
        <w:rPr>
          <w:rFonts w:ascii="Noto Sans CJK SC" w:hAnsi="Noto Sans CJK SC" w:eastAsia="Noto Sans CJK SC"/>
          <w:b/>
          <w:color w:val="282627"/>
          <w:sz w:val="24"/>
        </w:rPr>
        <w:t>有限责任改变的是：公司失败后，损失追索到哪里</w:t>
      </w:r>
    </w:p>
    <w:p>
      <w:pPr>
        <w:keepLines/>
        <w:ind w:firstLine="425"/>
      </w:pPr>
      <w:r>
        <w:rPr>
          <w:rFonts w:ascii="Noto Sans CJK SC" w:hAnsi="Noto Sans CJK SC" w:eastAsia="Noto Sans CJK SC"/>
          <w:b w:val="0"/>
          <w:color w:val="282627"/>
          <w:sz w:val="23"/>
        </w:rPr>
        <w:t>接下来解释何平特别强调的有限责任。我们用一个教学算例：一家公司欠债一百，破产时只剩四十的资产，于是还有六十无法偿还。在股东已缴足出资、没有额外担保等情况下，这六十并不会自动向股东的个人财产继续追索。当然，个人另外提供担保，或者存在违法等情况，需要另作判断。</w:t>
      </w:r>
    </w:p>
    <w:p>
      <w:pPr>
        <w:keepLines/>
        <w:ind w:firstLine="425"/>
      </w:pPr>
      <w:r>
        <w:rPr>
          <w:rFonts w:ascii="Noto Sans CJK SC" w:hAnsi="Noto Sans CJK SC" w:eastAsia="Noto Sans CJK SC"/>
          <w:b w:val="0"/>
          <w:color w:val="282627"/>
          <w:sz w:val="23"/>
        </w:rPr>
        <w:t>对股东来说，最坏损失的边界更容易事先确定，因此更愿意把一部分资金交给自己不能全面监督的企业。这里减少的是股东因公司债务而承担追加损失的风险，公司的经营损失本身并没有因此减少。对债权人来说，风险并没有消失：能够谈判的债权人可能提高利率、要求抵押，或者减少贷款。</w:t>
      </w:r>
    </w:p>
    <w:p>
      <w:pPr>
        <w:keepNext/>
        <w:keepLines/>
        <w:ind w:firstLine="425"/>
      </w:pPr>
      <w:r>
        <w:rPr>
          <w:rFonts w:ascii="Noto Sans CJK SC" w:hAnsi="Noto Sans CJK SC" w:eastAsia="Noto Sans CJK SC"/>
          <w:b w:val="0"/>
          <w:color w:val="282627"/>
          <w:sz w:val="23"/>
        </w:rPr>
        <w:t>因此，有限责任有助于动员股权资本，却不意味着社会总投资必然增加，也不意味着公司不会破产。何平借助莫斯的理论，解释的是为什么这种责任边界具有吸引力。李宏龄已经抓住了“赔累有界”这个要点，但文中完整的理论机制，属于作者对历史的进一步解释。</w:t>
      </w:r>
    </w:p>
    <w:p>
      <w:pPr>
        <w:keepNext/>
        <w:keepLines/>
        <w:ind w:firstLine="0"/>
      </w:pPr>
      <w:r>
        <w:rPr>
          <w:rFonts w:ascii="Noto Sans CJK SC" w:hAnsi="Noto Sans CJK SC" w:eastAsia="Noto Sans CJK SC"/>
          <w:b w:val="0"/>
          <w:color w:val="990100"/>
          <w:sz w:val="19"/>
        </w:rPr>
        <w:t>切页提示：顺着债100、资产40、缺口60解释；切换理论来源。</w:t>
      </w:r>
    </w:p>
    <w:p>
      <w:pPr>
        <w:keepLines/>
        <w:ind w:firstLine="0"/>
      </w:pPr>
      <w:r>
        <w:rPr>
          <w:rFonts w:ascii="Noto Sans CJK SC" w:hAnsi="Noto Sans CJK SC" w:eastAsia="Noto Sans CJK SC"/>
          <w:b w:val="0"/>
          <w:color w:val="6F6A68"/>
          <w:sz w:val="18"/>
        </w:rPr>
        <w:t>出处：何平（2022），47—48页；数字为课堂示意，非票号史料。</w:t>
      </w:r>
    </w:p>
    <w:p>
      <w:pPr>
        <w:pStyle w:val="Heading2"/>
      </w:pPr>
      <w:r>
        <w:t>第10页｜10:15—11:20（65秒）</w:t>
      </w:r>
    </w:p>
    <w:p>
      <w:pPr>
        <w:keepNext/>
        <w:keepLines/>
        <w:ind w:firstLine="0"/>
      </w:pPr>
      <w:r>
        <w:rPr>
          <w:rFonts w:ascii="Noto Sans CJK SC" w:hAnsi="Noto Sans CJK SC" w:eastAsia="Noto Sans CJK SC"/>
          <w:b/>
          <w:color w:val="282627"/>
          <w:sz w:val="24"/>
        </w:rPr>
        <w:t>与《别无他法》的连接：法律如何通过风险分配动员资本</w:t>
      </w:r>
    </w:p>
    <w:p>
      <w:pPr>
        <w:keepLines/>
        <w:ind w:firstLine="425"/>
      </w:pPr>
      <w:r>
        <w:rPr>
          <w:rFonts w:ascii="Noto Sans CJK SC" w:hAnsi="Noto Sans CJK SC" w:eastAsia="Noto Sans CJK SC"/>
          <w:b w:val="0"/>
          <w:color w:val="282627"/>
          <w:sz w:val="23"/>
        </w:rPr>
        <w:t>这也解释了老师为什么建议参考同学关于《别无他法》的展示。两份材料的联系非常直接：何平在文章注释中，明确引用了莫斯这本书的第三章，也就是“有限责任”。所以这里借用它作为理解主文献的工具，不另行展开美国各州的立法史。</w:t>
      </w:r>
    </w:p>
    <w:p>
      <w:pPr>
        <w:keepLines/>
        <w:ind w:firstLine="425"/>
      </w:pPr>
      <w:r>
        <w:rPr>
          <w:rFonts w:ascii="Noto Sans CJK SC" w:hAnsi="Noto Sans CJK SC" w:eastAsia="Noto Sans CJK SC"/>
          <w:b w:val="0"/>
          <w:color w:val="282627"/>
          <w:sz w:val="23"/>
        </w:rPr>
        <w:t>这个联系可以概括为四步：法律明确损失边界，改变投资者的预期，进而影响资本进入企业的意愿，并把一部分风险转移给其他主体。为什么还需要法律？因为公司面对很多债权人，逐一签约成本很高，而且未来的事故受害者等人不可能提前参与全部协商。统一规则因此很重要。</w:t>
      </w:r>
    </w:p>
    <w:p>
      <w:pPr>
        <w:keepNext/>
        <w:keepLines/>
        <w:ind w:firstLine="425"/>
      </w:pPr>
      <w:r>
        <w:rPr>
          <w:rFonts w:ascii="Noto Sans CJK SC" w:hAnsi="Noto Sans CJK SC" w:eastAsia="Noto Sans CJK SC"/>
          <w:b w:val="0"/>
          <w:color w:val="282627"/>
          <w:sz w:val="23"/>
        </w:rPr>
        <w:t>这里的政府作用，首先是设定大家共同遵守的责任边界，而不是直接替每一家经营失败的企业偿还债务。不过，资本动员的收益与风险转移的代价，需要放在一起看。这也提醒我们，不能把有限责任只理解成对股东的一项优惠。</w:t>
      </w:r>
    </w:p>
    <w:p>
      <w:pPr>
        <w:keepNext/>
        <w:keepLines/>
        <w:ind w:firstLine="0"/>
      </w:pPr>
      <w:r>
        <w:rPr>
          <w:rFonts w:ascii="Noto Sans CJK SC" w:hAnsi="Noto Sans CJK SC" w:eastAsia="Noto Sans CJK SC"/>
          <w:b w:val="0"/>
          <w:color w:val="990100"/>
          <w:sz w:val="19"/>
        </w:rPr>
        <w:t>切页提示：说明该页为理论连接，随即回到票号成败争论。</w:t>
      </w:r>
    </w:p>
    <w:p>
      <w:pPr>
        <w:keepLines/>
        <w:ind w:firstLine="0"/>
      </w:pPr>
      <w:r>
        <w:rPr>
          <w:rFonts w:ascii="Noto Sans CJK SC" w:hAnsi="Noto Sans CJK SC" w:eastAsia="Noto Sans CJK SC"/>
          <w:b w:val="0"/>
          <w:color w:val="6F6A68"/>
          <w:sz w:val="18"/>
        </w:rPr>
        <w:t>出处：主文47—49页、注[9]；寇令仪展示第17、22—25页。莫斯原书未单独核阅。</w:t>
      </w:r>
    </w:p>
    <w:p>
      <w:pPr>
        <w:pStyle w:val="Heading2"/>
      </w:pPr>
      <w:r>
        <w:t>第11页｜11:20—12:25（65秒）</w:t>
      </w:r>
    </w:p>
    <w:p>
      <w:pPr>
        <w:keepNext/>
        <w:keepLines/>
        <w:ind w:firstLine="0"/>
      </w:pPr>
      <w:r>
        <w:rPr>
          <w:rFonts w:ascii="Noto Sans CJK SC" w:hAnsi="Noto Sans CJK SC" w:eastAsia="Noto Sans CJK SC"/>
          <w:b/>
          <w:color w:val="282627"/>
          <w:sz w:val="24"/>
        </w:rPr>
        <w:t>如何判断“成败”：先分清时间，也分清评价对象</w:t>
      </w:r>
    </w:p>
    <w:p>
      <w:pPr>
        <w:keepLines/>
        <w:ind w:firstLine="425"/>
      </w:pPr>
      <w:r>
        <w:rPr>
          <w:rFonts w:ascii="Noto Sans CJK SC" w:hAnsi="Noto Sans CJK SC" w:eastAsia="Noto Sans CJK SC"/>
          <w:b w:val="0"/>
          <w:color w:val="282627"/>
          <w:sz w:val="23"/>
        </w:rPr>
        <w:t>关于票号成败，文章还回应了一种解释：改革派与保守总号之间的对立，是后来为了说明现代化而塑造出来的。何平的反驳，关键就是我们前面看到的时间线。一九〇八到一九〇九年的工作书信，早于梁启超一九一二年的演说，也早于一九一七年的结集出版，因此不能仅凭出版较晚，就把这些改革主张视为事后的想象。</w:t>
      </w:r>
    </w:p>
    <w:p>
      <w:pPr>
        <w:keepLines/>
        <w:ind w:firstLine="425"/>
      </w:pPr>
      <w:r>
        <w:rPr>
          <w:rFonts w:ascii="Noto Sans CJK SC" w:hAnsi="Noto Sans CJK SC" w:eastAsia="Noto Sans CJK SC"/>
          <w:b w:val="0"/>
          <w:color w:val="282627"/>
          <w:sz w:val="23"/>
        </w:rPr>
        <w:t>当然，书信早就存在，并不等于编辑没有选择性，也不能直接证明所有总号都持相同态度。尤其不能把个别书信中较鲜明的改革态度，直接扩大为全部经理与全部所有者之间整齐划一的对立。除此之外，还要区分成败的评价对象。一个票号家族退出金融业，转投其他行业，可能继续保有财富；但这不等于票号作为金融组织完成了转型。</w:t>
      </w:r>
    </w:p>
    <w:p>
      <w:pPr>
        <w:keepNext/>
        <w:keepLines/>
        <w:ind w:firstLine="425"/>
      </w:pPr>
      <w:r>
        <w:rPr>
          <w:rFonts w:ascii="Noto Sans CJK SC" w:hAnsi="Noto Sans CJK SC" w:eastAsia="Noto Sans CJK SC"/>
          <w:b w:val="0"/>
          <w:color w:val="282627"/>
          <w:sz w:val="23"/>
        </w:rPr>
        <w:t>两种问题都值得研究，只是不能拿一个问题的成功，直接替代另一个问题的答案。</w:t>
      </w:r>
    </w:p>
    <w:p>
      <w:pPr>
        <w:keepNext/>
        <w:keepLines/>
        <w:ind w:firstLine="0"/>
      </w:pPr>
      <w:r>
        <w:rPr>
          <w:rFonts w:ascii="Noto Sans CJK SC" w:hAnsi="Noto Sans CJK SC" w:eastAsia="Noto Sans CJK SC"/>
          <w:b w:val="0"/>
          <w:color w:val="990100"/>
          <w:sz w:val="19"/>
        </w:rPr>
        <w:t>切页提示：将“家族财富”与“金融组织”两个评价对象分开。</w:t>
      </w:r>
    </w:p>
    <w:p>
      <w:pPr>
        <w:keepLines/>
        <w:ind w:firstLine="0"/>
      </w:pPr>
      <w:r>
        <w:rPr>
          <w:rFonts w:ascii="Noto Sans CJK SC" w:hAnsi="Noto Sans CJK SC" w:eastAsia="Noto Sans CJK SC"/>
          <w:b w:val="0"/>
          <w:color w:val="6F6A68"/>
          <w:sz w:val="18"/>
        </w:rPr>
        <w:t>出处：何平（2022），45—47页；何平对王路曼相关解释的回应。</w:t>
      </w:r>
    </w:p>
    <w:p>
      <w:pPr>
        <w:pStyle w:val="Heading2"/>
      </w:pPr>
      <w:r>
        <w:t>第12页｜12:25—13:45（80秒）</w:t>
      </w:r>
    </w:p>
    <w:p>
      <w:pPr>
        <w:keepNext/>
        <w:keepLines/>
        <w:ind w:firstLine="0"/>
      </w:pPr>
      <w:r>
        <w:rPr>
          <w:rFonts w:ascii="Noto Sans CJK SC" w:hAnsi="Noto Sans CJK SC" w:eastAsia="Noto Sans CJK SC"/>
          <w:b/>
          <w:color w:val="282627"/>
          <w:sz w:val="24"/>
        </w:rPr>
        <w:t>文献的贡献与边界：制度视角有力，因果解释仍需限定</w:t>
      </w:r>
    </w:p>
    <w:p>
      <w:pPr>
        <w:keepLines/>
        <w:ind w:firstLine="425"/>
      </w:pPr>
      <w:r>
        <w:rPr>
          <w:rFonts w:ascii="Noto Sans CJK SC" w:hAnsi="Noto Sans CJK SC" w:eastAsia="Noto Sans CJK SC"/>
          <w:b w:val="0"/>
          <w:color w:val="282627"/>
          <w:sz w:val="23"/>
        </w:rPr>
        <w:t>我对这篇文章的理解，可以概括为一个贡献和两个需要保留的问题。它的主要贡献，是把我们从“票号有没有创新业务”，带到“创新能否在合适的组织里持续发生”。过去积累的信用和经验，需要经过新的决策、治理和责任规则，才能适应竞争环境。第一个需要保留的问题，是有限责任能解释到什么程度。</w:t>
      </w:r>
    </w:p>
    <w:p>
      <w:pPr>
        <w:keepLines/>
        <w:ind w:firstLine="425"/>
      </w:pPr>
      <w:r>
        <w:rPr>
          <w:rFonts w:ascii="Noto Sans CJK SC" w:hAnsi="Noto Sans CJK SC" w:eastAsia="Noto Sans CJK SC"/>
          <w:b w:val="0"/>
          <w:color w:val="282627"/>
          <w:sz w:val="23"/>
        </w:rPr>
        <w:t>文章的判断比较有力，但官款分配、国家力量、战争冲击，以及银行自身的经营能力，都可能影响转型结果。知道有限责任有优势，并不能证明改制以后就一定成功。第二，标题中的“公司制度的缺失”，也不宜理解为当时中国完全没有公司法或新式银行。</w:t>
      </w:r>
    </w:p>
    <w:p>
      <w:pPr>
        <w:keepNext/>
        <w:keepLines/>
        <w:ind w:firstLine="425"/>
      </w:pPr>
      <w:r>
        <w:rPr>
          <w:rFonts w:ascii="Noto Sans CJK SC" w:hAnsi="Noto Sans CJK SC" w:eastAsia="Noto Sans CJK SC"/>
          <w:b w:val="0"/>
          <w:color w:val="282627"/>
          <w:sz w:val="23"/>
        </w:rPr>
        <w:t>更准确地说，文章关注的是：相应的法律与治理机制，为什么没有充分成为票号联合改制的实际基础。例如，主文也提到蔚丰厚改组为蔚丰商业银行。因此，联合办行未成，不等于每家票号都未曾改组。总号的具体考虑和方案的可执行性，仍需更多档案检验。</w:t>
      </w:r>
    </w:p>
    <w:p>
      <w:pPr>
        <w:keepNext/>
        <w:keepLines/>
        <w:ind w:firstLine="0"/>
      </w:pPr>
      <w:r>
        <w:rPr>
          <w:rFonts w:ascii="Noto Sans CJK SC" w:hAnsi="Noto Sans CJK SC" w:eastAsia="Noto Sans CJK SC"/>
          <w:b w:val="0"/>
          <w:color w:val="990100"/>
          <w:sz w:val="19"/>
        </w:rPr>
        <w:t>切页提示：放慢语速讲两点限制，切换总结。</w:t>
      </w:r>
    </w:p>
    <w:p>
      <w:pPr>
        <w:keepLines/>
        <w:ind w:firstLine="0"/>
      </w:pPr>
      <w:r>
        <w:rPr>
          <w:rFonts w:ascii="Noto Sans CJK SC" w:hAnsi="Noto Sans CJK SC" w:eastAsia="Noto Sans CJK SC"/>
          <w:b w:val="0"/>
          <w:color w:val="6F6A68"/>
          <w:sz w:val="18"/>
        </w:rPr>
        <w:t>出处：何平（2022），41、47—49页；本页“讨论”是本次展示的评议。</w:t>
      </w:r>
    </w:p>
    <w:p>
      <w:pPr>
        <w:pStyle w:val="Heading2"/>
      </w:pPr>
      <w:r>
        <w:t>第13页｜13:45—14:40（55秒）</w:t>
      </w:r>
    </w:p>
    <w:p>
      <w:pPr>
        <w:keepNext/>
        <w:keepLines/>
        <w:ind w:firstLine="0"/>
      </w:pPr>
      <w:r>
        <w:rPr>
          <w:rFonts w:ascii="Noto Sans CJK SC" w:hAnsi="Noto Sans CJK SC" w:eastAsia="Noto Sans CJK SC"/>
          <w:b/>
          <w:color w:val="282627"/>
          <w:sz w:val="24"/>
        </w:rPr>
        <w:t>回到核心问题：转型需要把信用变成可持续的制度安排</w:t>
      </w:r>
    </w:p>
    <w:p>
      <w:pPr>
        <w:keepLines/>
        <w:ind w:firstLine="425"/>
      </w:pPr>
      <w:r>
        <w:rPr>
          <w:rFonts w:ascii="Noto Sans CJK SC" w:hAnsi="Noto Sans CJK SC" w:eastAsia="Noto Sans CJK SC"/>
          <w:b w:val="0"/>
          <w:color w:val="282627"/>
          <w:sz w:val="23"/>
        </w:rPr>
        <w:t>最后回到开头的问题。票号拥有信用和经营经验，却没能普遍转成银行，说明传统优势不会自动带来组织转型。李宏龄的贡献，是已经看到原有获利条件正在改变，并尝试用合股、有限责任和新的银行业务寻找出路；何平则进一步强调，真正的改制涉及决策、治理和法律规则，远不止换一块招牌。</w:t>
      </w:r>
    </w:p>
    <w:p>
      <w:pPr>
        <w:keepNext/>
        <w:keepLines/>
        <w:ind w:firstLine="425"/>
      </w:pPr>
      <w:r>
        <w:rPr>
          <w:rFonts w:ascii="Noto Sans CJK SC" w:hAnsi="Noto Sans CJK SC" w:eastAsia="Noto Sans CJK SC"/>
          <w:b w:val="0"/>
          <w:color w:val="282627"/>
          <w:sz w:val="23"/>
        </w:rPr>
        <w:t>对货币思想史来说，这也让我们看到，金融思想讨论的不只是货币和利率，还包括谁来组织信用、谁作决定，以及失败时由谁承担损失。我的展示就到这里。最后留下一个问题：如果有限责任有助于动员银行资本，那么在保护股东的同时，我们又应该怎样约束银行的冒险，并保护其他承担风险的人？谢谢大家。</w:t>
      </w:r>
    </w:p>
    <w:p>
      <w:pPr>
        <w:keepNext/>
        <w:keepLines/>
        <w:ind w:firstLine="0"/>
      </w:pPr>
      <w:r>
        <w:rPr>
          <w:rFonts w:ascii="Noto Sans CJK SC" w:hAnsi="Noto Sans CJK SC" w:eastAsia="Noto Sans CJK SC"/>
          <w:b w:val="0"/>
          <w:color w:val="990100"/>
          <w:sz w:val="19"/>
        </w:rPr>
        <w:t>切页提示：末句停顿，结束；问答不计入正文时长。</w:t>
      </w:r>
    </w:p>
    <w:p>
      <w:pPr>
        <w:keepLines/>
        <w:ind w:firstLine="0"/>
      </w:pPr>
      <w:r>
        <w:rPr>
          <w:rFonts w:ascii="Noto Sans CJK SC" w:hAnsi="Noto Sans CJK SC" w:eastAsia="Noto Sans CJK SC"/>
          <w:b w:val="0"/>
          <w:color w:val="6F6A68"/>
          <w:sz w:val="18"/>
        </w:rPr>
        <w:t>出处：归纳依据：何平（2022），39—49页。</w:t>
      </w:r>
    </w:p>
    <w:p>
      <w:pPr>
        <w:pStyle w:val="Heading1"/>
        <w:pageBreakBefore/>
      </w:pPr>
      <w:r>
        <w:t>备用问答</w:t>
      </w:r>
    </w:p>
    <w:p>
      <w:pPr>
        <w:keepLines/>
        <w:ind w:firstLine="0"/>
      </w:pPr>
      <w:r>
        <w:rPr>
          <w:rFonts w:ascii="Noto Sans CJK SC" w:hAnsi="Noto Sans CJK SC" w:eastAsia="Noto Sans CJK SC"/>
          <w:b w:val="0"/>
          <w:color w:val="6F6A68"/>
          <w:sz w:val="21"/>
        </w:rPr>
        <w:t>以下不计入15分钟正式发言；根据老师或同学的追问选择回答。</w:t>
      </w:r>
    </w:p>
    <w:p>
      <w:pPr>
        <w:pStyle w:val="Heading2"/>
      </w:pPr>
      <w:r>
        <w:t>1. 这篇文章为什么属于货币思想史，而不只是票号经营史？</w:t>
      </w:r>
    </w:p>
    <w:p>
      <w:pPr>
        <w:keepLines/>
        <w:ind w:firstLine="425"/>
      </w:pPr>
      <w:r>
        <w:rPr>
          <w:rFonts w:ascii="Noto Sans CJK SC" w:hAnsi="Noto Sans CJK SC" w:eastAsia="Noto Sans CJK SC"/>
          <w:b w:val="0"/>
          <w:color w:val="282627"/>
          <w:sz w:val="22"/>
        </w:rPr>
        <w:t>因为李宏龄讨论的不只是企业赚不赚钱，而是信用怎样组织、不同金融机构凭什么取得业务与法律上的优势，以及货币和财政制度变化后，传统机构应该怎样调整。银行券对部分汇兑需求的影响、梁启超关于币制统一和金库改革的论述，都把票号的个别利益与金融公共秩序联系起来。公司的责任边界，又涉及经营失败时金融风险由谁承担。所以，经营史是材料，信用组织与制度改革的认识是思想史的问题。</w:t>
      </w:r>
    </w:p>
    <w:p>
      <w:pPr>
        <w:keepLines/>
        <w:ind w:firstLine="0"/>
      </w:pPr>
      <w:r>
        <w:rPr>
          <w:rFonts w:ascii="Noto Sans CJK SC" w:hAnsi="Noto Sans CJK SC" w:eastAsia="Noto Sans CJK SC"/>
          <w:b w:val="0"/>
          <w:color w:val="6F6A68"/>
          <w:sz w:val="18"/>
        </w:rPr>
        <w:t>依据： 何平，第43—46页；第47—49页为作者的制度解释。</w:t>
      </w:r>
    </w:p>
    <w:p>
      <w:pPr>
        <w:pStyle w:val="Heading2"/>
      </w:pPr>
      <w:r>
        <w:t>2. “公司制度的缺失”是不是说清末没有公司法？有限责任能解释一切吗？</w:t>
      </w:r>
    </w:p>
    <w:p>
      <w:pPr>
        <w:keepLines/>
        <w:ind w:firstLine="425"/>
      </w:pPr>
      <w:r>
        <w:rPr>
          <w:rFonts w:ascii="Noto Sans CJK SC" w:hAnsi="Noto Sans CJK SC" w:eastAsia="Noto Sans CJK SC"/>
          <w:b w:val="0"/>
          <w:color w:val="282627"/>
          <w:sz w:val="22"/>
        </w:rPr>
        <w:t>不能这样理解。文章本身讨论了新式银行、银行则例和股份公司的发展，所以问题不是近代组织形式完全不存在，而是这些制度没有充分成为票号联合改制的实际基础。有限责任能够解释吸收资本的吸引力，但官款业务的分配、官方保护、政治动荡与具体经营能力也很重要。我的展示把有限责任视为作者提出的重要机制，不把它当成已被证明的唯一原因。</w:t>
      </w:r>
    </w:p>
    <w:p>
      <w:pPr>
        <w:keepLines/>
        <w:ind w:firstLine="0"/>
      </w:pPr>
      <w:r>
        <w:rPr>
          <w:rFonts w:ascii="Noto Sans CJK SC" w:hAnsi="Noto Sans CJK SC" w:eastAsia="Noto Sans CJK SC"/>
          <w:b w:val="0"/>
          <w:color w:val="6F6A68"/>
          <w:sz w:val="18"/>
        </w:rPr>
        <w:t>依据： 何平，第42页、第47—49页。关于“唯一原因不能成立”是本次展示的审慎评价，不能当作作者的原话。</w:t>
      </w:r>
    </w:p>
    <w:p>
      <w:pPr>
        <w:pStyle w:val="Heading2"/>
      </w:pPr>
      <w:r>
        <w:t>3. 既然文章提到蔚丰厚改成银行，为什么还说票号转型失败？</w:t>
      </w:r>
    </w:p>
    <w:p>
      <w:pPr>
        <w:keepLines/>
        <w:ind w:firstLine="425"/>
      </w:pPr>
      <w:r>
        <w:rPr>
          <w:rFonts w:ascii="Noto Sans CJK SC" w:hAnsi="Noto Sans CJK SC" w:eastAsia="Noto Sans CJK SC"/>
          <w:b w:val="0"/>
          <w:color w:val="282627"/>
          <w:sz w:val="22"/>
        </w:rPr>
        <w:t>这里必须区分李宏龄设想的跨票号联合银行计划，与个别票号后来各自改组。文章引述李宏龄序言，确实提到蔚丰厚改组为蔚丰商业银行，并给予肯定。因此不能说“所有票号都没有改组”。我使用“没能普遍转成银行”，讨论的是联合改制计划受阻和票号整体退场的问题。仅凭这篇文章，也不能进一步判断个别改组银行的长期绩效。</w:t>
      </w:r>
    </w:p>
    <w:p>
      <w:pPr>
        <w:keepLines/>
        <w:ind w:firstLine="0"/>
      </w:pPr>
      <w:r>
        <w:rPr>
          <w:rFonts w:ascii="Noto Sans CJK SC" w:hAnsi="Noto Sans CJK SC" w:eastAsia="Noto Sans CJK SC"/>
          <w:b w:val="0"/>
          <w:color w:val="6F6A68"/>
          <w:sz w:val="18"/>
        </w:rPr>
        <w:t>依据： 何平，第41页关于蔚丰商业银行的引文；第49页关于联合改制计划未能实现的讨论。</w:t>
      </w:r>
    </w:p>
    <w:p>
      <w:pPr>
        <w:pStyle w:val="Heading2"/>
      </w:pPr>
      <w:r>
        <w:t>4. 经理支持改革、总号反对改革，会不会也是一种过度简化？</w:t>
      </w:r>
    </w:p>
    <w:p>
      <w:pPr>
        <w:keepLines/>
        <w:ind w:firstLine="425"/>
      </w:pPr>
      <w:r>
        <w:rPr>
          <w:rFonts w:ascii="Noto Sans CJK SC" w:hAnsi="Noto Sans CJK SC" w:eastAsia="Noto Sans CJK SC"/>
          <w:b w:val="0"/>
          <w:color w:val="282627"/>
          <w:sz w:val="22"/>
        </w:rPr>
        <w:t>会，所以应把它当作待检验的矛盾，而不是整齐划一的两类人。经理身处竞争前沿与总号掌握决策权，提供了一条理解分歧的线索；但各地支持者自己的方案也不一致。比如成都来信强调官股和地方资本，并提出“无限山西银行”，就与李宏龄强调有限责任有所差别。票号也有号规、避亲举乡和股俸激励，不能说它完全没有治理。更完整的解释，还需要总号方面的档案与实际财务资料。</w:t>
      </w:r>
    </w:p>
    <w:p>
      <w:pPr>
        <w:keepLines/>
        <w:ind w:firstLine="0"/>
      </w:pPr>
      <w:r>
        <w:rPr>
          <w:rFonts w:ascii="Noto Sans CJK SC" w:hAnsi="Noto Sans CJK SC" w:eastAsia="Noto Sans CJK SC"/>
          <w:b w:val="0"/>
          <w:color w:val="6F6A68"/>
          <w:sz w:val="18"/>
        </w:rPr>
        <w:t>依据： 何平，第45页成都方案；第48—49页治理讨论。补充档案的需要是本次展示的评价。</w:t>
      </w:r>
    </w:p>
    <w:p>
      <w:pPr>
        <w:pStyle w:val="Heading2"/>
      </w:pPr>
      <w:r>
        <w:t>5. 有限责任是不是把风险推给存款人？为什么参考同学的《别无他法》？</w:t>
      </w:r>
    </w:p>
    <w:p>
      <w:pPr>
        <w:keepLines/>
        <w:ind w:firstLine="425"/>
      </w:pPr>
      <w:r>
        <w:rPr>
          <w:rFonts w:ascii="Noto Sans CJK SC" w:hAnsi="Noto Sans CJK SC" w:eastAsia="Noto Sans CJK SC"/>
          <w:b w:val="0"/>
          <w:color w:val="282627"/>
          <w:sz w:val="22"/>
        </w:rPr>
        <w:t>两份材料有直接的文献联系：何平在注[9]引用了莫斯《别无他法》第3章。有限责任的确会改变损失分配：公司资产不足时，通常不能仅因股东身份继续追索个人财产。能谈判的债权人可能重新定价或要求担保，所以资本动员不等于风险消失。银行存款人一般是通过合同形成债权，不宜笼统称为非自愿债权人；其信息和议价能力较弱，是另一个值得关注的问题。事故受害者等人才是无法事前参与协商的典型。对银行而言，有限责任需要配合治理和风险约束，不能独立承担全部制度功能。</w:t>
      </w:r>
    </w:p>
    <w:p>
      <w:pPr>
        <w:keepLines/>
        <w:ind w:firstLine="0"/>
      </w:pPr>
      <w:r>
        <w:rPr>
          <w:rFonts w:ascii="Noto Sans CJK SC" w:hAnsi="Noto Sans CJK SC" w:eastAsia="Noto Sans CJK SC"/>
          <w:b w:val="0"/>
          <w:color w:val="6F6A68"/>
          <w:sz w:val="18"/>
        </w:rPr>
        <w:t>依据： 何平，第47—48页及第49页注[9]；寇令仪课堂展示第3、17、22—25页。未另行读取莫斯原书，书目信息依据主文献。</w:t>
      </w:r>
    </w:p>
    <w:p>
      <w:pPr>
        <w:pStyle w:val="Heading1"/>
      </w:pPr>
      <w:r>
        <w:t>资料与引用边界</w:t>
      </w:r>
    </w:p>
    <w:p>
      <w:pPr>
        <w:keepLines/>
        <w:ind w:firstLine="0"/>
      </w:pPr>
      <w:r>
        <w:rPr>
          <w:rFonts w:ascii="Noto Sans CJK SC" w:hAnsi="Noto Sans CJK SC" w:eastAsia="Noto Sans CJK SC"/>
          <w:b w:val="0"/>
          <w:color w:val="282627"/>
          <w:sz w:val="21"/>
        </w:rPr>
        <w:t>主文献：何平：《李宏龄的票号成败论与近代中国公司制度的缺失》，《中国钱币》2022年第6期，第39—49页。</w:t>
      </w:r>
    </w:p>
    <w:p>
      <w:pPr>
        <w:keepLines/>
        <w:ind w:firstLine="0"/>
      </w:pPr>
      <w:r>
        <w:rPr>
          <w:rFonts w:ascii="Noto Sans CJK SC" w:hAnsi="Noto Sans CJK SC" w:eastAsia="Noto Sans CJK SC"/>
          <w:b w:val="0"/>
          <w:color w:val="282627"/>
          <w:sz w:val="21"/>
        </w:rPr>
        <w:t>辅助材料：寇令仪《中国货币思想史课堂展示——〈别无他法〉第3章》（用户上传PPT）。内容主要借鉴第17、22—25页，版式借鉴米白底、深红强调、顶部导航与底部结论。</w:t>
      </w:r>
    </w:p>
    <w:p>
      <w:pPr>
        <w:keepLines/>
        <w:ind w:firstLine="0"/>
      </w:pPr>
      <w:r>
        <w:rPr>
          <w:rFonts w:ascii="Noto Sans CJK SC" w:hAnsi="Noto Sans CJK SC" w:eastAsia="Noto Sans CJK SC"/>
          <w:b w:val="0"/>
          <w:color w:val="282627"/>
          <w:sz w:val="21"/>
        </w:rPr>
        <w:t>理论来源：戴维·莫斯著，何平译：《别无他法：作为终极风险管理者的政府》，人民出版社，2014年，第3章“有限责任”，第62—101页。书目信息据何平注[9]；未另行核阅原书。</w:t>
      </w:r>
    </w:p>
    <w:p>
      <w:pPr>
        <w:keepLines/>
        <w:ind w:firstLine="0"/>
      </w:pPr>
      <w:r>
        <w:rPr>
          <w:rFonts w:ascii="Noto Sans CJK SC" w:hAnsi="Noto Sans CJK SC" w:eastAsia="Noto Sans CJK SC"/>
          <w:b w:val="0"/>
          <w:color w:val="282627"/>
          <w:sz w:val="21"/>
        </w:rPr>
        <w:t>李宏龄书信与梁启超演说均转引何平文章，未单独核阅原书。本文所有主文献页码均指印刷页码39—49，不是PDF页序。</w:t>
      </w:r>
    </w:p>
    <w:p>
      <w:pPr>
        <w:keepLines/>
        <w:ind w:firstLine="0"/>
      </w:pPr>
      <w:r>
        <w:rPr>
          <w:rFonts w:ascii="Noto Sans CJK SC" w:hAnsi="Noto Sans CJK SC" w:eastAsia="Noto Sans CJK SC"/>
          <w:b w:val="0"/>
          <w:color w:val="282627"/>
          <w:sz w:val="21"/>
        </w:rPr>
        <w:t>讲述中区分三个层次：李宏龄等人的当时主张；何平的制度解释；本次展示的归纳与评议。有限责任算例为课堂示意，并非历史数据。</w:t>
      </w:r>
    </w:p>
    <w:p>
      <w:pPr>
        <w:pStyle w:val="Heading1"/>
      </w:pPr>
      <w:r>
        <w:t>排练提示</w:t>
      </w:r>
    </w:p>
    <w:p>
      <w:pPr>
        <w:keepLines/>
        <w:ind w:firstLine="0"/>
      </w:pPr>
      <w:r>
        <w:rPr>
          <w:rFonts w:ascii="Noto Sans CJK SC" w:hAnsi="Noto Sans CJK SC" w:eastAsia="Noto Sans CJK SC"/>
          <w:b w:val="0"/>
          <w:color w:val="282627"/>
          <w:sz w:val="21"/>
        </w:rPr>
        <w:t>第一次排练照读并计时，第二次按每页标题复述。第5页的比例要说明是书信中的估计，第7页要说明是拟议方案。第9页算例稍作停顿，让听众跟上责任边界的变化。</w:t>
      </w:r>
    </w:p>
    <w:p>
      <w:pPr>
        <w:keepLines/>
        <w:ind w:firstLine="0"/>
      </w:pPr>
      <w:r>
        <w:rPr>
          <w:rFonts w:ascii="Noto Sans CJK SC" w:hAnsi="Noto Sans CJK SC" w:eastAsia="Noto Sans CJK SC"/>
          <w:b w:val="0"/>
          <w:color w:val="282627"/>
          <w:sz w:val="21"/>
        </w:rPr>
        <w:t>若现场落后约30秒：第10页省略私人契约的详细例子；第11页缩短对史料编选的补充。保留主文献的危机、方案、受阻与制度解释。不要为了赶时间取消第12页的因果限定。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F6A68"/>
        <w:sz w:val="18"/>
      </w:rPr>
      <w:t xml:space="preserve">逐页讲稿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F6A68"/>
        <w:sz w:val="18"/>
      </w:rPr>
      <w:t>中国货币思想史  ·  李宏龄与票号改制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  <w:ind w:firstLine="425"/>
    </w:pPr>
    <w:rPr>
      <w:rFonts w:ascii="Noto Sans CJK SC" w:hAnsi="Noto Sans CJK SC" w:eastAsia="Noto Sans CJK SC"/>
      <w:color w:val="282627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80" w:line="269" w:lineRule="auto"/>
      <w:ind w:firstLine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9901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69" w:lineRule="auto"/>
      <w:ind w:firstLine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9901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69" w:lineRule="auto"/>
      <w:ind w:firstLine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8262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69" w:lineRule="auto"/>
      <w:ind w:firstLine="0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9901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李宏龄票号成败论：15分钟逐页讲稿与备用问答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